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2E86D" w14:textId="77777777" w:rsidR="007D4FD6" w:rsidRPr="00A87CE8" w:rsidRDefault="007D4FD6" w:rsidP="00034102">
      <w:pPr>
        <w:rPr>
          <w:rFonts w:ascii="KievitPro-Regular" w:hAnsi="KievitPro-Regular"/>
          <w:lang w:val="it-CH"/>
        </w:rPr>
      </w:pPr>
    </w:p>
    <w:p w14:paraId="2BFB8C0C" w14:textId="77777777" w:rsidR="00BA17CC" w:rsidRPr="00A87CE8" w:rsidRDefault="00BA17CC" w:rsidP="00034102">
      <w:pPr>
        <w:rPr>
          <w:rFonts w:ascii="KievitPro-Regular" w:hAnsi="KievitPro-Regular"/>
          <w:lang w:val="it-CH"/>
        </w:rPr>
      </w:pPr>
    </w:p>
    <w:p w14:paraId="6C3868CC" w14:textId="77777777" w:rsidR="00BA17CC" w:rsidRPr="00A87CE8" w:rsidRDefault="00BA17CC" w:rsidP="00034102">
      <w:pPr>
        <w:rPr>
          <w:rFonts w:ascii="KievitPro-Regular" w:hAnsi="KievitPro-Regular"/>
          <w:lang w:val="it-CH"/>
        </w:rPr>
      </w:pPr>
    </w:p>
    <w:p w14:paraId="4B193C0A" w14:textId="77777777" w:rsidR="00BA17CC" w:rsidRPr="00A87CE8" w:rsidRDefault="00BA17CC" w:rsidP="00034102">
      <w:pPr>
        <w:rPr>
          <w:rFonts w:ascii="KievitPro-Regular" w:hAnsi="KievitPro-Regular"/>
          <w:lang w:val="it-CH"/>
        </w:rPr>
      </w:pPr>
    </w:p>
    <w:p w14:paraId="2221350F" w14:textId="77777777" w:rsidR="00A84888" w:rsidRPr="00A87CE8" w:rsidRDefault="00A84888" w:rsidP="00034102">
      <w:pPr>
        <w:rPr>
          <w:rFonts w:ascii="KievitPro-Regular" w:hAnsi="KievitPro-Regular"/>
          <w:lang w:val="it-CH"/>
        </w:rPr>
      </w:pPr>
    </w:p>
    <w:p w14:paraId="6EFD49BA" w14:textId="77777777" w:rsidR="00895EB9" w:rsidRPr="00A87CE8" w:rsidRDefault="00895EB9" w:rsidP="00034102">
      <w:pPr>
        <w:rPr>
          <w:rFonts w:ascii="KievitPro-Regular" w:hAnsi="KievitPro-Regular"/>
          <w:lang w:val="it-CH"/>
        </w:rPr>
      </w:pPr>
    </w:p>
    <w:p w14:paraId="7DCBB74A" w14:textId="77777777" w:rsidR="002A76D8" w:rsidRPr="00A87CE8" w:rsidRDefault="002A76D8" w:rsidP="002A76D8">
      <w:pPr>
        <w:spacing w:after="480"/>
        <w:jc w:val="center"/>
        <w:rPr>
          <w:rFonts w:ascii="KievitPro-Regular" w:hAnsi="KievitPro-Regular" w:cs="Arial"/>
          <w:b/>
          <w:sz w:val="52"/>
          <w:szCs w:val="52"/>
          <w:lang w:val="it-CH"/>
        </w:rPr>
      </w:pPr>
      <w:r w:rsidRPr="00A87CE8">
        <w:rPr>
          <w:rFonts w:ascii="KievitPro-Regular" w:hAnsi="KievitPro-Regular" w:cs="Arial"/>
          <w:b/>
          <w:sz w:val="52"/>
          <w:szCs w:val="52"/>
          <w:lang w:val="it-CH"/>
        </w:rPr>
        <w:t>Manuale</w:t>
      </w:r>
    </w:p>
    <w:p w14:paraId="636122CA" w14:textId="77777777" w:rsidR="002A76D8" w:rsidRPr="00A87CE8" w:rsidRDefault="002A76D8" w:rsidP="002A76D8">
      <w:pPr>
        <w:spacing w:after="480"/>
        <w:jc w:val="center"/>
        <w:rPr>
          <w:rFonts w:ascii="KievitPro-Regular" w:hAnsi="KievitPro-Regular" w:cs="Arial"/>
          <w:b/>
          <w:sz w:val="52"/>
          <w:szCs w:val="52"/>
          <w:lang w:val="it-CH"/>
        </w:rPr>
      </w:pPr>
      <w:r w:rsidRPr="00A87CE8">
        <w:rPr>
          <w:rFonts w:ascii="KievitPro-Regular" w:hAnsi="KievitPro-Regular" w:cs="Arial"/>
          <w:b/>
          <w:sz w:val="52"/>
          <w:szCs w:val="52"/>
          <w:lang w:val="it-CH"/>
        </w:rPr>
        <w:t xml:space="preserve">di gestione della qualità </w:t>
      </w:r>
    </w:p>
    <w:p w14:paraId="0B438786" w14:textId="0BF8D070" w:rsidR="002A76D8" w:rsidRPr="00A87CE8" w:rsidRDefault="002A76D8" w:rsidP="002A76D8">
      <w:pPr>
        <w:spacing w:after="480"/>
        <w:jc w:val="center"/>
        <w:rPr>
          <w:rFonts w:ascii="KievitPro-Regular" w:hAnsi="KievitPro-Regular" w:cs="Arial"/>
          <w:b/>
          <w:sz w:val="52"/>
          <w:szCs w:val="52"/>
          <w:lang w:val="it-CH"/>
        </w:rPr>
      </w:pPr>
      <w:r w:rsidRPr="00A87CE8">
        <w:rPr>
          <w:rFonts w:ascii="KievitPro-Regular" w:hAnsi="KievitPro-Regular" w:cs="Arial"/>
          <w:b/>
          <w:sz w:val="52"/>
          <w:szCs w:val="52"/>
          <w:lang w:val="it-CH"/>
        </w:rPr>
        <w:t>(IGQ)</w:t>
      </w:r>
    </w:p>
    <w:p w14:paraId="430DCE8D" w14:textId="77777777" w:rsidR="002A76D8" w:rsidRPr="00A87CE8" w:rsidRDefault="002A76D8" w:rsidP="002A76D8">
      <w:pPr>
        <w:spacing w:after="480"/>
        <w:jc w:val="center"/>
        <w:rPr>
          <w:rFonts w:ascii="KievitPro-Regular" w:hAnsi="KievitPro-Regular" w:cs="Arial"/>
          <w:b/>
          <w:sz w:val="52"/>
          <w:szCs w:val="52"/>
          <w:lang w:val="it-CH"/>
        </w:rPr>
      </w:pPr>
      <w:r w:rsidRPr="00A87CE8">
        <w:rPr>
          <w:rFonts w:ascii="KievitPro-Regular" w:hAnsi="KievitPro-Regular" w:cs="Arial"/>
          <w:b/>
          <w:sz w:val="52"/>
          <w:szCs w:val="52"/>
          <w:lang w:val="it-CH"/>
        </w:rPr>
        <w:t xml:space="preserve">della Esempio SA </w:t>
      </w:r>
    </w:p>
    <w:p w14:paraId="57877177" w14:textId="717559E1" w:rsidR="0013015C" w:rsidRPr="00A87CE8" w:rsidRDefault="002A76D8" w:rsidP="002A76D8">
      <w:pPr>
        <w:spacing w:after="480"/>
        <w:jc w:val="center"/>
        <w:rPr>
          <w:rFonts w:ascii="KievitPro-Regular" w:hAnsi="KievitPro-Regular" w:cs="Arial"/>
          <w:b/>
          <w:sz w:val="52"/>
          <w:szCs w:val="52"/>
          <w:lang w:val="it-CH"/>
        </w:rPr>
      </w:pPr>
      <w:r w:rsidRPr="00A87CE8">
        <w:rPr>
          <w:rFonts w:ascii="KievitPro-Regular" w:hAnsi="KievitPro-Regular" w:cs="Arial"/>
          <w:b/>
          <w:sz w:val="52"/>
          <w:szCs w:val="52"/>
          <w:lang w:val="it-CH"/>
        </w:rPr>
        <w:t>(servizi di revisione)</w:t>
      </w:r>
    </w:p>
    <w:p w14:paraId="0218CE95" w14:textId="3E05F351" w:rsidR="001F00CB" w:rsidRPr="00A87CE8" w:rsidRDefault="002A76D8">
      <w:pPr>
        <w:rPr>
          <w:rFonts w:ascii="KievitPro-Regular" w:hAnsi="KievitPro-Regular" w:cs="Arial"/>
          <w:b/>
          <w:sz w:val="52"/>
          <w:szCs w:val="52"/>
          <w:lang w:val="it-CH"/>
        </w:rPr>
      </w:pPr>
      <w:r w:rsidRPr="00A87CE8">
        <w:rPr>
          <w:rFonts w:ascii="KievitPro-Regular" w:hAnsi="KievitPro-Regular" w:cs="Arial"/>
          <w:b/>
          <w:sz w:val="44"/>
          <w:szCs w:val="44"/>
          <w:lang w:val="it-CH" w:eastAsia="de-CH"/>
        </w:rPr>
        <w:drawing>
          <wp:anchor distT="0" distB="0" distL="114300" distR="114300" simplePos="0" relativeHeight="251659264" behindDoc="1" locked="0" layoutInCell="1" allowOverlap="1" wp14:anchorId="5B17AC6D" wp14:editId="5CA4A281">
            <wp:simplePos x="0" y="0"/>
            <wp:positionH relativeFrom="page">
              <wp:posOffset>2637031</wp:posOffset>
            </wp:positionH>
            <wp:positionV relativeFrom="paragraph">
              <wp:posOffset>1490328</wp:posOffset>
            </wp:positionV>
            <wp:extent cx="2381250" cy="485775"/>
            <wp:effectExtent l="0" t="0" r="0" b="9525"/>
            <wp:wrapNone/>
            <wp:docPr id="5" name="Bild 5" descr="TREU-SUI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U-SUISS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1F00CB" w:rsidRPr="00A87CE8">
        <w:rPr>
          <w:rFonts w:ascii="KievitPro-Regular" w:hAnsi="KievitPro-Regular" w:cs="Arial"/>
          <w:b/>
          <w:smallCaps/>
          <w:sz w:val="52"/>
          <w:szCs w:val="52"/>
          <w:lang w:val="it-CH"/>
        </w:rPr>
        <w:br w:type="page"/>
      </w:r>
    </w:p>
    <w:p w14:paraId="3C71EDD5" w14:textId="0B6BA90A" w:rsidR="00A9006B" w:rsidRDefault="00A9006B">
      <w:pPr>
        <w:pStyle w:val="Verzeichnis1"/>
        <w:tabs>
          <w:tab w:val="right" w:leader="dot" w:pos="9627"/>
        </w:tabs>
        <w:rPr>
          <w:rFonts w:ascii="KievitPro-Regular" w:eastAsiaTheme="majorEastAsia" w:hAnsi="KievitPro-Regular" w:cs="Arial"/>
          <w:b w:val="0"/>
          <w:bCs w:val="0"/>
          <w:smallCaps/>
          <w:snapToGrid w:val="0"/>
          <w:color w:val="365F91" w:themeColor="accent1" w:themeShade="BF"/>
          <w:sz w:val="32"/>
          <w:szCs w:val="32"/>
          <w:lang w:val="it-CH" w:eastAsia="de-DE" w:bidi="ar-SA"/>
        </w:rPr>
      </w:pPr>
      <w:r>
        <w:rPr>
          <w:rFonts w:ascii="KievitPro-Regular" w:eastAsiaTheme="majorEastAsia" w:hAnsi="KievitPro-Regular" w:cs="Arial"/>
          <w:b w:val="0"/>
          <w:bCs w:val="0"/>
          <w:smallCaps/>
          <w:snapToGrid w:val="0"/>
          <w:color w:val="365F91" w:themeColor="accent1" w:themeShade="BF"/>
          <w:sz w:val="32"/>
          <w:szCs w:val="32"/>
          <w:lang w:val="it-CH" w:eastAsia="de-DE" w:bidi="ar-SA"/>
        </w:rPr>
        <w:lastRenderedPageBreak/>
        <w:t>INdice</w:t>
      </w:r>
    </w:p>
    <w:p w14:paraId="1B260C37" w14:textId="4BA60DF3" w:rsidR="00A9006B" w:rsidRDefault="00A9006B">
      <w:pPr>
        <w:pStyle w:val="Verzeichnis1"/>
        <w:tabs>
          <w:tab w:val="right" w:leader="dot" w:pos="9627"/>
        </w:tabs>
        <w:rPr>
          <w:rFonts w:eastAsiaTheme="minorEastAsia" w:cstheme="minorBidi"/>
          <w:b w:val="0"/>
          <w:bCs w:val="0"/>
          <w:caps w:val="0"/>
          <w:noProof/>
          <w:kern w:val="2"/>
          <w:sz w:val="24"/>
          <w:szCs w:val="24"/>
          <w:lang w:val="de-CH" w:eastAsia="de-CH" w:bidi="ar-SA"/>
          <w14:ligatures w14:val="standardContextual"/>
        </w:rPr>
      </w:pPr>
      <w:r>
        <w:rPr>
          <w:rFonts w:ascii="KievitPro-Regular" w:eastAsiaTheme="majorEastAsia" w:hAnsi="KievitPro-Regular" w:cs="Arial"/>
          <w:b w:val="0"/>
          <w:bCs w:val="0"/>
          <w:smallCaps/>
          <w:snapToGrid w:val="0"/>
          <w:color w:val="365F91" w:themeColor="accent1" w:themeShade="BF"/>
          <w:sz w:val="32"/>
          <w:szCs w:val="32"/>
          <w:lang w:val="it-CH" w:eastAsia="de-DE" w:bidi="ar-SA"/>
        </w:rPr>
        <w:fldChar w:fldCharType="begin"/>
      </w:r>
      <w:r>
        <w:rPr>
          <w:rFonts w:ascii="KievitPro-Regular" w:eastAsiaTheme="majorEastAsia" w:hAnsi="KievitPro-Regular" w:cs="Arial"/>
          <w:b w:val="0"/>
          <w:bCs w:val="0"/>
          <w:smallCaps/>
          <w:snapToGrid w:val="0"/>
          <w:color w:val="365F91" w:themeColor="accent1" w:themeShade="BF"/>
          <w:sz w:val="32"/>
          <w:szCs w:val="32"/>
          <w:lang w:val="it-CH" w:eastAsia="de-DE" w:bidi="ar-SA"/>
        </w:rPr>
        <w:instrText xml:space="preserve"> TOC \o "1-3" \h \z \u </w:instrText>
      </w:r>
      <w:r>
        <w:rPr>
          <w:rFonts w:ascii="KievitPro-Regular" w:eastAsiaTheme="majorEastAsia" w:hAnsi="KievitPro-Regular" w:cs="Arial"/>
          <w:b w:val="0"/>
          <w:bCs w:val="0"/>
          <w:smallCaps/>
          <w:snapToGrid w:val="0"/>
          <w:color w:val="365F91" w:themeColor="accent1" w:themeShade="BF"/>
          <w:sz w:val="32"/>
          <w:szCs w:val="32"/>
          <w:lang w:val="it-CH" w:eastAsia="de-DE" w:bidi="ar-SA"/>
        </w:rPr>
        <w:fldChar w:fldCharType="separate"/>
      </w:r>
      <w:hyperlink w:anchor="_Toc242261424" w:history="1">
        <w:r w:rsidRPr="00711B4B">
          <w:rPr>
            <w:rStyle w:val="Hyperlink"/>
            <w:rFonts w:ascii="KievitPro-Regular" w:hAnsi="KievitPro-Regular" w:cs="Arial"/>
            <w:noProof/>
            <w:lang w:val="it-CH"/>
          </w:rPr>
          <w:t>Strategia e principi del sistema di gestione della qualità</w:t>
        </w:r>
        <w:r>
          <w:rPr>
            <w:noProof/>
            <w:webHidden/>
          </w:rPr>
          <w:tab/>
        </w:r>
        <w:r>
          <w:rPr>
            <w:noProof/>
            <w:webHidden/>
          </w:rPr>
          <w:fldChar w:fldCharType="begin"/>
        </w:r>
        <w:r>
          <w:rPr>
            <w:noProof/>
            <w:webHidden/>
          </w:rPr>
          <w:instrText xml:space="preserve"> PAGEREF _Toc242261424 \h </w:instrText>
        </w:r>
        <w:r>
          <w:rPr>
            <w:noProof/>
            <w:webHidden/>
          </w:rPr>
        </w:r>
        <w:r>
          <w:rPr>
            <w:noProof/>
            <w:webHidden/>
          </w:rPr>
          <w:fldChar w:fldCharType="separate"/>
        </w:r>
        <w:r>
          <w:rPr>
            <w:noProof/>
            <w:webHidden/>
          </w:rPr>
          <w:t>4</w:t>
        </w:r>
        <w:r>
          <w:rPr>
            <w:noProof/>
            <w:webHidden/>
          </w:rPr>
          <w:fldChar w:fldCharType="end"/>
        </w:r>
      </w:hyperlink>
    </w:p>
    <w:p w14:paraId="1DAF49DD" w14:textId="64694E54" w:rsidR="00A9006B" w:rsidRDefault="00A9006B">
      <w:pPr>
        <w:pStyle w:val="Verzeichnis1"/>
        <w:tabs>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25" w:history="1">
        <w:r w:rsidRPr="00711B4B">
          <w:rPr>
            <w:rStyle w:val="Hyperlink"/>
            <w:rFonts w:ascii="KievitPro-Regular" w:hAnsi="KievitPro-Regular" w:cs="Arial"/>
            <w:noProof/>
            <w:lang w:val="it-CH"/>
          </w:rPr>
          <w:t>Principi di base</w:t>
        </w:r>
        <w:r>
          <w:rPr>
            <w:noProof/>
            <w:webHidden/>
          </w:rPr>
          <w:tab/>
        </w:r>
        <w:r>
          <w:rPr>
            <w:noProof/>
            <w:webHidden/>
          </w:rPr>
          <w:fldChar w:fldCharType="begin"/>
        </w:r>
        <w:r>
          <w:rPr>
            <w:noProof/>
            <w:webHidden/>
          </w:rPr>
          <w:instrText xml:space="preserve"> PAGEREF _Toc242261425 \h </w:instrText>
        </w:r>
        <w:r>
          <w:rPr>
            <w:noProof/>
            <w:webHidden/>
          </w:rPr>
        </w:r>
        <w:r>
          <w:rPr>
            <w:noProof/>
            <w:webHidden/>
          </w:rPr>
          <w:fldChar w:fldCharType="separate"/>
        </w:r>
        <w:r>
          <w:rPr>
            <w:noProof/>
            <w:webHidden/>
          </w:rPr>
          <w:t>4</w:t>
        </w:r>
        <w:r>
          <w:rPr>
            <w:noProof/>
            <w:webHidden/>
          </w:rPr>
          <w:fldChar w:fldCharType="end"/>
        </w:r>
      </w:hyperlink>
    </w:p>
    <w:p w14:paraId="68B15962" w14:textId="0632E992" w:rsidR="00A9006B" w:rsidRDefault="00A9006B">
      <w:pPr>
        <w:pStyle w:val="Verzeichnis1"/>
        <w:tabs>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26" w:history="1">
        <w:r w:rsidRPr="00711B4B">
          <w:rPr>
            <w:rStyle w:val="Hyperlink"/>
            <w:rFonts w:ascii="KievitPro-Regular" w:hAnsi="KievitPro-Regular" w:cs="Arial"/>
            <w:noProof/>
            <w:lang w:val="it-CH"/>
          </w:rPr>
          <w:t>Approvazione</w:t>
        </w:r>
        <w:r>
          <w:rPr>
            <w:noProof/>
            <w:webHidden/>
          </w:rPr>
          <w:tab/>
        </w:r>
        <w:r>
          <w:rPr>
            <w:noProof/>
            <w:webHidden/>
          </w:rPr>
          <w:fldChar w:fldCharType="begin"/>
        </w:r>
        <w:r>
          <w:rPr>
            <w:noProof/>
            <w:webHidden/>
          </w:rPr>
          <w:instrText xml:space="preserve"> PAGEREF _Toc242261426 \h </w:instrText>
        </w:r>
        <w:r>
          <w:rPr>
            <w:noProof/>
            <w:webHidden/>
          </w:rPr>
        </w:r>
        <w:r>
          <w:rPr>
            <w:noProof/>
            <w:webHidden/>
          </w:rPr>
          <w:fldChar w:fldCharType="separate"/>
        </w:r>
        <w:r>
          <w:rPr>
            <w:noProof/>
            <w:webHidden/>
          </w:rPr>
          <w:t>5</w:t>
        </w:r>
        <w:r>
          <w:rPr>
            <w:noProof/>
            <w:webHidden/>
          </w:rPr>
          <w:fldChar w:fldCharType="end"/>
        </w:r>
      </w:hyperlink>
    </w:p>
    <w:p w14:paraId="76BEE3FB" w14:textId="6691AD00"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27" w:history="1">
        <w:r w:rsidRPr="00711B4B">
          <w:rPr>
            <w:rStyle w:val="Hyperlink"/>
            <w:rFonts w:ascii="KievitPro-Regular" w:hAnsi="KievitPro-Regular" w:cs="Arial"/>
            <w:noProof/>
            <w:lang w:val="it-CH"/>
          </w:rPr>
          <w:t>1</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Processo di valutazione dei rischi nello studio</w:t>
        </w:r>
        <w:r>
          <w:rPr>
            <w:noProof/>
            <w:webHidden/>
          </w:rPr>
          <w:tab/>
        </w:r>
        <w:r>
          <w:rPr>
            <w:noProof/>
            <w:webHidden/>
          </w:rPr>
          <w:fldChar w:fldCharType="begin"/>
        </w:r>
        <w:r>
          <w:rPr>
            <w:noProof/>
            <w:webHidden/>
          </w:rPr>
          <w:instrText xml:space="preserve"> PAGEREF _Toc242261427 \h </w:instrText>
        </w:r>
        <w:r>
          <w:rPr>
            <w:noProof/>
            <w:webHidden/>
          </w:rPr>
        </w:r>
        <w:r>
          <w:rPr>
            <w:noProof/>
            <w:webHidden/>
          </w:rPr>
          <w:fldChar w:fldCharType="separate"/>
        </w:r>
        <w:r>
          <w:rPr>
            <w:noProof/>
            <w:webHidden/>
          </w:rPr>
          <w:t>6</w:t>
        </w:r>
        <w:r>
          <w:rPr>
            <w:noProof/>
            <w:webHidden/>
          </w:rPr>
          <w:fldChar w:fldCharType="end"/>
        </w:r>
      </w:hyperlink>
    </w:p>
    <w:p w14:paraId="143D1D28" w14:textId="7F7DEFE5"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28" w:history="1">
        <w:r w:rsidRPr="00711B4B">
          <w:rPr>
            <w:rStyle w:val="Hyperlink"/>
            <w:rFonts w:ascii="KievitPro-Regular" w:hAnsi="KievitPro-Regular" w:cs="Arial"/>
            <w:noProof/>
            <w:lang w:val="it-CH"/>
          </w:rPr>
          <w:t>2</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Sorveglianza e leadership del sistema di gestione della qualità</w:t>
        </w:r>
        <w:r>
          <w:rPr>
            <w:noProof/>
            <w:webHidden/>
          </w:rPr>
          <w:tab/>
        </w:r>
        <w:r>
          <w:rPr>
            <w:noProof/>
            <w:webHidden/>
          </w:rPr>
          <w:fldChar w:fldCharType="begin"/>
        </w:r>
        <w:r>
          <w:rPr>
            <w:noProof/>
            <w:webHidden/>
          </w:rPr>
          <w:instrText xml:space="preserve"> PAGEREF _Toc242261428 \h </w:instrText>
        </w:r>
        <w:r>
          <w:rPr>
            <w:noProof/>
            <w:webHidden/>
          </w:rPr>
        </w:r>
        <w:r>
          <w:rPr>
            <w:noProof/>
            <w:webHidden/>
          </w:rPr>
          <w:fldChar w:fldCharType="separate"/>
        </w:r>
        <w:r>
          <w:rPr>
            <w:noProof/>
            <w:webHidden/>
          </w:rPr>
          <w:t>7</w:t>
        </w:r>
        <w:r>
          <w:rPr>
            <w:noProof/>
            <w:webHidden/>
          </w:rPr>
          <w:fldChar w:fldCharType="end"/>
        </w:r>
      </w:hyperlink>
    </w:p>
    <w:p w14:paraId="07943C82" w14:textId="644D17F5"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29" w:history="1">
        <w:r w:rsidRPr="00711B4B">
          <w:rPr>
            <w:rStyle w:val="Hyperlink"/>
            <w:rFonts w:ascii="KievitPro-Regular" w:hAnsi="KievitPro-Regular" w:cs="Arial"/>
            <w:noProof/>
            <w:lang w:val="it-CH"/>
          </w:rPr>
          <w:t>3</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Requisiti previsti dalla legge e dai principi professionali</w:t>
        </w:r>
        <w:r>
          <w:rPr>
            <w:noProof/>
            <w:webHidden/>
          </w:rPr>
          <w:tab/>
        </w:r>
        <w:r>
          <w:rPr>
            <w:noProof/>
            <w:webHidden/>
          </w:rPr>
          <w:fldChar w:fldCharType="begin"/>
        </w:r>
        <w:r>
          <w:rPr>
            <w:noProof/>
            <w:webHidden/>
          </w:rPr>
          <w:instrText xml:space="preserve"> PAGEREF _Toc242261429 \h </w:instrText>
        </w:r>
        <w:r>
          <w:rPr>
            <w:noProof/>
            <w:webHidden/>
          </w:rPr>
        </w:r>
        <w:r>
          <w:rPr>
            <w:noProof/>
            <w:webHidden/>
          </w:rPr>
          <w:fldChar w:fldCharType="separate"/>
        </w:r>
        <w:r>
          <w:rPr>
            <w:noProof/>
            <w:webHidden/>
          </w:rPr>
          <w:t>9</w:t>
        </w:r>
        <w:r>
          <w:rPr>
            <w:noProof/>
            <w:webHidden/>
          </w:rPr>
          <w:fldChar w:fldCharType="end"/>
        </w:r>
      </w:hyperlink>
    </w:p>
    <w:p w14:paraId="5CE20ACF" w14:textId="2B69AB22"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30" w:history="1">
        <w:r w:rsidRPr="00711B4B">
          <w:rPr>
            <w:rStyle w:val="Hyperlink"/>
            <w:rFonts w:ascii="KievitPro-Regular" w:hAnsi="KievitPro-Regular" w:cs="Arial"/>
            <w:noProof/>
            <w:lang w:val="it-CH"/>
          </w:rPr>
          <w:t>4</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Accettazione, continuazione e cessazione dei mandati</w:t>
        </w:r>
        <w:r>
          <w:rPr>
            <w:noProof/>
            <w:webHidden/>
          </w:rPr>
          <w:tab/>
        </w:r>
        <w:r>
          <w:rPr>
            <w:noProof/>
            <w:webHidden/>
          </w:rPr>
          <w:fldChar w:fldCharType="begin"/>
        </w:r>
        <w:r>
          <w:rPr>
            <w:noProof/>
            <w:webHidden/>
          </w:rPr>
          <w:instrText xml:space="preserve"> PAGEREF _Toc242261430 \h </w:instrText>
        </w:r>
        <w:r>
          <w:rPr>
            <w:noProof/>
            <w:webHidden/>
          </w:rPr>
        </w:r>
        <w:r>
          <w:rPr>
            <w:noProof/>
            <w:webHidden/>
          </w:rPr>
          <w:fldChar w:fldCharType="separate"/>
        </w:r>
        <w:r>
          <w:rPr>
            <w:noProof/>
            <w:webHidden/>
          </w:rPr>
          <w:t>11</w:t>
        </w:r>
        <w:r>
          <w:rPr>
            <w:noProof/>
            <w:webHidden/>
          </w:rPr>
          <w:fldChar w:fldCharType="end"/>
        </w:r>
      </w:hyperlink>
    </w:p>
    <w:p w14:paraId="66C5A141" w14:textId="46C72CFA"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31" w:history="1">
        <w:r w:rsidRPr="00711B4B">
          <w:rPr>
            <w:rStyle w:val="Hyperlink"/>
            <w:rFonts w:ascii="KievitPro-Regular" w:hAnsi="KievitPro-Regular" w:cs="Arial"/>
            <w:noProof/>
            <w:lang w:val="it-CH"/>
          </w:rPr>
          <w:t>5</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Esecuzione dei mandati</w:t>
        </w:r>
        <w:r>
          <w:rPr>
            <w:noProof/>
            <w:webHidden/>
          </w:rPr>
          <w:tab/>
        </w:r>
        <w:r>
          <w:rPr>
            <w:noProof/>
            <w:webHidden/>
          </w:rPr>
          <w:fldChar w:fldCharType="begin"/>
        </w:r>
        <w:r>
          <w:rPr>
            <w:noProof/>
            <w:webHidden/>
          </w:rPr>
          <w:instrText xml:space="preserve"> PAGEREF _Toc242261431 \h </w:instrText>
        </w:r>
        <w:r>
          <w:rPr>
            <w:noProof/>
            <w:webHidden/>
          </w:rPr>
        </w:r>
        <w:r>
          <w:rPr>
            <w:noProof/>
            <w:webHidden/>
          </w:rPr>
          <w:fldChar w:fldCharType="separate"/>
        </w:r>
        <w:r>
          <w:rPr>
            <w:noProof/>
            <w:webHidden/>
          </w:rPr>
          <w:t>12</w:t>
        </w:r>
        <w:r>
          <w:rPr>
            <w:noProof/>
            <w:webHidden/>
          </w:rPr>
          <w:fldChar w:fldCharType="end"/>
        </w:r>
      </w:hyperlink>
    </w:p>
    <w:p w14:paraId="46C836B2" w14:textId="64535646"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32" w:history="1">
        <w:r w:rsidRPr="00711B4B">
          <w:rPr>
            <w:rStyle w:val="Hyperlink"/>
            <w:rFonts w:ascii="KievitPro-Regular" w:hAnsi="KievitPro-Regular" w:cs="Arial"/>
            <w:noProof/>
            <w:lang w:val="it-CH"/>
          </w:rPr>
          <w:t>6</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Competenze e informazione dei collaboratori</w:t>
        </w:r>
        <w:r>
          <w:rPr>
            <w:noProof/>
            <w:webHidden/>
          </w:rPr>
          <w:tab/>
        </w:r>
        <w:r>
          <w:rPr>
            <w:noProof/>
            <w:webHidden/>
          </w:rPr>
          <w:fldChar w:fldCharType="begin"/>
        </w:r>
        <w:r>
          <w:rPr>
            <w:noProof/>
            <w:webHidden/>
          </w:rPr>
          <w:instrText xml:space="preserve"> PAGEREF _Toc242261432 \h </w:instrText>
        </w:r>
        <w:r>
          <w:rPr>
            <w:noProof/>
            <w:webHidden/>
          </w:rPr>
        </w:r>
        <w:r>
          <w:rPr>
            <w:noProof/>
            <w:webHidden/>
          </w:rPr>
          <w:fldChar w:fldCharType="separate"/>
        </w:r>
        <w:r>
          <w:rPr>
            <w:noProof/>
            <w:webHidden/>
          </w:rPr>
          <w:t>19</w:t>
        </w:r>
        <w:r>
          <w:rPr>
            <w:noProof/>
            <w:webHidden/>
          </w:rPr>
          <w:fldChar w:fldCharType="end"/>
        </w:r>
      </w:hyperlink>
    </w:p>
    <w:p w14:paraId="09E71CB7" w14:textId="62E361A5"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33" w:history="1">
        <w:r w:rsidRPr="00711B4B">
          <w:rPr>
            <w:rStyle w:val="Hyperlink"/>
            <w:rFonts w:ascii="KievitPro-Regular" w:hAnsi="KievitPro-Regular" w:cs="Arial"/>
            <w:noProof/>
            <w:lang w:val="it-CH"/>
          </w:rPr>
          <w:t>7</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Processo di riesame e miglioramento</w:t>
        </w:r>
        <w:r>
          <w:rPr>
            <w:noProof/>
            <w:webHidden/>
          </w:rPr>
          <w:tab/>
        </w:r>
        <w:r>
          <w:rPr>
            <w:noProof/>
            <w:webHidden/>
          </w:rPr>
          <w:fldChar w:fldCharType="begin"/>
        </w:r>
        <w:r>
          <w:rPr>
            <w:noProof/>
            <w:webHidden/>
          </w:rPr>
          <w:instrText xml:space="preserve"> PAGEREF _Toc242261433 \h </w:instrText>
        </w:r>
        <w:r>
          <w:rPr>
            <w:noProof/>
            <w:webHidden/>
          </w:rPr>
        </w:r>
        <w:r>
          <w:rPr>
            <w:noProof/>
            <w:webHidden/>
          </w:rPr>
          <w:fldChar w:fldCharType="separate"/>
        </w:r>
        <w:r>
          <w:rPr>
            <w:noProof/>
            <w:webHidden/>
          </w:rPr>
          <w:t>20</w:t>
        </w:r>
        <w:r>
          <w:rPr>
            <w:noProof/>
            <w:webHidden/>
          </w:rPr>
          <w:fldChar w:fldCharType="end"/>
        </w:r>
      </w:hyperlink>
    </w:p>
    <w:p w14:paraId="024547FD" w14:textId="71BB2CCD"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34" w:history="1">
        <w:r w:rsidRPr="00711B4B">
          <w:rPr>
            <w:rStyle w:val="Hyperlink"/>
            <w:rFonts w:ascii="KievitPro-Regular" w:hAnsi="KievitPro-Regular" w:cs="Arial"/>
            <w:noProof/>
            <w:lang w:val="it-CH"/>
          </w:rPr>
          <w:t>8</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Valutazione del sistema di gestione della qualità</w:t>
        </w:r>
        <w:r>
          <w:rPr>
            <w:noProof/>
            <w:webHidden/>
          </w:rPr>
          <w:tab/>
        </w:r>
        <w:r>
          <w:rPr>
            <w:noProof/>
            <w:webHidden/>
          </w:rPr>
          <w:fldChar w:fldCharType="begin"/>
        </w:r>
        <w:r>
          <w:rPr>
            <w:noProof/>
            <w:webHidden/>
          </w:rPr>
          <w:instrText xml:space="preserve"> PAGEREF _Toc242261434 \h </w:instrText>
        </w:r>
        <w:r>
          <w:rPr>
            <w:noProof/>
            <w:webHidden/>
          </w:rPr>
        </w:r>
        <w:r>
          <w:rPr>
            <w:noProof/>
            <w:webHidden/>
          </w:rPr>
          <w:fldChar w:fldCharType="separate"/>
        </w:r>
        <w:r>
          <w:rPr>
            <w:noProof/>
            <w:webHidden/>
          </w:rPr>
          <w:t>23</w:t>
        </w:r>
        <w:r>
          <w:rPr>
            <w:noProof/>
            <w:webHidden/>
          </w:rPr>
          <w:fldChar w:fldCharType="end"/>
        </w:r>
      </w:hyperlink>
    </w:p>
    <w:p w14:paraId="36E76E88" w14:textId="47CCD6F4"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35" w:history="1">
        <w:r w:rsidRPr="00711B4B">
          <w:rPr>
            <w:rStyle w:val="Hyperlink"/>
            <w:rFonts w:ascii="KievitPro-Regular" w:hAnsi="KievitPro-Regular" w:cs="Arial"/>
            <w:noProof/>
            <w:lang w:val="it-CH"/>
          </w:rPr>
          <w:t>9</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Documentazione del sistema di gestione della qualità</w:t>
        </w:r>
        <w:r>
          <w:rPr>
            <w:noProof/>
            <w:webHidden/>
          </w:rPr>
          <w:tab/>
        </w:r>
        <w:r>
          <w:rPr>
            <w:noProof/>
            <w:webHidden/>
          </w:rPr>
          <w:fldChar w:fldCharType="begin"/>
        </w:r>
        <w:r>
          <w:rPr>
            <w:noProof/>
            <w:webHidden/>
          </w:rPr>
          <w:instrText xml:space="preserve"> PAGEREF _Toc242261435 \h </w:instrText>
        </w:r>
        <w:r>
          <w:rPr>
            <w:noProof/>
            <w:webHidden/>
          </w:rPr>
        </w:r>
        <w:r>
          <w:rPr>
            <w:noProof/>
            <w:webHidden/>
          </w:rPr>
          <w:fldChar w:fldCharType="separate"/>
        </w:r>
        <w:r>
          <w:rPr>
            <w:noProof/>
            <w:webHidden/>
          </w:rPr>
          <w:t>23</w:t>
        </w:r>
        <w:r>
          <w:rPr>
            <w:noProof/>
            <w:webHidden/>
          </w:rPr>
          <w:fldChar w:fldCharType="end"/>
        </w:r>
      </w:hyperlink>
    </w:p>
    <w:p w14:paraId="67882508" w14:textId="1883871F"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36" w:history="1">
        <w:r w:rsidRPr="00711B4B">
          <w:rPr>
            <w:rStyle w:val="Hyperlink"/>
            <w:rFonts w:ascii="KievitPro-Regular" w:hAnsi="KievitPro-Regular" w:cs="Arial"/>
            <w:noProof/>
            <w:lang w:val="it-CH"/>
          </w:rPr>
          <w:t>10</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Panoramica degli strumenti di lavoro e dei modelli</w:t>
        </w:r>
        <w:r>
          <w:rPr>
            <w:noProof/>
            <w:webHidden/>
          </w:rPr>
          <w:tab/>
        </w:r>
        <w:r>
          <w:rPr>
            <w:noProof/>
            <w:webHidden/>
          </w:rPr>
          <w:fldChar w:fldCharType="begin"/>
        </w:r>
        <w:r>
          <w:rPr>
            <w:noProof/>
            <w:webHidden/>
          </w:rPr>
          <w:instrText xml:space="preserve"> PAGEREF _Toc242261436 \h </w:instrText>
        </w:r>
        <w:r>
          <w:rPr>
            <w:noProof/>
            <w:webHidden/>
          </w:rPr>
        </w:r>
        <w:r>
          <w:rPr>
            <w:noProof/>
            <w:webHidden/>
          </w:rPr>
          <w:fldChar w:fldCharType="separate"/>
        </w:r>
        <w:r>
          <w:rPr>
            <w:noProof/>
            <w:webHidden/>
          </w:rPr>
          <w:t>24</w:t>
        </w:r>
        <w:r>
          <w:rPr>
            <w:noProof/>
            <w:webHidden/>
          </w:rPr>
          <w:fldChar w:fldCharType="end"/>
        </w:r>
      </w:hyperlink>
    </w:p>
    <w:p w14:paraId="6D019BA4" w14:textId="18A6A21E" w:rsidR="00A9006B" w:rsidRDefault="00A9006B">
      <w:pPr>
        <w:pStyle w:val="Verzeichnis1"/>
        <w:tabs>
          <w:tab w:val="left" w:pos="440"/>
          <w:tab w:val="right" w:leader="dot" w:pos="9627"/>
        </w:tabs>
        <w:rPr>
          <w:rFonts w:eastAsiaTheme="minorEastAsia" w:cstheme="minorBidi"/>
          <w:b w:val="0"/>
          <w:bCs w:val="0"/>
          <w:caps w:val="0"/>
          <w:noProof/>
          <w:kern w:val="2"/>
          <w:sz w:val="24"/>
          <w:szCs w:val="24"/>
          <w:lang w:val="de-CH" w:eastAsia="de-CH" w:bidi="ar-SA"/>
          <w14:ligatures w14:val="standardContextual"/>
        </w:rPr>
      </w:pPr>
      <w:hyperlink w:anchor="_Toc242261437" w:history="1">
        <w:r w:rsidRPr="00711B4B">
          <w:rPr>
            <w:rStyle w:val="Hyperlink"/>
            <w:rFonts w:ascii="KievitPro-Regular" w:hAnsi="KievitPro-Regular" w:cs="Arial"/>
            <w:noProof/>
            <w:lang w:val="it-CH"/>
          </w:rPr>
          <w:t>11</w:t>
        </w:r>
        <w:r>
          <w:rPr>
            <w:rFonts w:eastAsiaTheme="minorEastAsia" w:cstheme="minorBidi"/>
            <w:b w:val="0"/>
            <w:bCs w:val="0"/>
            <w:caps w:val="0"/>
            <w:noProof/>
            <w:kern w:val="2"/>
            <w:sz w:val="24"/>
            <w:szCs w:val="24"/>
            <w:lang w:val="de-CH" w:eastAsia="de-CH" w:bidi="ar-SA"/>
            <w14:ligatures w14:val="standardContextual"/>
          </w:rPr>
          <w:tab/>
        </w:r>
        <w:r w:rsidRPr="00711B4B">
          <w:rPr>
            <w:rStyle w:val="Hyperlink"/>
            <w:rFonts w:ascii="KievitPro-Regular" w:hAnsi="KievitPro-Regular" w:cs="Arial"/>
            <w:noProof/>
            <w:lang w:val="it-CH"/>
          </w:rPr>
          <w:t>Organigramma</w:t>
        </w:r>
        <w:r>
          <w:rPr>
            <w:noProof/>
            <w:webHidden/>
          </w:rPr>
          <w:tab/>
        </w:r>
        <w:r>
          <w:rPr>
            <w:noProof/>
            <w:webHidden/>
          </w:rPr>
          <w:fldChar w:fldCharType="begin"/>
        </w:r>
        <w:r>
          <w:rPr>
            <w:noProof/>
            <w:webHidden/>
          </w:rPr>
          <w:instrText xml:space="preserve"> PAGEREF _Toc242261437 \h </w:instrText>
        </w:r>
        <w:r>
          <w:rPr>
            <w:noProof/>
            <w:webHidden/>
          </w:rPr>
        </w:r>
        <w:r>
          <w:rPr>
            <w:noProof/>
            <w:webHidden/>
          </w:rPr>
          <w:fldChar w:fldCharType="separate"/>
        </w:r>
        <w:r>
          <w:rPr>
            <w:noProof/>
            <w:webHidden/>
          </w:rPr>
          <w:t>25</w:t>
        </w:r>
        <w:r>
          <w:rPr>
            <w:noProof/>
            <w:webHidden/>
          </w:rPr>
          <w:fldChar w:fldCharType="end"/>
        </w:r>
      </w:hyperlink>
    </w:p>
    <w:p w14:paraId="5361CAC5" w14:textId="71BCC674" w:rsidR="000E38BE" w:rsidRPr="00A87CE8" w:rsidRDefault="00A9006B" w:rsidP="00812B8C">
      <w:pPr>
        <w:pBdr>
          <w:bottom w:val="single" w:sz="6" w:space="1" w:color="auto"/>
        </w:pBdr>
        <w:rPr>
          <w:rFonts w:ascii="KievitPro-Regular" w:hAnsi="KievitPro-Regular"/>
          <w:lang w:val="it-CH"/>
        </w:rPr>
      </w:pPr>
      <w:r>
        <w:rPr>
          <w:rFonts w:ascii="KievitPro-Regular" w:eastAsiaTheme="majorEastAsia" w:hAnsi="KievitPro-Regular" w:cs="Arial"/>
          <w:b/>
          <w:bCs/>
          <w:smallCaps/>
          <w:snapToGrid w:val="0"/>
          <w:color w:val="365F91" w:themeColor="accent1" w:themeShade="BF"/>
          <w:sz w:val="32"/>
          <w:szCs w:val="32"/>
          <w:lang w:val="it-CH" w:eastAsia="de-DE" w:bidi="ar-SA"/>
        </w:rPr>
        <w:fldChar w:fldCharType="end"/>
      </w:r>
      <w:r w:rsidR="000E38BE" w:rsidRPr="00A87CE8">
        <w:rPr>
          <w:rFonts w:ascii="KievitPro-Regular" w:hAnsi="KievitPro-Regular"/>
          <w:lang w:val="it-CH"/>
        </w:rPr>
        <w:br w:type="page"/>
      </w:r>
    </w:p>
    <w:p w14:paraId="7FDE52B7" w14:textId="77777777" w:rsidR="00D0453F" w:rsidRPr="00A87CE8" w:rsidRDefault="00D0453F">
      <w:pPr>
        <w:pBdr>
          <w:bottom w:val="single" w:sz="6" w:space="1" w:color="auto"/>
        </w:pBdr>
        <w:rPr>
          <w:rFonts w:ascii="KievitPro-Regular" w:hAnsi="KievitPro-Regular"/>
          <w:lang w:val="it-CH"/>
        </w:rPr>
      </w:pPr>
    </w:p>
    <w:p w14:paraId="210D6EF3" w14:textId="719F2CA6" w:rsidR="00416D02" w:rsidRPr="00A87CE8" w:rsidRDefault="00416D02" w:rsidP="00036477">
      <w:pPr>
        <w:spacing w:after="0"/>
        <w:jc w:val="both"/>
        <w:rPr>
          <w:rFonts w:ascii="KievitPro-Regular" w:hAnsi="KievitPro-Regular" w:cs="Arial"/>
          <w:color w:val="222222"/>
          <w:sz w:val="20"/>
          <w:szCs w:val="20"/>
          <w:lang w:val="it-CH" w:eastAsia="de-CH" w:bidi="ar-SA"/>
        </w:rPr>
      </w:pPr>
      <w:r w:rsidRPr="00A87CE8">
        <w:rPr>
          <w:rFonts w:ascii="KievitPro-Regular" w:hAnsi="KievitPro-Regular" w:cs="Arial"/>
          <w:color w:val="222222"/>
          <w:sz w:val="20"/>
          <w:szCs w:val="20"/>
          <w:lang w:val="it-CH" w:eastAsia="de-CH" w:bidi="ar-SA"/>
        </w:rPr>
        <w:t>In questo testo, per semplicità, viene utilizzata soltanto la forma maschile. La forma femminile è ovviamente sempre inclusa.</w:t>
      </w:r>
    </w:p>
    <w:p w14:paraId="1B66265B" w14:textId="77777777" w:rsidR="00167E2F" w:rsidRPr="00A87CE8" w:rsidRDefault="00167E2F" w:rsidP="00036477">
      <w:pPr>
        <w:spacing w:after="0"/>
        <w:jc w:val="both"/>
        <w:rPr>
          <w:rFonts w:ascii="KievitPro-Regular" w:hAnsi="KievitPro-Regular" w:cs="Arial"/>
          <w:color w:val="222222"/>
          <w:sz w:val="20"/>
          <w:szCs w:val="20"/>
          <w:lang w:val="it-CH" w:eastAsia="de-CH" w:bidi="ar-SA"/>
        </w:rPr>
      </w:pPr>
    </w:p>
    <w:p w14:paraId="38DA3CA9" w14:textId="0280CD73" w:rsidR="00167E2F" w:rsidRPr="00A87CE8" w:rsidRDefault="00167E2F" w:rsidP="00036477">
      <w:pPr>
        <w:spacing w:after="0"/>
        <w:jc w:val="both"/>
        <w:rPr>
          <w:rFonts w:ascii="KievitPro-Regular" w:hAnsi="KievitPro-Regular" w:cs="Arial"/>
          <w:b/>
          <w:color w:val="222222"/>
          <w:sz w:val="20"/>
          <w:szCs w:val="20"/>
          <w:lang w:val="it-CH" w:eastAsia="de-CH" w:bidi="ar-SA"/>
        </w:rPr>
      </w:pPr>
      <w:r w:rsidRPr="00A87CE8">
        <w:rPr>
          <w:rFonts w:ascii="KievitPro-Regular" w:hAnsi="KievitPro-Regular" w:cs="Arial"/>
          <w:b/>
          <w:color w:val="222222"/>
          <w:sz w:val="20"/>
          <w:szCs w:val="20"/>
          <w:lang w:val="it-CH" w:eastAsia="de-CH" w:bidi="ar-SA"/>
        </w:rPr>
        <w:t>Indicazioni:</w:t>
      </w:r>
    </w:p>
    <w:p w14:paraId="275603CD" w14:textId="77777777" w:rsidR="00167E2F" w:rsidRPr="00A87CE8" w:rsidRDefault="00167E2F">
      <w:pPr>
        <w:pStyle w:val="Listenabsatz"/>
        <w:numPr>
          <w:ilvl w:val="0"/>
          <w:numId w:val="3"/>
        </w:numPr>
        <w:spacing w:after="0"/>
        <w:jc w:val="both"/>
        <w:rPr>
          <w:rFonts w:ascii="KievitPro-Regular" w:hAnsi="KievitPro-Regular" w:cs="Arial"/>
          <w:color w:val="222222"/>
          <w:sz w:val="20"/>
          <w:szCs w:val="20"/>
          <w:lang w:val="it-CH" w:eastAsia="de-CH" w:bidi="ar-SA"/>
        </w:rPr>
      </w:pPr>
      <w:r w:rsidRPr="00A87CE8">
        <w:rPr>
          <w:rFonts w:ascii="KievitPro-Regular" w:hAnsi="KievitPro-Regular" w:cs="Arial"/>
          <w:color w:val="222222"/>
          <w:sz w:val="20"/>
          <w:szCs w:val="20"/>
          <w:highlight w:val="yellow"/>
          <w:lang w:val="it-CH" w:eastAsia="de-CH" w:bidi="ar-SA"/>
        </w:rPr>
        <w:t>Passaggi di testo evidenziati in giallo:</w:t>
      </w:r>
    </w:p>
    <w:p w14:paraId="29DC923C" w14:textId="36A3937B" w:rsidR="00167E2F" w:rsidRPr="00A87CE8" w:rsidRDefault="00167E2F" w:rsidP="00167E2F">
      <w:pPr>
        <w:pStyle w:val="Listenabsatz"/>
        <w:spacing w:after="0"/>
        <w:ind w:left="360"/>
        <w:jc w:val="both"/>
        <w:rPr>
          <w:rFonts w:ascii="KievitPro-Regular" w:hAnsi="KievitPro-Regular" w:cs="Arial"/>
          <w:sz w:val="20"/>
          <w:szCs w:val="20"/>
          <w:lang w:val="it-CH"/>
        </w:rPr>
      </w:pPr>
      <w:r w:rsidRPr="00A87CE8">
        <w:rPr>
          <w:rFonts w:ascii="KievitPro-Regular" w:hAnsi="KievitPro-Regular" w:cs="Arial"/>
          <w:sz w:val="20"/>
          <w:szCs w:val="20"/>
          <w:lang w:val="it-CH"/>
        </w:rPr>
        <w:t>Nel manuale ci sono diversi passaggi di testo evidenziati in giallo. Si tratta di parti che devono essere adattate in modo specifico alle realtà aziendali.</w:t>
      </w:r>
    </w:p>
    <w:p w14:paraId="0DE2DB92" w14:textId="77777777" w:rsidR="00167E2F" w:rsidRPr="00A87CE8" w:rsidRDefault="00167E2F" w:rsidP="00784835">
      <w:pPr>
        <w:pStyle w:val="Listenabsatz"/>
        <w:spacing w:after="0"/>
        <w:ind w:left="360"/>
        <w:jc w:val="both"/>
        <w:rPr>
          <w:rFonts w:ascii="KievitPro-Regular" w:hAnsi="KievitPro-Regular" w:cs="Arial"/>
          <w:color w:val="222222"/>
          <w:sz w:val="20"/>
          <w:szCs w:val="20"/>
          <w:lang w:val="it-CH" w:eastAsia="de-CH" w:bidi="ar-SA"/>
        </w:rPr>
      </w:pPr>
    </w:p>
    <w:p w14:paraId="6E169B5B" w14:textId="77777777" w:rsidR="002333DF" w:rsidRPr="00A87CE8" w:rsidRDefault="002333DF" w:rsidP="00784835">
      <w:pPr>
        <w:ind w:left="360"/>
        <w:jc w:val="both"/>
        <w:rPr>
          <w:rFonts w:ascii="KievitPro-Regular" w:hAnsi="KievitPro-Regular" w:cs="Arial"/>
          <w:sz w:val="20"/>
          <w:szCs w:val="20"/>
          <w:lang w:val="it-CH"/>
        </w:rPr>
      </w:pPr>
    </w:p>
    <w:p w14:paraId="7452F4E1" w14:textId="77777777" w:rsidR="00416D02" w:rsidRPr="00A87CE8" w:rsidRDefault="00416D02" w:rsidP="00053AF4">
      <w:pPr>
        <w:jc w:val="both"/>
        <w:rPr>
          <w:rFonts w:ascii="KievitPro-Regular" w:hAnsi="KievitPro-Regular" w:cs="Arial"/>
          <w:b/>
          <w:sz w:val="20"/>
          <w:szCs w:val="20"/>
          <w:lang w:val="it-CH"/>
        </w:rPr>
      </w:pPr>
      <w:r w:rsidRPr="00A87CE8">
        <w:rPr>
          <w:rFonts w:ascii="KievitPro-Regular" w:hAnsi="KievitPro-Regular" w:cs="Arial"/>
          <w:b/>
          <w:sz w:val="20"/>
          <w:szCs w:val="20"/>
          <w:lang w:val="it-CH"/>
        </w:rPr>
        <w:t>Disclaimer</w:t>
      </w:r>
    </w:p>
    <w:p w14:paraId="2D8961A3" w14:textId="5BE388AA" w:rsidR="00416D02" w:rsidRPr="00A87CE8" w:rsidRDefault="00416D02"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Il presente manuale di gestione della qualità (QM) è destinato alle imprese di revisione che effettuano esclusivamente revisioni limitate. Il manuale deve essere adattato alle specifiche condizioni dell'impresa di revisione. È possibile integrare oppure omettere singole liste di controllo e informazioni.</w:t>
      </w:r>
    </w:p>
    <w:p w14:paraId="0A737479" w14:textId="77777777" w:rsidR="00416D02" w:rsidRPr="00A87CE8" w:rsidRDefault="00416D02"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Non si garantisce la completezza del presente documento; analogamente, la presente versione non ha carattere vincolante.</w:t>
      </w:r>
    </w:p>
    <w:p w14:paraId="0A47F9A9" w14:textId="527372CA" w:rsidR="00416D02" w:rsidRPr="00A87CE8" w:rsidRDefault="00416D02" w:rsidP="00AD25F4">
      <w:pPr>
        <w:pBdr>
          <w:bottom w:val="single" w:sz="2" w:space="1" w:color="000000"/>
        </w:pBd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Non è sufficiente limitarsi a introdurre il manuale di gestione della qualità, ma occorre anche metterlo in pratica. </w:t>
      </w:r>
    </w:p>
    <w:p w14:paraId="0641889D" w14:textId="77777777" w:rsidR="001540B8" w:rsidRPr="00A87CE8" w:rsidRDefault="001540B8" w:rsidP="0095487F">
      <w:pPr>
        <w:pStyle w:val="berschrift1"/>
        <w:rPr>
          <w:rFonts w:ascii="KievitPro-Regular" w:hAnsi="KievitPro-Regular" w:cs="Arial"/>
          <w:sz w:val="20"/>
          <w:szCs w:val="20"/>
          <w:lang w:val="it-CH"/>
        </w:rPr>
      </w:pPr>
      <w:bookmarkStart w:id="0" w:name="_Toc331493575"/>
      <w:bookmarkStart w:id="1" w:name="_Toc331493991"/>
      <w:bookmarkStart w:id="2" w:name="_Toc331495023"/>
      <w:bookmarkStart w:id="3" w:name="_Toc331495815"/>
      <w:bookmarkStart w:id="4" w:name="_Toc331510673"/>
      <w:r w:rsidRPr="00A87CE8">
        <w:rPr>
          <w:rFonts w:ascii="KievitPro-Regular" w:hAnsi="KievitPro-Regular" w:cs="Arial"/>
          <w:sz w:val="20"/>
          <w:szCs w:val="20"/>
          <w:lang w:val="it-CH"/>
        </w:rPr>
        <w:br w:type="page"/>
      </w:r>
    </w:p>
    <w:p w14:paraId="1B2295B3" w14:textId="698844AA" w:rsidR="00D56DC3" w:rsidRPr="00A87CE8" w:rsidRDefault="00F87B2A" w:rsidP="00FE3BCB">
      <w:pPr>
        <w:pStyle w:val="berschrift1"/>
        <w:rPr>
          <w:rFonts w:ascii="KievitPro-Regular" w:hAnsi="KievitPro-Regular" w:cs="Arial"/>
          <w:b w:val="0"/>
          <w:sz w:val="24"/>
          <w:szCs w:val="32"/>
          <w:lang w:val="it-CH"/>
        </w:rPr>
      </w:pPr>
      <w:bookmarkStart w:id="5" w:name="_Toc242259017"/>
      <w:bookmarkStart w:id="6" w:name="_Toc242261424"/>
      <w:r w:rsidRPr="00A87CE8">
        <w:rPr>
          <w:rFonts w:ascii="KievitPro-Regular" w:hAnsi="KievitPro-Regular" w:cs="Arial"/>
          <w:sz w:val="24"/>
          <w:szCs w:val="32"/>
          <w:lang w:val="it-CH"/>
        </w:rPr>
        <w:lastRenderedPageBreak/>
        <w:t>Strategia e principi del sistema di gestione della qualità</w:t>
      </w:r>
      <w:bookmarkEnd w:id="0"/>
      <w:bookmarkEnd w:id="1"/>
      <w:bookmarkEnd w:id="2"/>
      <w:bookmarkEnd w:id="3"/>
      <w:bookmarkEnd w:id="4"/>
      <w:bookmarkEnd w:id="5"/>
      <w:bookmarkEnd w:id="6"/>
    </w:p>
    <w:p w14:paraId="18D5C361" w14:textId="0308A883" w:rsidR="00ED2B66" w:rsidRPr="00A87CE8" w:rsidRDefault="00ED2B66"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Siamo un'impresa di revisione che, grazie a un approccio imprenditoriale e all'impegno personale, supporta attivamente i propri mandatari nel raggiungimento dei loro obiettivi economici. Supporto attivo per noi significa l'adempimento dei nostri obblighi di legge e il nostro impegno a garantire il massimo vantaggio possibile per i clienti.</w:t>
      </w:r>
    </w:p>
    <w:p w14:paraId="5BB5216D" w14:textId="77777777" w:rsidR="00ED2B66" w:rsidRPr="00A87CE8" w:rsidRDefault="00ED2B66"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La gestione dei mandati in base alle esigenze dei clienti si fonda sulla fiducia reciproca. I nostri responsabili dei mandati rispettano i requisiti di legge e le linee guida delle nostre associazioni di categoria, tenendo conto delle esigenze dei nostri clienti. Il nostro approccio è sempre indipendente e obiettivo. Le nostre prestazioni di servizi si distinguono per la competenza e lo spirito imprenditoriale.</w:t>
      </w:r>
    </w:p>
    <w:p w14:paraId="4ED02D7C" w14:textId="12F0042F" w:rsidR="00244D9F" w:rsidRPr="00A87CE8" w:rsidRDefault="00F87B2A" w:rsidP="00053AF4">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Il nostro obiettivo è garantire un elevato livello di qualità professionale nei nostri servizi di revisione. Ciò viene garantito in modo vincolante attraverso misure organizzative e misure che adottiamo a livello dei singoli mandati. I nostri collaboratori addetti alla revisione sono responsabili dell'attuazione e del mantenimento degli standard di qualità. Conoscono il manuale, nonché le relative regole e istruzioni, e sono quindi in grado di comprendere l'obiettivo del sistema di gestione della qualità (sistema QM) e di applicare correttamente i requisiti in esso contenuti. In questo modo, ogni collaboratore del reparto revisione è consapevole della propria responsabilità personale in materia di qualità e del fatto che ci si aspetta da lui il rispetto di tali linee guida.</w:t>
      </w:r>
    </w:p>
    <w:p w14:paraId="236DD48D" w14:textId="77777777" w:rsidR="00F87B2A" w:rsidRPr="00A87CE8" w:rsidRDefault="00ED2B66" w:rsidP="00053AF4">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I nostri collaboratori sono professionisti altamente qualificati. La promozione e il perfezionamento sono un requisito obbligatorio a tutti i livelli.</w:t>
      </w:r>
    </w:p>
    <w:p w14:paraId="477FEB48" w14:textId="77777777" w:rsidR="00F87B2A" w:rsidRPr="00A87CE8" w:rsidDel="009519A2" w:rsidRDefault="00F87B2A" w:rsidP="00053AF4">
      <w:pPr>
        <w:jc w:val="both"/>
        <w:rPr>
          <w:rFonts w:ascii="KievitPro-Regular" w:hAnsi="KievitPro-Regular" w:cs="Arial"/>
          <w:sz w:val="20"/>
          <w:szCs w:val="20"/>
          <w:lang w:val="it-CH"/>
        </w:rPr>
      </w:pPr>
      <w:r w:rsidRPr="00A87CE8" w:rsidDel="009519A2">
        <w:rPr>
          <w:rFonts w:ascii="KievitPro-Regular" w:hAnsi="KievitPro-Regular" w:cs="Arial"/>
          <w:sz w:val="20"/>
          <w:szCs w:val="20"/>
          <w:lang w:val="it-CH"/>
        </w:rPr>
        <w:t>Verifichiamo costantemente il rispetto degli standard di qualità e puntiamo al loro miglioramento continuo.</w:t>
      </w:r>
    </w:p>
    <w:p w14:paraId="5CF56D4D" w14:textId="37D3A855" w:rsidR="00B72062" w:rsidRPr="00A87CE8" w:rsidRDefault="009377B3"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Il nostro sistema di gestione della qualità è orientato ai singoli settori di competenza e applichiamo le istruzioni per la gestione della qualità nelle piccole e medie imprese di revisione (</w:t>
      </w:r>
      <w:r w:rsidR="00887708" w:rsidRPr="00A87CE8">
        <w:rPr>
          <w:rFonts w:ascii="KievitPro-Regular" w:hAnsi="KievitPro-Regular" w:cs="Arial"/>
          <w:sz w:val="20"/>
          <w:szCs w:val="20"/>
          <w:lang w:val="it-CH"/>
        </w:rPr>
        <w:t>IGQ</w:t>
      </w:r>
      <w:r w:rsidRPr="00A87CE8">
        <w:rPr>
          <w:rFonts w:ascii="KievitPro-Regular" w:hAnsi="KievitPro-Regular" w:cs="Arial"/>
          <w:sz w:val="20"/>
          <w:szCs w:val="20"/>
          <w:lang w:val="it-CH"/>
        </w:rPr>
        <w:t>) di FIDUCIARI|SUISSE. La voce inserita nel registro dell'Autorità di sorveglianza dei revisori (ASR) relativa allo standard di gestione della qualità interna applicato viene verificata periodicamente per accertarne la correttezza, oppure viene adeguata in caso di cambiamento dello standard applicato. In questo contesto, il consiglio d'amministrazione è responsabile della realizzazione di un sistema di gestione della qualità. I singoli settori di competenza sono riportati nel nostro organigramma (si veda l'allegato).</w:t>
      </w:r>
      <w:r w:rsidR="0067493E" w:rsidRPr="00A87CE8">
        <w:rPr>
          <w:rStyle w:val="Funotenzeichen"/>
          <w:rFonts w:ascii="KievitPro-Regular" w:hAnsi="KievitPro-Regular" w:cs="Arial"/>
          <w:sz w:val="20"/>
          <w:szCs w:val="20"/>
          <w:lang w:val="it-CH"/>
        </w:rPr>
        <w:footnoteReference w:id="1"/>
      </w:r>
    </w:p>
    <w:p w14:paraId="4E6F0162" w14:textId="065BCB5A" w:rsidR="003A2AC0" w:rsidRPr="00A87CE8" w:rsidRDefault="00811BDD"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I principi di seguito enunciati si applicano all'intera impresa di revisione. Si applicano, per analogia e in misura adeguata, anche ai mandati fiduciari e di consulenza.</w:t>
      </w:r>
    </w:p>
    <w:p w14:paraId="4E2BC2F6" w14:textId="69B23025" w:rsidR="003A43EA" w:rsidRPr="00A87CE8" w:rsidRDefault="003A43EA" w:rsidP="003A43EA">
      <w:pPr>
        <w:pStyle w:val="berschrift1"/>
        <w:rPr>
          <w:rFonts w:ascii="KievitPro-Regular" w:hAnsi="KievitPro-Regular" w:cs="Arial"/>
          <w:b w:val="0"/>
          <w:sz w:val="24"/>
          <w:szCs w:val="32"/>
          <w:lang w:val="it-CH"/>
        </w:rPr>
      </w:pPr>
      <w:bookmarkStart w:id="7" w:name="_Toc242259018"/>
      <w:bookmarkStart w:id="8" w:name="_Toc242261425"/>
      <w:r w:rsidRPr="00A87CE8">
        <w:rPr>
          <w:rFonts w:ascii="KievitPro-Regular" w:hAnsi="KievitPro-Regular" w:cs="Arial"/>
          <w:sz w:val="24"/>
          <w:szCs w:val="32"/>
          <w:lang w:val="it-CH"/>
        </w:rPr>
        <w:t>Principi di base</w:t>
      </w:r>
      <w:bookmarkEnd w:id="7"/>
      <w:bookmarkEnd w:id="8"/>
    </w:p>
    <w:p w14:paraId="6F33BDF7" w14:textId="0E0C50B4" w:rsidR="00036477" w:rsidRPr="00A87CE8" w:rsidRDefault="003A43EA" w:rsidP="003A43EA">
      <w:pPr>
        <w:tabs>
          <w:tab w:val="right" w:pos="9405"/>
        </w:tabs>
        <w:jc w:val="both"/>
        <w:rPr>
          <w:rFonts w:ascii="KievitPro-Regular" w:hAnsi="KievitPro-Regular"/>
          <w:lang w:val="it-CH"/>
        </w:rPr>
      </w:pPr>
      <w:r w:rsidRPr="00A87CE8">
        <w:rPr>
          <w:rFonts w:ascii="KievitPro-Regular" w:hAnsi="KievitPro-Regular" w:cs="Arial"/>
          <w:sz w:val="20"/>
          <w:szCs w:val="20"/>
          <w:lang w:val="it-CH"/>
        </w:rPr>
        <w:t xml:space="preserve">Ci impegniamo a rispettare le disposizioni di legge e i principi etici dell’International Code of Ethics for Professional </w:t>
      </w:r>
      <w:proofErr w:type="spellStart"/>
      <w:r w:rsidRPr="00A87CE8">
        <w:rPr>
          <w:rFonts w:ascii="KievitPro-Regular" w:hAnsi="KievitPro-Regular" w:cs="Arial"/>
          <w:sz w:val="20"/>
          <w:szCs w:val="20"/>
          <w:lang w:val="it-CH"/>
        </w:rPr>
        <w:t>Accountants</w:t>
      </w:r>
      <w:proofErr w:type="spellEnd"/>
      <w:r w:rsidRPr="00A87CE8">
        <w:rPr>
          <w:rFonts w:ascii="KievitPro-Regular" w:hAnsi="KievitPro-Regular" w:cs="Arial"/>
          <w:sz w:val="20"/>
          <w:szCs w:val="20"/>
          <w:lang w:val="it-CH"/>
        </w:rPr>
        <w:t xml:space="preserve"> (IESBA Code), in particolare per quanto riguarda l'integrità, l'obiettività, la competenza professionale e l'esercizio diligente della professione, la riservatezza e un comportamento conforme alla dignità professionale. Inoltre, ci atteniamo ai requisiti specialistici e professionali pertinenti di </w:t>
      </w:r>
      <w:r w:rsidRPr="00A87CE8">
        <w:rPr>
          <w:rFonts w:ascii="KievitPro-Regular" w:hAnsi="KievitPro-Regular" w:cs="Arial"/>
          <w:sz w:val="20"/>
          <w:szCs w:val="20"/>
          <w:highlight w:val="yellow"/>
          <w:lang w:val="it-CH"/>
        </w:rPr>
        <w:t>EXPERTsuisse e/o FIDUCIARI|SUISSE.</w:t>
      </w:r>
      <w:r w:rsidR="00B105A1" w:rsidRPr="00A87CE8">
        <w:rPr>
          <w:rFonts w:ascii="KievitPro-Regular" w:hAnsi="KievitPro-Regular" w:cs="Arial"/>
          <w:sz w:val="20"/>
          <w:szCs w:val="20"/>
          <w:lang w:val="it-CH"/>
        </w:rPr>
        <w:br w:type="page"/>
      </w:r>
    </w:p>
    <w:p w14:paraId="6ED094BD" w14:textId="77777777" w:rsidR="00483825" w:rsidRPr="00A87CE8" w:rsidRDefault="00A55712" w:rsidP="003A43EA">
      <w:pPr>
        <w:pStyle w:val="berschrift1"/>
        <w:rPr>
          <w:rFonts w:ascii="KievitPro-Regular" w:hAnsi="KievitPro-Regular" w:cs="Arial"/>
          <w:b w:val="0"/>
          <w:sz w:val="24"/>
          <w:szCs w:val="32"/>
          <w:lang w:val="it-CH"/>
        </w:rPr>
      </w:pPr>
      <w:bookmarkStart w:id="9" w:name="_Toc242259019"/>
      <w:bookmarkStart w:id="10" w:name="_Toc242261426"/>
      <w:r w:rsidRPr="00A87CE8">
        <w:rPr>
          <w:rFonts w:ascii="KievitPro-Regular" w:hAnsi="KievitPro-Regular" w:cs="Arial"/>
          <w:sz w:val="24"/>
          <w:szCs w:val="32"/>
          <w:lang w:val="it-CH"/>
        </w:rPr>
        <w:lastRenderedPageBreak/>
        <w:t>Approvazione</w:t>
      </w:r>
      <w:bookmarkEnd w:id="9"/>
      <w:bookmarkEnd w:id="10"/>
    </w:p>
    <w:p w14:paraId="52E71716" w14:textId="5E58D60A" w:rsidR="00A55712" w:rsidRPr="00A87CE8" w:rsidRDefault="00A55712"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La presente versione del manuale è stata approvata dalla direzione dell'impresa in data </w:t>
      </w:r>
      <w:proofErr w:type="spellStart"/>
      <w:r w:rsidRPr="00A87CE8">
        <w:rPr>
          <w:rFonts w:ascii="KievitPro-Regular" w:hAnsi="KievitPro-Regular" w:cs="Arial"/>
          <w:sz w:val="20"/>
          <w:szCs w:val="20"/>
          <w:highlight w:val="yellow"/>
          <w:lang w:val="it-CH"/>
        </w:rPr>
        <w:t>xx.</w:t>
      </w:r>
      <w:proofErr w:type="gramStart"/>
      <w:r w:rsidRPr="00A87CE8">
        <w:rPr>
          <w:rFonts w:ascii="KievitPro-Regular" w:hAnsi="KievitPro-Regular" w:cs="Arial"/>
          <w:sz w:val="20"/>
          <w:szCs w:val="20"/>
          <w:highlight w:val="yellow"/>
          <w:lang w:val="it-CH"/>
        </w:rPr>
        <w:t>xx.xxxx</w:t>
      </w:r>
      <w:proofErr w:type="spellEnd"/>
      <w:proofErr w:type="gramEnd"/>
      <w:r w:rsidRPr="00A87CE8">
        <w:rPr>
          <w:rFonts w:ascii="KievitPro-Regular" w:hAnsi="KievitPro-Regular" w:cs="Arial"/>
          <w:sz w:val="20"/>
          <w:szCs w:val="20"/>
          <w:lang w:val="it-CH"/>
        </w:rPr>
        <w:t xml:space="preserve"> (ultima revisione </w:t>
      </w:r>
      <w:proofErr w:type="spellStart"/>
      <w:r w:rsidRPr="00A87CE8">
        <w:rPr>
          <w:rFonts w:ascii="KievitPro-Regular" w:hAnsi="KievitPro-Regular" w:cs="Arial"/>
          <w:sz w:val="20"/>
          <w:szCs w:val="20"/>
          <w:highlight w:val="yellow"/>
          <w:lang w:val="it-CH"/>
        </w:rPr>
        <w:t>xx.</w:t>
      </w:r>
      <w:proofErr w:type="gramStart"/>
      <w:r w:rsidRPr="00A87CE8">
        <w:rPr>
          <w:rFonts w:ascii="KievitPro-Regular" w:hAnsi="KievitPro-Regular" w:cs="Arial"/>
          <w:sz w:val="20"/>
          <w:szCs w:val="20"/>
          <w:highlight w:val="yellow"/>
          <w:lang w:val="it-CH"/>
        </w:rPr>
        <w:t>xx.xxxx</w:t>
      </w:r>
      <w:proofErr w:type="spellEnd"/>
      <w:proofErr w:type="gramEnd"/>
      <w:r w:rsidRPr="00A87CE8">
        <w:rPr>
          <w:rFonts w:ascii="KievitPro-Regular" w:hAnsi="KievitPro-Regular" w:cs="Arial"/>
          <w:sz w:val="20"/>
          <w:szCs w:val="20"/>
          <w:lang w:val="it-CH"/>
        </w:rPr>
        <w:t>).</w:t>
      </w:r>
    </w:p>
    <w:p w14:paraId="066D8DB9" w14:textId="77777777" w:rsidR="00953C14" w:rsidRPr="00A87CE8" w:rsidRDefault="00953C14" w:rsidP="00053AF4">
      <w:pPr>
        <w:jc w:val="both"/>
        <w:rPr>
          <w:rFonts w:ascii="KievitPro-Regular" w:hAnsi="KievitPro-Regular" w:cs="Arial"/>
          <w:sz w:val="20"/>
          <w:szCs w:val="20"/>
          <w:lang w:val="it-CH"/>
        </w:rPr>
      </w:pPr>
    </w:p>
    <w:p w14:paraId="49014C00" w14:textId="77777777" w:rsidR="009545F1" w:rsidRPr="00A87CE8" w:rsidRDefault="009545F1" w:rsidP="00053AF4">
      <w:pPr>
        <w:jc w:val="both"/>
        <w:rPr>
          <w:rFonts w:ascii="KievitPro-Regular" w:hAnsi="KievitPro-Regular" w:cs="Arial"/>
          <w:sz w:val="20"/>
          <w:szCs w:val="20"/>
          <w:lang w:val="it-CH"/>
        </w:rPr>
      </w:pPr>
    </w:p>
    <w:p w14:paraId="33E2A6CF" w14:textId="77777777" w:rsidR="00953C14" w:rsidRPr="00A87CE8" w:rsidRDefault="00953C14" w:rsidP="00FB360E">
      <w:pPr>
        <w:tabs>
          <w:tab w:val="left" w:pos="2835"/>
          <w:tab w:val="left" w:pos="6237"/>
        </w:tabs>
        <w:jc w:val="both"/>
        <w:rPr>
          <w:rFonts w:ascii="KievitPro-Regular" w:hAnsi="KievitPro-Regular" w:cs="Arial"/>
          <w:sz w:val="20"/>
          <w:szCs w:val="20"/>
          <w:lang w:val="it-CH"/>
        </w:rPr>
      </w:pPr>
      <w:r w:rsidRPr="00A87CE8">
        <w:rPr>
          <w:rFonts w:ascii="KievitPro-Regular" w:hAnsi="KievitPro-Regular" w:cs="Arial"/>
          <w:sz w:val="20"/>
          <w:szCs w:val="20"/>
          <w:lang w:val="it-CH"/>
        </w:rPr>
        <w:t>Firma(e): ____________________ ____________________</w:t>
      </w:r>
      <w:r w:rsidRPr="00A87CE8">
        <w:rPr>
          <w:rFonts w:ascii="KievitPro-Regular" w:hAnsi="KievitPro-Regular" w:cs="Arial"/>
          <w:sz w:val="20"/>
          <w:szCs w:val="20"/>
          <w:lang w:val="it-CH"/>
        </w:rPr>
        <w:tab/>
      </w:r>
      <w:r w:rsidRPr="00A87CE8">
        <w:rPr>
          <w:rFonts w:ascii="KievitPro-Regular" w:hAnsi="KievitPro-Regular" w:cs="Arial"/>
          <w:sz w:val="20"/>
          <w:szCs w:val="20"/>
          <w:lang w:val="it-CH"/>
        </w:rPr>
        <w:tab/>
      </w:r>
    </w:p>
    <w:p w14:paraId="19261A4F" w14:textId="77777777" w:rsidR="0027792B" w:rsidRPr="00A87CE8" w:rsidRDefault="0027792B">
      <w:pPr>
        <w:spacing w:after="0" w:line="240" w:lineRule="auto"/>
        <w:rPr>
          <w:rFonts w:ascii="KievitPro-Regular" w:hAnsi="KievitPro-Regular" w:cs="Arial"/>
          <w:smallCaps/>
          <w:spacing w:val="5"/>
          <w:sz w:val="24"/>
          <w:szCs w:val="32"/>
          <w:lang w:val="it-CH" w:bidi="ar-SA"/>
        </w:rPr>
      </w:pPr>
      <w:bookmarkStart w:id="11" w:name="_Toc331493576"/>
      <w:bookmarkStart w:id="12" w:name="_Toc331493992"/>
      <w:bookmarkStart w:id="13" w:name="_Toc331495024"/>
      <w:bookmarkStart w:id="14" w:name="_Toc331495816"/>
      <w:bookmarkStart w:id="15" w:name="_Toc331510675"/>
      <w:r w:rsidRPr="00A87CE8">
        <w:rPr>
          <w:rFonts w:ascii="KievitPro-Regular" w:hAnsi="KievitPro-Regular" w:cs="Arial"/>
          <w:sz w:val="20"/>
          <w:szCs w:val="20"/>
          <w:lang w:val="it-CH"/>
        </w:rPr>
        <w:br w:type="page"/>
      </w:r>
    </w:p>
    <w:p w14:paraId="46C54BDC" w14:textId="5576643E" w:rsidR="007F0AA8" w:rsidRPr="00A87CE8" w:rsidRDefault="007F0AA8">
      <w:pPr>
        <w:pStyle w:val="berschrift1"/>
        <w:numPr>
          <w:ilvl w:val="0"/>
          <w:numId w:val="2"/>
        </w:numPr>
        <w:ind w:left="426" w:hanging="426"/>
        <w:rPr>
          <w:rFonts w:ascii="KievitPro-Regular" w:hAnsi="KievitPro-Regular" w:cs="Arial"/>
          <w:b w:val="0"/>
          <w:sz w:val="24"/>
          <w:szCs w:val="32"/>
          <w:lang w:val="it-CH"/>
        </w:rPr>
      </w:pPr>
      <w:bookmarkStart w:id="16" w:name="_Toc242259020"/>
      <w:bookmarkStart w:id="17" w:name="_Toc242261427"/>
      <w:r w:rsidRPr="00A87CE8">
        <w:rPr>
          <w:rFonts w:ascii="KievitPro-Regular" w:hAnsi="KievitPro-Regular" w:cs="Arial"/>
          <w:sz w:val="24"/>
          <w:szCs w:val="32"/>
          <w:lang w:val="it-CH"/>
        </w:rPr>
        <w:lastRenderedPageBreak/>
        <w:t>Processo di valutazione dei rischi nello studio</w:t>
      </w:r>
      <w:bookmarkEnd w:id="16"/>
      <w:bookmarkEnd w:id="17"/>
    </w:p>
    <w:p w14:paraId="344C78B8" w14:textId="77777777" w:rsidR="00235779" w:rsidRPr="00A87CE8" w:rsidRDefault="00235779" w:rsidP="00DD0B2C">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La direzione dell'impresa ha la responsabilità complessiva del sistema di gestione della qualità, nonché della sua implementazione, del suo mantenimento e del suo continuo sviluppo. Ciò comprende in particolare il processo di valutazione dei rischi, con la definizione di obiettivi di qualità concreti, l'identificazione e la valutazione dei rischi che compromettono la qualità nell'ambito della revisione, nonché la definizione di misure adeguate </w:t>
      </w:r>
      <w:proofErr w:type="gramStart"/>
      <w:r w:rsidRPr="00A87CE8">
        <w:rPr>
          <w:rFonts w:ascii="KievitPro-Regular" w:hAnsi="KievitPro-Regular" w:cs="Arial"/>
          <w:sz w:val="20"/>
          <w:szCs w:val="20"/>
          <w:lang w:val="it-CH"/>
        </w:rPr>
        <w:t>per il</w:t>
      </w:r>
      <w:proofErr w:type="gramEnd"/>
      <w:r w:rsidRPr="00A87CE8">
        <w:rPr>
          <w:rFonts w:ascii="KievitPro-Regular" w:hAnsi="KievitPro-Regular" w:cs="Arial"/>
          <w:sz w:val="20"/>
          <w:szCs w:val="20"/>
          <w:lang w:val="it-CH"/>
        </w:rPr>
        <w:t xml:space="preserve"> raggiungimento degli obiettivi di qualità.</w:t>
      </w:r>
    </w:p>
    <w:p w14:paraId="74BFFEFC" w14:textId="39717BD6" w:rsidR="00235779" w:rsidRPr="00A87CE8" w:rsidRDefault="00235779" w:rsidP="00DD0B2C">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La valutazione del rischio viene effettuata nell'ambito di un'analisi sistematica dei rischi e viene documentata in forma adeguata (si veda l’allegato). In tale contesto, i rischi individuati vengono valutati in base alla loro rilevanza e al loro potenziale impatto. Quanto più elevato è il livello di rischio attribuito, tanto più complete devono essere le misure di mitigazione del rischio da adottare.</w:t>
      </w:r>
    </w:p>
    <w:p w14:paraId="04A60914" w14:textId="77777777" w:rsidR="00235779" w:rsidRPr="00A87CE8" w:rsidRDefault="00235779" w:rsidP="00DD0B2C">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L'analisi dei rischi viene effettuata e aggiornata regolarmente, almeno una volta all'anno, nonché in caso di cambiamenti significativi nell'attività, nell'organizzazione o nel contesto normativo. Il sistema di gestione della qualità è inteso come un processo dinamico e continuo, che viene costantemente adeguato alle mutate circostanze e alle nuove conoscenze.</w:t>
      </w:r>
    </w:p>
    <w:p w14:paraId="70B6FDBC" w14:textId="77777777" w:rsidR="00235779" w:rsidRPr="00A87CE8" w:rsidRDefault="00235779" w:rsidP="00DD0B2C">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L'attuazione operativa e la manutenzione del sistema di gestione della qualità possono essere delegate al responsabile della gestione della qualità (responsabile QM). Quest'ultimo riferisce alla direzione dell'impresa, almeno una volta all'anno, in merito allo stato del sistema di gestione della qualità, ai rischi significativi e alle misure adottate o previste.</w:t>
      </w:r>
    </w:p>
    <w:p w14:paraId="3730FB5A" w14:textId="77777777" w:rsidR="00235779" w:rsidRPr="00A87CE8" w:rsidRDefault="00235779" w:rsidP="00DD0B2C">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Nell'ambito del processo di valutazione dei rischi vengono presi in considerazione, in particolare, i rischi e gli aspetti relativi a:</w:t>
      </w:r>
    </w:p>
    <w:p w14:paraId="6D276E74" w14:textId="77777777" w:rsidR="00235779" w:rsidRPr="00A87CE8" w:rsidRDefault="00235779">
      <w:pPr>
        <w:pStyle w:val="Listenabsatz"/>
        <w:numPr>
          <w:ilvl w:val="0"/>
          <w:numId w:val="4"/>
        </w:numPr>
        <w:tabs>
          <w:tab w:val="num" w:pos="720"/>
        </w:tabs>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il rispetto dei requisiti legali, normativi e professionali pertinenti; </w:t>
      </w:r>
    </w:p>
    <w:p w14:paraId="1CC55247" w14:textId="77777777" w:rsidR="00235779" w:rsidRPr="00A87CE8" w:rsidRDefault="00235779">
      <w:pPr>
        <w:pStyle w:val="Listenabsatz"/>
        <w:numPr>
          <w:ilvl w:val="0"/>
          <w:numId w:val="4"/>
        </w:numPr>
        <w:tabs>
          <w:tab w:val="num" w:pos="720"/>
        </w:tabs>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la salvaguardia dell'indipendenza e dell'obiettività del personale specializzato; </w:t>
      </w:r>
    </w:p>
    <w:p w14:paraId="58F22444" w14:textId="5EC518FD" w:rsidR="00235779" w:rsidRPr="00A87CE8" w:rsidRDefault="00887708">
      <w:pPr>
        <w:pStyle w:val="Listenabsatz"/>
        <w:numPr>
          <w:ilvl w:val="0"/>
          <w:numId w:val="4"/>
        </w:numPr>
        <w:tabs>
          <w:tab w:val="num" w:pos="720"/>
        </w:tabs>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reclami o segnalazioni relative a possibili violazioni degli standard professionali o delle direttive interne</w:t>
      </w:r>
      <w:r w:rsidR="00235779" w:rsidRPr="00A87CE8">
        <w:rPr>
          <w:rFonts w:ascii="KievitPro-Regular" w:hAnsi="KievitPro-Regular" w:cs="Arial"/>
          <w:sz w:val="20"/>
          <w:szCs w:val="20"/>
          <w:lang w:val="it-CH"/>
        </w:rPr>
        <w:t xml:space="preserve">; </w:t>
      </w:r>
    </w:p>
    <w:p w14:paraId="5C662090" w14:textId="77777777" w:rsidR="00235779" w:rsidRPr="00A87CE8" w:rsidRDefault="00235779">
      <w:pPr>
        <w:pStyle w:val="Listenabsatz"/>
        <w:numPr>
          <w:ilvl w:val="0"/>
          <w:numId w:val="4"/>
        </w:numPr>
        <w:tabs>
          <w:tab w:val="num" w:pos="720"/>
        </w:tabs>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nuove informazioni relative a rapporti di mandato esistenti o accettati; </w:t>
      </w:r>
    </w:p>
    <w:p w14:paraId="54FC28AD" w14:textId="77777777" w:rsidR="00235779" w:rsidRPr="00A87CE8" w:rsidRDefault="00235779">
      <w:pPr>
        <w:pStyle w:val="Listenabsatz"/>
        <w:numPr>
          <w:ilvl w:val="0"/>
          <w:numId w:val="4"/>
        </w:numPr>
        <w:tabs>
          <w:tab w:val="num" w:pos="720"/>
        </w:tabs>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la valutazione dei casi in cui siano necessarie misure aggiuntive di controllo della qualità o controlli di qualità relativi al mandato. </w:t>
      </w:r>
    </w:p>
    <w:p w14:paraId="2AC76034" w14:textId="68B1520E" w:rsidR="009545F1" w:rsidRPr="00A87CE8" w:rsidRDefault="00235779" w:rsidP="00354AA1">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Sulla base dei rischi individuati e valutati, la direzione decide, entro un termine adeguato, le misure necessarie e ne garantisce l'attuazione e la sorveglianza.</w:t>
      </w:r>
    </w:p>
    <w:p w14:paraId="3DC278F7" w14:textId="77777777" w:rsidR="009545F1" w:rsidRPr="00A87CE8" w:rsidRDefault="009545F1" w:rsidP="009545F1">
      <w:pPr>
        <w:tabs>
          <w:tab w:val="right" w:pos="9405"/>
        </w:tabs>
        <w:rPr>
          <w:rFonts w:ascii="KievitPro-Regular" w:hAnsi="KievitPro-Regular" w:cs="Arial"/>
          <w:sz w:val="20"/>
          <w:szCs w:val="20"/>
          <w:lang w:val="it-CH"/>
        </w:rPr>
      </w:pPr>
    </w:p>
    <w:p w14:paraId="68A77FE8" w14:textId="4F47F20E" w:rsidR="009545F1" w:rsidRPr="00A87CE8" w:rsidRDefault="009545F1" w:rsidP="009545F1">
      <w:pPr>
        <w:rPr>
          <w:rFonts w:ascii="KievitPro-Regular" w:hAnsi="KievitPro-Regular" w:cs="Arial"/>
          <w:i/>
          <w:sz w:val="20"/>
          <w:szCs w:val="20"/>
          <w:lang w:val="it-CH"/>
        </w:rPr>
      </w:pPr>
      <w:r w:rsidRPr="00A87CE8">
        <w:rPr>
          <w:rFonts w:ascii="KievitPro-Regular" w:hAnsi="KievitPro-Regular" w:cs="Arial"/>
          <w:i/>
          <w:sz w:val="20"/>
          <w:szCs w:val="20"/>
          <w:lang w:val="it-CH"/>
        </w:rPr>
        <w:t>Allegato 12.1: Lista di controllo «Valutazione dei rischi dello studio e relative misure specifiche»</w:t>
      </w:r>
    </w:p>
    <w:p w14:paraId="3F349DB4" w14:textId="77777777" w:rsidR="007F0AA8" w:rsidRPr="00A87CE8" w:rsidRDefault="007F0AA8">
      <w:pPr>
        <w:spacing w:after="0" w:line="240" w:lineRule="auto"/>
        <w:rPr>
          <w:rFonts w:ascii="KievitPro-Regular" w:hAnsi="KievitPro-Regular" w:cs="Arial"/>
          <w:b/>
          <w:sz w:val="24"/>
          <w:szCs w:val="32"/>
          <w:lang w:val="it-CH"/>
        </w:rPr>
      </w:pPr>
    </w:p>
    <w:p w14:paraId="1BC6952A" w14:textId="77777777" w:rsidR="007F0AA8" w:rsidRPr="00A87CE8" w:rsidRDefault="007F0AA8">
      <w:pPr>
        <w:spacing w:after="0" w:line="240" w:lineRule="auto"/>
        <w:rPr>
          <w:rFonts w:ascii="KievitPro-Regular" w:hAnsi="KievitPro-Regular" w:cs="Arial"/>
          <w:b/>
          <w:sz w:val="24"/>
          <w:szCs w:val="32"/>
          <w:lang w:val="it-CH"/>
        </w:rPr>
      </w:pPr>
    </w:p>
    <w:p w14:paraId="67C3C5FC" w14:textId="77777777" w:rsidR="00DD0B2C" w:rsidRPr="00A87CE8" w:rsidRDefault="00DD0B2C">
      <w:pPr>
        <w:spacing w:after="0" w:line="240" w:lineRule="auto"/>
        <w:rPr>
          <w:rFonts w:ascii="KievitPro-Regular" w:hAnsi="KievitPro-Regular" w:cs="Arial"/>
          <w:b/>
          <w:smallCaps/>
          <w:spacing w:val="5"/>
          <w:sz w:val="24"/>
          <w:szCs w:val="32"/>
          <w:lang w:val="it-CH" w:bidi="ar-SA"/>
        </w:rPr>
      </w:pPr>
      <w:r w:rsidRPr="00A87CE8">
        <w:rPr>
          <w:rFonts w:ascii="KievitPro-Regular" w:hAnsi="KievitPro-Regular" w:cs="Arial"/>
          <w:b/>
          <w:sz w:val="24"/>
          <w:szCs w:val="32"/>
          <w:lang w:val="it-CH"/>
        </w:rPr>
        <w:br w:type="page"/>
      </w:r>
    </w:p>
    <w:p w14:paraId="4C73F6F5" w14:textId="674F4981" w:rsidR="007F0AA8" w:rsidRPr="00A87CE8" w:rsidRDefault="007F0AA8">
      <w:pPr>
        <w:pStyle w:val="berschrift1"/>
        <w:numPr>
          <w:ilvl w:val="0"/>
          <w:numId w:val="2"/>
        </w:numPr>
        <w:ind w:left="426" w:hanging="426"/>
        <w:rPr>
          <w:rFonts w:ascii="KievitPro-Regular" w:hAnsi="KievitPro-Regular" w:cs="Arial"/>
          <w:b w:val="0"/>
          <w:sz w:val="24"/>
          <w:szCs w:val="32"/>
          <w:lang w:val="it-CH"/>
        </w:rPr>
      </w:pPr>
      <w:bookmarkStart w:id="18" w:name="_Toc242259021"/>
      <w:bookmarkStart w:id="19" w:name="_Toc242261428"/>
      <w:r w:rsidRPr="00A87CE8">
        <w:rPr>
          <w:rFonts w:ascii="KievitPro-Regular" w:hAnsi="KievitPro-Regular" w:cs="Arial"/>
          <w:sz w:val="24"/>
          <w:szCs w:val="32"/>
          <w:lang w:val="it-CH"/>
        </w:rPr>
        <w:lastRenderedPageBreak/>
        <w:t>Sorveglianza e leadership del sistema di gestione della qualità</w:t>
      </w:r>
      <w:bookmarkEnd w:id="18"/>
      <w:bookmarkEnd w:id="19"/>
    </w:p>
    <w:p w14:paraId="48338497" w14:textId="32FED26E" w:rsidR="00E31D5B" w:rsidRPr="00A87CE8" w:rsidRDefault="00E31D5B">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Regolamenti</w:t>
      </w:r>
    </w:p>
    <w:p w14:paraId="7B7268B2" w14:textId="51C87600" w:rsidR="00E31D5B" w:rsidRPr="00A87CE8" w:rsidRDefault="00590EFE" w:rsidP="0056171D">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L’impresa di revisione dispone di un sistema di gestione della qualità conforme ai requisiti delle Istruzioni sulla gestione della qualità nelle piccole e medie imprese di revisione (IGQ). Questo sistema ha lo scopo di garantire lo svolgimento corretto e qualitativamente adeguato dei servizi di revisione, ossia delle revisioni limitate. Il sistema di gestione della qualità viene sorvegliato costantemente e sottoposto a verifiche periodiche. Occorre garantire che la sua struttura rimanga appropriata, adeguata ed efficace e che continui a corrispondere alle condizioni attuali dell’impresa di revisione.</w:t>
      </w:r>
    </w:p>
    <w:p w14:paraId="6F277EAE" w14:textId="6669173C" w:rsidR="00E31D5B" w:rsidRPr="00A87CE8" w:rsidRDefault="00E31D5B">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Misure</w:t>
      </w:r>
    </w:p>
    <w:p w14:paraId="5933C987" w14:textId="07C9ED48" w:rsidR="00E31D5B" w:rsidRPr="00A87CE8" w:rsidRDefault="002A76D8">
      <w:pPr>
        <w:pStyle w:val="Listenabsatz"/>
        <w:numPr>
          <w:ilvl w:val="2"/>
          <w:numId w:val="2"/>
        </w:numPr>
        <w:spacing w:before="240" w:after="120" w:line="278" w:lineRule="auto"/>
        <w:ind w:left="709"/>
        <w:contextualSpacing w:val="0"/>
        <w:jc w:val="both"/>
        <w:rPr>
          <w:rFonts w:ascii="KievitPro-Regular" w:hAnsi="KievitPro-Regular" w:cs="Arial"/>
          <w:b/>
          <w:bCs/>
          <w:sz w:val="20"/>
          <w:szCs w:val="20"/>
          <w:lang w:val="it-CH"/>
        </w:rPr>
      </w:pPr>
      <w:r w:rsidRPr="00A87CE8">
        <w:rPr>
          <w:rFonts w:ascii="KievitPro-Regular" w:hAnsi="KievitPro-Regular" w:cs="Arial"/>
          <w:b/>
          <w:bCs/>
          <w:sz w:val="20"/>
          <w:szCs w:val="20"/>
          <w:lang w:val="it-CH"/>
        </w:rPr>
        <w:t>Responsabile della gestione della qualità</w:t>
      </w:r>
    </w:p>
    <w:p w14:paraId="32C724AC" w14:textId="4A5C7C46" w:rsidR="00E31D5B" w:rsidRPr="00A87CE8" w:rsidRDefault="002A76D8" w:rsidP="0056171D">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L’impresa di revisione designa una persona responsabile della gestione operativa e del coordinamento del sistema di gestione della qualità. Tale funzione, così come le relative competenze, sono chiaramente comunicate all’interno dell’organizzazione. La persona responsabile dispone delle qualifiche professionali necessarie, dell’esperienza pratica e delle competenze adeguate </w:t>
      </w:r>
      <w:proofErr w:type="gramStart"/>
      <w:r w:rsidRPr="00A87CE8">
        <w:rPr>
          <w:rFonts w:ascii="KievitPro-Regular" w:hAnsi="KievitPro-Regular" w:cs="Arial"/>
          <w:sz w:val="20"/>
          <w:szCs w:val="20"/>
          <w:lang w:val="it-CH"/>
        </w:rPr>
        <w:t>per</w:t>
      </w:r>
      <w:proofErr w:type="gramEnd"/>
      <w:r w:rsidRPr="00A87CE8">
        <w:rPr>
          <w:rFonts w:ascii="KievitPro-Regular" w:hAnsi="KievitPro-Regular" w:cs="Arial"/>
          <w:sz w:val="20"/>
          <w:szCs w:val="20"/>
          <w:lang w:val="it-CH"/>
        </w:rPr>
        <w:t xml:space="preserve"> poter svolgere efficacemente i propri compiti. Di norma, ciò corrisponde a un’abilitazione professionale paragonabile a quella delle persone responsabili dei mandati, alle necessarie competenze decisionali nonché a diversi anni di esperienza professionale nel settore della revisione.</w:t>
      </w:r>
    </w:p>
    <w:p w14:paraId="1CD6B227" w14:textId="3C936F6A" w:rsidR="00E31D5B" w:rsidRPr="00A87CE8" w:rsidRDefault="002A76D8" w:rsidP="0056171D">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La responsabilità ultima del sistema di gestione della qualità rimane in capo alla direzione dell’impresa oppure al consiglio d’amministrazione. Singoli compiti e competenze possono essere delegati alla direzione generale o alla persona responsabile della gestione della qualità; ciò non modifica la responsabilità complessiva.</w:t>
      </w:r>
    </w:p>
    <w:p w14:paraId="15A4BB8B" w14:textId="77777777" w:rsidR="00263202" w:rsidRPr="00A87CE8" w:rsidRDefault="00263202" w:rsidP="00263202">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La persona responsabile della gestione della qualità svolge in particolare i seguenti compiti:</w:t>
      </w:r>
    </w:p>
    <w:p w14:paraId="6BBB8162" w14:textId="1072BCE8" w:rsidR="00263202" w:rsidRPr="00A87CE8" w:rsidRDefault="00263202">
      <w:pPr>
        <w:pStyle w:val="Listenabsatz"/>
        <w:numPr>
          <w:ilvl w:val="0"/>
          <w:numId w:val="5"/>
        </w:num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gestione, aggiornamento e messa a disposizione della documentazione relativa alla qualità, comprese le linee guida interne, i modelli e gli strumenti di lavoro (</w:t>
      </w:r>
      <w:r w:rsidR="00467A05" w:rsidRPr="00A87CE8">
        <w:rPr>
          <w:rFonts w:ascii="KievitPro-Regular" w:hAnsi="KievitPro-Regular" w:cs="Arial"/>
          <w:sz w:val="20"/>
          <w:szCs w:val="20"/>
          <w:lang w:val="it-CH"/>
        </w:rPr>
        <w:t>è possibile un’attuazione proporzionata</w:t>
      </w:r>
      <w:r w:rsidRPr="00A87CE8">
        <w:rPr>
          <w:rFonts w:ascii="KievitPro-Regular" w:hAnsi="KievitPro-Regular" w:cs="Arial"/>
          <w:sz w:val="20"/>
          <w:szCs w:val="20"/>
          <w:lang w:val="it-CH"/>
        </w:rPr>
        <w:t xml:space="preserve">); </w:t>
      </w:r>
    </w:p>
    <w:p w14:paraId="135F8E28" w14:textId="77777777" w:rsidR="00263202" w:rsidRPr="00A87CE8" w:rsidRDefault="00263202">
      <w:pPr>
        <w:pStyle w:val="Listenabsatz"/>
        <w:numPr>
          <w:ilvl w:val="0"/>
          <w:numId w:val="5"/>
        </w:num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garanzia che il personale specializzato sia informato sui contenuti e sui requisiti del sistema di gestione della qualità; </w:t>
      </w:r>
    </w:p>
    <w:p w14:paraId="53DD4A41" w14:textId="77777777" w:rsidR="00263202" w:rsidRPr="00A87CE8" w:rsidRDefault="00263202">
      <w:pPr>
        <w:pStyle w:val="Listenabsatz"/>
        <w:numPr>
          <w:ilvl w:val="0"/>
          <w:numId w:val="5"/>
        </w:num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verifica del rispetto delle linee guida e dei processi interni stabiliti; </w:t>
      </w:r>
    </w:p>
    <w:p w14:paraId="6B768284" w14:textId="77777777" w:rsidR="00263202" w:rsidRPr="00A87CE8" w:rsidRDefault="00263202">
      <w:pPr>
        <w:pStyle w:val="Listenabsatz"/>
        <w:numPr>
          <w:ilvl w:val="0"/>
          <w:numId w:val="5"/>
        </w:num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analisi e valutazione delle non conformità o delle lacune riscontrate nel sistema di gestione della qualità; </w:t>
      </w:r>
    </w:p>
    <w:p w14:paraId="3C79F92A" w14:textId="77777777" w:rsidR="00263202" w:rsidRPr="00A87CE8" w:rsidRDefault="00263202">
      <w:pPr>
        <w:pStyle w:val="Listenabsatz"/>
        <w:numPr>
          <w:ilvl w:val="0"/>
          <w:numId w:val="5"/>
        </w:numPr>
        <w:spacing w:after="120" w:line="278" w:lineRule="auto"/>
        <w:ind w:left="357" w:hanging="357"/>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elaborazione e coordinamento di misure di miglioramento e correttive adeguate </w:t>
      </w:r>
      <w:proofErr w:type="gramStart"/>
      <w:r w:rsidRPr="00A87CE8">
        <w:rPr>
          <w:rFonts w:ascii="KievitPro-Regular" w:hAnsi="KievitPro-Regular" w:cs="Arial"/>
          <w:sz w:val="20"/>
          <w:szCs w:val="20"/>
          <w:lang w:val="it-CH"/>
        </w:rPr>
        <w:t>per l'ulteriore</w:t>
      </w:r>
      <w:proofErr w:type="gramEnd"/>
      <w:r w:rsidRPr="00A87CE8">
        <w:rPr>
          <w:rFonts w:ascii="KievitPro-Regular" w:hAnsi="KievitPro-Regular" w:cs="Arial"/>
          <w:sz w:val="20"/>
          <w:szCs w:val="20"/>
          <w:lang w:val="it-CH"/>
        </w:rPr>
        <w:t xml:space="preserve"> sviluppo del sistema di gestione della qualità.</w:t>
      </w:r>
    </w:p>
    <w:p w14:paraId="25C0F263" w14:textId="213AF13E" w:rsidR="00436718" w:rsidRPr="00A87CE8" w:rsidRDefault="00436718">
      <w:pPr>
        <w:pStyle w:val="Listenabsatz"/>
        <w:numPr>
          <w:ilvl w:val="2"/>
          <w:numId w:val="2"/>
        </w:numPr>
        <w:spacing w:before="240" w:after="120" w:line="278" w:lineRule="auto"/>
        <w:ind w:left="709"/>
        <w:contextualSpacing w:val="0"/>
        <w:jc w:val="both"/>
        <w:rPr>
          <w:rFonts w:ascii="KievitPro-Regular" w:hAnsi="KievitPro-Regular" w:cs="Arial"/>
          <w:b/>
          <w:bCs/>
          <w:sz w:val="20"/>
          <w:szCs w:val="20"/>
          <w:lang w:val="it-CH"/>
        </w:rPr>
      </w:pPr>
      <w:r w:rsidRPr="00A87CE8">
        <w:rPr>
          <w:rFonts w:ascii="KievitPro-Regular" w:hAnsi="KievitPro-Regular" w:cs="Arial"/>
          <w:b/>
          <w:bCs/>
          <w:sz w:val="20"/>
          <w:szCs w:val="20"/>
          <w:lang w:val="it-CH"/>
        </w:rPr>
        <w:t>Gestione delle lacune e dei miglioramenti</w:t>
      </w:r>
    </w:p>
    <w:p w14:paraId="1C5C949D" w14:textId="77777777" w:rsidR="00436718" w:rsidRPr="00A87CE8" w:rsidRDefault="00436718" w:rsidP="00436718">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Le lacune rilevate, le indicazioni relative alle potenzialità di miglioramento e le proposte di miglioramento avanzate vengono sistematicamente registrate, analizzate e valutate in relazione al loro impatto sul sistema di gestione della qualità. Ove necessario, occorre definire, attuare e monitorare misure correttive o di miglioramento adeguate.</w:t>
      </w:r>
    </w:p>
    <w:p w14:paraId="26BE07CE" w14:textId="779DE0FA" w:rsidR="00436718" w:rsidRPr="00A87CE8" w:rsidRDefault="00436718" w:rsidP="00436718">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Le violazioni o le possibili violazioni dei requisiti di legge, normativi o interni che possano avere ripercussioni dirette sull'impresa di revisione (in particolare per quanto riguarda l'indipendenza, le qualifiche professionali o i rischi di responsabilità) devono essere segnalate immediatamente alla direzione. Quest'ultima valuta i fatti e decide in merito alle misure necessarie.</w:t>
      </w:r>
    </w:p>
    <w:p w14:paraId="16E13241" w14:textId="77777777" w:rsidR="003F0011" w:rsidRPr="00A87CE8" w:rsidRDefault="003F0011">
      <w:pPr>
        <w:spacing w:after="0" w:line="240" w:lineRule="auto"/>
        <w:rPr>
          <w:rFonts w:ascii="KievitPro-Regular" w:hAnsi="KievitPro-Regular" w:cs="Arial"/>
          <w:sz w:val="20"/>
          <w:szCs w:val="20"/>
          <w:lang w:val="it-CH"/>
        </w:rPr>
      </w:pPr>
      <w:r w:rsidRPr="00A87CE8">
        <w:rPr>
          <w:rFonts w:ascii="KievitPro-Regular" w:hAnsi="KievitPro-Regular" w:cs="Arial"/>
          <w:sz w:val="20"/>
          <w:szCs w:val="20"/>
          <w:lang w:val="it-CH"/>
        </w:rPr>
        <w:br w:type="page"/>
      </w:r>
    </w:p>
    <w:p w14:paraId="633E2939" w14:textId="362A7BEE" w:rsidR="00436718" w:rsidRPr="00A87CE8" w:rsidRDefault="00436718" w:rsidP="00436718">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lastRenderedPageBreak/>
        <w:t>Nell'ambito dello svolgimento del mandato, le persone responsabili devono raccogliere regolarmente feedback sulla soddisfazione del mandante, al più tardi in occasione della chiusura del mandato. I riscontri o le segnalazioni significative che potrebbero influire sul proseguimento del rapporto di mandato devono essere adeguatamente documentati e comunicati tempestivamente alla direzione.</w:t>
      </w:r>
    </w:p>
    <w:p w14:paraId="62C0632B" w14:textId="77777777" w:rsidR="00436718" w:rsidRPr="00A87CE8" w:rsidRDefault="00436718" w:rsidP="00436718">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Qualora il rapporto di mandato venga sciolto dal cliente, le circostanze devono essere documentate in modo adeguato. Ove opportuno, occorre redigere una nota agli atti all'attenzione della direzione e archiviarla nel relativo fascicolo del cliente.</w:t>
      </w:r>
    </w:p>
    <w:p w14:paraId="09A9654E" w14:textId="4F3C7C49" w:rsidR="00436718" w:rsidRPr="00A87CE8" w:rsidRDefault="00436718" w:rsidP="00436718">
      <w:pPr>
        <w:spacing w:after="16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L'impresa di revisione promuove una cultura della comunicazione aperta. Tutti i collaboratori hanno la possibilità di segnalare dubbi di natura professionale, indicare eventuali lacune o proporre miglioramenti senza dover temere ripercussioni negative.</w:t>
      </w:r>
    </w:p>
    <w:p w14:paraId="601FA0C0" w14:textId="28C6EE47" w:rsidR="00BD382F" w:rsidRPr="00A87CE8" w:rsidRDefault="00BD382F">
      <w:pPr>
        <w:pStyle w:val="Listenabsatz"/>
        <w:numPr>
          <w:ilvl w:val="2"/>
          <w:numId w:val="2"/>
        </w:numPr>
        <w:spacing w:before="240" w:after="120" w:line="278" w:lineRule="auto"/>
        <w:ind w:left="709"/>
        <w:contextualSpacing w:val="0"/>
        <w:jc w:val="both"/>
        <w:rPr>
          <w:rFonts w:ascii="KievitPro-Regular" w:hAnsi="KievitPro-Regular" w:cs="Arial"/>
          <w:b/>
          <w:bCs/>
          <w:sz w:val="20"/>
          <w:szCs w:val="20"/>
          <w:lang w:val="it-CH"/>
        </w:rPr>
      </w:pPr>
      <w:r w:rsidRPr="00A87CE8">
        <w:rPr>
          <w:rFonts w:ascii="KievitPro-Regular" w:hAnsi="KievitPro-Regular" w:cs="Arial"/>
          <w:b/>
          <w:bCs/>
          <w:sz w:val="20"/>
          <w:szCs w:val="20"/>
          <w:lang w:val="it-CH"/>
        </w:rPr>
        <w:t>Revisione dei regolamenti relativi alla gestione della qualità</w:t>
      </w:r>
    </w:p>
    <w:p w14:paraId="165A28D6" w14:textId="622E9348" w:rsidR="00BD382F" w:rsidRPr="00A87CE8" w:rsidRDefault="00BD382F" w:rsidP="00BD382F">
      <w:pPr>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Il sistema di gestione della qualità viene verificato almeno una volta all'anno dalla persona responsabile della gestione della qualità, di concerto con la direzione, e, se necessario, adeguato. Tale processo deve essere documentato dalla persona responsabile della gestione della qualità. L'obiettivo di tale verifica è garantire che il sistema di gestione della qualità continui ad essere strutturato in modo adeguato, attuato in modo efficace e adatto alla situazione attuale dell'impresa di revisione.</w:t>
      </w:r>
    </w:p>
    <w:p w14:paraId="1BDD5E74" w14:textId="77777777" w:rsidR="00BD382F" w:rsidRPr="00A87CE8" w:rsidRDefault="00BD382F" w:rsidP="00BD382F">
      <w:pPr>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Nell'ambito di tale revisione periodica vengono valutati e aggiornati, in particolare, i seguenti ambiti:</w:t>
      </w:r>
    </w:p>
    <w:p w14:paraId="167D5146" w14:textId="314A21BD"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esecuzione e aggiornamento della valutazione dei rischi a livello dell'impresa di revisione;</w:t>
      </w:r>
    </w:p>
    <w:p w14:paraId="60A3A8B2" w14:textId="77777777"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verifica della classificazione di rischio dei mandati esistenti; </w:t>
      </w:r>
    </w:p>
    <w:p w14:paraId="018B8C56" w14:textId="77777777"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pianificazione e definizione delle attività di formazione e perfezionamento per il personale specializzato; </w:t>
      </w:r>
    </w:p>
    <w:p w14:paraId="61936049" w14:textId="77777777"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aggiornamento dell'elenco dei mandati;</w:t>
      </w:r>
    </w:p>
    <w:p w14:paraId="6DE1AE54" w14:textId="77777777"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verifica della pianificazione delle risorse umane e dell'impiego dei responsabili dei mandati e dei collaboratori; </w:t>
      </w:r>
    </w:p>
    <w:p w14:paraId="05E9C1B5" w14:textId="77777777"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valutazione delle potenzialità di miglioramento esistenti e adozione di decisioni in merito alle misure correttive o di miglioramento necessarie nell'ambito della gestione della qualità; </w:t>
      </w:r>
    </w:p>
    <w:p w14:paraId="73B8F386" w14:textId="77777777"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verifica e documentazione dei corsi di perfezionamento frequentati, comprese le necessarie attestazioni; </w:t>
      </w:r>
    </w:p>
    <w:p w14:paraId="1963536B" w14:textId="31FFFC30"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esecuzione e documentazione dei riesami interni, comprese le verifiche a livello di impresa dei singoli mandati; </w:t>
      </w:r>
    </w:p>
    <w:p w14:paraId="1283ED8A" w14:textId="77777777"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valutazione complessiva dell'adeguatezza e dell'efficacia del sistema di gestione della qualità; </w:t>
      </w:r>
    </w:p>
    <w:p w14:paraId="6A3C8D6A" w14:textId="77777777" w:rsidR="00BD382F" w:rsidRPr="00A87CE8" w:rsidRDefault="00BD382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verifica del manuale di gestione della qualità, nonché dei relativi strumenti di lavoro e delle liste di controllo, per quanto riguarda l’aggiornamento, la completezza e la conformità ai requisiti vigenti; </w:t>
      </w:r>
    </w:p>
    <w:p w14:paraId="718D4AE6" w14:textId="45272245" w:rsidR="00127FBF" w:rsidRPr="00A87CE8" w:rsidRDefault="00127FBF">
      <w:pPr>
        <w:numPr>
          <w:ilvl w:val="0"/>
          <w:numId w:val="6"/>
        </w:numPr>
        <w:tabs>
          <w:tab w:val="num" w:pos="720"/>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verifica e aggiornamento degli obiettivi, dei rischi e delle misure secondo le </w:t>
      </w:r>
      <w:r w:rsidR="00887708" w:rsidRPr="00A87CE8">
        <w:rPr>
          <w:rFonts w:ascii="KievitPro-Regular" w:hAnsi="KievitPro-Regular" w:cs="Arial"/>
          <w:sz w:val="20"/>
          <w:szCs w:val="20"/>
          <w:lang w:val="it-CH"/>
        </w:rPr>
        <w:t>IGQ</w:t>
      </w:r>
      <w:r w:rsidRPr="00A87CE8">
        <w:rPr>
          <w:rFonts w:ascii="KievitPro-Regular" w:hAnsi="KievitPro-Regular" w:cs="Arial"/>
          <w:sz w:val="20"/>
          <w:szCs w:val="20"/>
          <w:lang w:val="it-CH"/>
        </w:rPr>
        <w:t>.</w:t>
      </w:r>
    </w:p>
    <w:p w14:paraId="6CCC8438" w14:textId="6DAB5DE2" w:rsidR="007F0AA8" w:rsidRPr="00A87CE8" w:rsidRDefault="00BD382F" w:rsidP="00BD382F">
      <w:pPr>
        <w:spacing w:before="240" w:after="120" w:line="278" w:lineRule="auto"/>
        <w:jc w:val="both"/>
        <w:rPr>
          <w:rFonts w:ascii="KievitPro-Regular" w:hAnsi="KievitPro-Regular" w:cs="Arial"/>
          <w:sz w:val="20"/>
          <w:szCs w:val="20"/>
          <w:lang w:val="it-CH"/>
        </w:rPr>
      </w:pPr>
      <w:r w:rsidRPr="00A87CE8">
        <w:rPr>
          <w:rFonts w:ascii="KievitPro-Regular" w:hAnsi="KievitPro-Regular" w:cs="Arial"/>
          <w:sz w:val="20"/>
          <w:szCs w:val="20"/>
          <w:lang w:val="it-CH"/>
        </w:rPr>
        <w:t>Il manuale di gestione della qualità, così come i modelli, gli strumenti di lavoro e le liste di controllo di supporto, vengono aggiornati quando necessario, ma almeno una volta all'anno. Le modifiche e gli adeguamenti vengono documentati in modo adeguato, anche nell'ambito del processo di revisione annuale, e comunicati al personale specializzato interessato.</w:t>
      </w:r>
      <w:r w:rsidR="007F0AA8" w:rsidRPr="00A87CE8">
        <w:rPr>
          <w:rFonts w:ascii="KievitPro-Regular" w:hAnsi="KievitPro-Regular" w:cs="Arial"/>
          <w:sz w:val="20"/>
          <w:szCs w:val="20"/>
          <w:lang w:val="it-CH"/>
        </w:rPr>
        <w:br w:type="page"/>
      </w:r>
    </w:p>
    <w:p w14:paraId="5FC0E30F" w14:textId="32F99B62" w:rsidR="00D56DC3" w:rsidRPr="00A87CE8" w:rsidRDefault="006E0C1A">
      <w:pPr>
        <w:pStyle w:val="berschrift1"/>
        <w:numPr>
          <w:ilvl w:val="0"/>
          <w:numId w:val="2"/>
        </w:numPr>
        <w:ind w:left="426" w:hanging="426"/>
        <w:rPr>
          <w:rFonts w:ascii="KievitPro-Regular" w:hAnsi="KievitPro-Regular" w:cs="Arial"/>
          <w:b w:val="0"/>
          <w:sz w:val="24"/>
          <w:szCs w:val="32"/>
          <w:lang w:val="it-CH"/>
        </w:rPr>
      </w:pPr>
      <w:bookmarkStart w:id="20" w:name="_Toc331496517"/>
      <w:bookmarkStart w:id="21" w:name="_Toc331510676"/>
      <w:bookmarkStart w:id="22" w:name="_Toc359071929"/>
      <w:bookmarkStart w:id="23" w:name="_Toc242259022"/>
      <w:bookmarkStart w:id="24" w:name="_Toc242261429"/>
      <w:bookmarkEnd w:id="11"/>
      <w:bookmarkEnd w:id="12"/>
      <w:bookmarkEnd w:id="13"/>
      <w:bookmarkEnd w:id="14"/>
      <w:bookmarkEnd w:id="15"/>
      <w:r w:rsidRPr="00A87CE8">
        <w:rPr>
          <w:rFonts w:ascii="KievitPro-Regular" w:hAnsi="KievitPro-Regular" w:cs="Arial"/>
          <w:sz w:val="24"/>
          <w:szCs w:val="32"/>
          <w:lang w:val="it-CH"/>
        </w:rPr>
        <w:lastRenderedPageBreak/>
        <w:t>Requisiti previsti dalla legge e dai principi professionali</w:t>
      </w:r>
      <w:bookmarkEnd w:id="20"/>
      <w:bookmarkEnd w:id="21"/>
      <w:bookmarkEnd w:id="22"/>
      <w:bookmarkEnd w:id="23"/>
      <w:bookmarkEnd w:id="24"/>
    </w:p>
    <w:p w14:paraId="3FF88139" w14:textId="18EF7EDA" w:rsidR="003A43EA" w:rsidRPr="00A87CE8" w:rsidRDefault="003A43EA">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Regolamenti</w:t>
      </w:r>
    </w:p>
    <w:p w14:paraId="5B6D4810" w14:textId="074B1717" w:rsidR="003A43EA" w:rsidRPr="00A87CE8" w:rsidRDefault="003A43EA" w:rsidP="003A43EA">
      <w:pPr>
        <w:jc w:val="both"/>
        <w:rPr>
          <w:rFonts w:ascii="KievitPro-Regular" w:hAnsi="KievitPro-Regular" w:cs="Arial"/>
          <w:sz w:val="20"/>
          <w:szCs w:val="20"/>
          <w:lang w:val="it-CH"/>
        </w:rPr>
      </w:pPr>
      <w:r w:rsidRPr="00A87CE8">
        <w:rPr>
          <w:rFonts w:ascii="KievitPro-Regular" w:hAnsi="KievitPro-Regular" w:cs="Arial"/>
          <w:sz w:val="20"/>
          <w:szCs w:val="20"/>
          <w:lang w:val="it-CH"/>
        </w:rPr>
        <w:t>Siamo un'impresa di revisione abilitata come revisore/perito revisore. Inoltre, siamo membri di FIDUCIARI|SUISSE e/o EXPERTsuisse (In alternativa: elencare altre iscrizioni ad associazioni oppure omettere la frase). Ci impegniamo a rispettare le disposizioni di legge in materia, le relative ordinanze e decreti, nonché i principi di deontologia.</w:t>
      </w:r>
    </w:p>
    <w:p w14:paraId="6D2FFE64" w14:textId="4454D86B" w:rsidR="004B0DC3" w:rsidRPr="00A87CE8" w:rsidRDefault="004B0DC3" w:rsidP="004B0DC3">
      <w:pPr>
        <w:jc w:val="both"/>
        <w:rPr>
          <w:rFonts w:ascii="KievitPro-Regular" w:hAnsi="KievitPro-Regular" w:cs="Arial"/>
          <w:sz w:val="20"/>
          <w:szCs w:val="20"/>
          <w:lang w:val="it-CH"/>
        </w:rPr>
      </w:pPr>
      <w:r w:rsidRPr="00A87CE8">
        <w:rPr>
          <w:rFonts w:ascii="KievitPro-Regular" w:hAnsi="KievitPro-Regular" w:cs="Arial"/>
          <w:sz w:val="20"/>
          <w:szCs w:val="20"/>
          <w:lang w:val="it-CH"/>
        </w:rPr>
        <w:t>Ci impegniamo a salvaguardare l'indipendenza interna ed esterna dell'impresa e del personale specializzato, qualora ciò sia richiesto dalle norme di legge e dai requisiti professionali di comportamento. Il personale specializzato è soggetto al segreto professionale, in particolare al segreto di revisione (art. 730b cpv. 2 CO). Ciò richiede un approccio altrettanto diligente alla gestione dell'infrastruttura IT interna all'impresa e all'elaborazione elettronica dei dati.</w:t>
      </w:r>
    </w:p>
    <w:p w14:paraId="653F2A07" w14:textId="28AD4030" w:rsidR="004B0DC3" w:rsidRPr="00A87CE8" w:rsidRDefault="004B0DC3" w:rsidP="004B0DC3">
      <w:pPr>
        <w:jc w:val="both"/>
        <w:rPr>
          <w:rFonts w:ascii="KievitPro-Regular" w:hAnsi="KievitPro-Regular" w:cs="Arial"/>
          <w:sz w:val="20"/>
          <w:szCs w:val="20"/>
          <w:lang w:val="it-CH"/>
        </w:rPr>
      </w:pPr>
      <w:r w:rsidRPr="00A87CE8">
        <w:rPr>
          <w:rFonts w:ascii="KievitPro-Regular" w:hAnsi="KievitPro-Regular" w:cs="Arial"/>
          <w:sz w:val="20"/>
          <w:szCs w:val="20"/>
          <w:lang w:val="it-CH"/>
        </w:rPr>
        <w:t>Ci assicuriamo che i nostri collaboratori addetti alla revisione dispongano delle competenze tecniche necessarie per adempiere i propri obblighi di legge con la dovuta diligenza. A tal proposito, ci assicuriamo che la formazione di perfezionamento del personale addetto alla revisione sia bilanciata e si basi anche sulla complessità dei mandati di revisione di cui si occupa (revisione limitata secondo lo Standard svizzero sulla revisione limitata).</w:t>
      </w:r>
    </w:p>
    <w:p w14:paraId="3B823F99" w14:textId="273131FB" w:rsidR="003A43EA" w:rsidRPr="00A87CE8" w:rsidRDefault="004B0DC3" w:rsidP="004B0DC3">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Disponiamo di un'organizzazione adeguata, il cui organigramma costituisce parte integrante del sistema di gestione della qualità. L'impresa è sostanzialmente suddivisa nei settori revisione, immobiliare, contabilità/amministrazione fiduciaria e consulenza fiscale e aziendale (si veda l'organigramma in allegato).</w:t>
      </w:r>
    </w:p>
    <w:p w14:paraId="0ECEACE6" w14:textId="77777777" w:rsidR="003A43EA" w:rsidRPr="00A87CE8" w:rsidRDefault="003A43EA">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Misure</w:t>
      </w:r>
    </w:p>
    <w:p w14:paraId="0CC893B6" w14:textId="353505C4" w:rsidR="00E32A92" w:rsidRPr="00A87CE8" w:rsidRDefault="00E32A92" w:rsidP="00011458">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I nostri revisori capo sono in possesso dell’abilitazione dell'Autorità di sorveglianza dei revisori (ASR) come revisori o periti revisori. Si impegnano quindi in prima persona a rispettare le disposizioni di legge e i principi di deontologia. Tra queste figurano, tra l'altro, le norme di etica e professionali, le linee guida sull'indipendenza e quelle relative al perfezionamento.</w:t>
      </w:r>
    </w:p>
    <w:p w14:paraId="311A8A7B" w14:textId="17FB5BDC" w:rsidR="004E2B80" w:rsidRPr="00A87CE8" w:rsidRDefault="005D240D" w:rsidP="00011458">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Tutti i collaboratori coinvolti nella revisione, nonché tutti i membri dell'organo direttivo o amministrativo di massimo livello (ad es. membri del consiglio d'amministrazione), della direzione generale (ad es. direttori) e i collaboratori con funzioni decisionali devono firmare ogni anno una dichiarazione di indipendenza. Alla dichiarazione è allegato un elenco dei mandati di revisione attualmente in corso. Inoltre, il rispetto delle norme in materia di indipendenza viene regolarmente verificato e documentato in occasione della verifica per l'accettazione o il proseguimento di un mandato, al fine di individuare immediatamente eventuali violazioni delle linee guida sull'indipendenza (vedere anche il punto </w:t>
      </w:r>
      <w:r w:rsidR="00887708" w:rsidRPr="00A87CE8">
        <w:rPr>
          <w:rFonts w:ascii="KievitPro-Regular" w:hAnsi="KievitPro-Regular" w:cs="Arial"/>
          <w:sz w:val="20"/>
          <w:szCs w:val="20"/>
          <w:lang w:val="it-CH"/>
        </w:rPr>
        <w:t>4</w:t>
      </w:r>
      <w:r w:rsidRPr="00A87CE8">
        <w:rPr>
          <w:rFonts w:ascii="KievitPro-Regular" w:hAnsi="KievitPro-Regular" w:cs="Arial"/>
          <w:sz w:val="20"/>
          <w:szCs w:val="20"/>
          <w:lang w:val="it-CH"/>
        </w:rPr>
        <w:t>.2).</w:t>
      </w:r>
    </w:p>
    <w:p w14:paraId="623F5B16" w14:textId="77777777" w:rsidR="00DA5435" w:rsidRPr="00A87CE8" w:rsidRDefault="00DA5435" w:rsidP="00011458">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Anche i dipendenti della nostra organizzazione che non partecipano alla revisione (ad esempio, i fiduciari senza funzioni dirigenziali) devono presentare ogni anno una dichiarazione scritta in cui attestano di non essere membri del consiglio d’amministrazione di alcun cliente sottoposto a revisione né di ricoprire altre funzioni decisionali presso lo stesso. La conferma scritta può essere fornita in formato cartaceo o elettronico.</w:t>
      </w:r>
    </w:p>
    <w:p w14:paraId="339642FE" w14:textId="77777777" w:rsidR="003D630C" w:rsidRPr="00A87CE8" w:rsidRDefault="004E2B80" w:rsidP="00011458">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Inoltre, la direzione e il responsabile del dipartimento di revisione organizzano ogni anno una riunione dedicata al tema dell'indipendenza. In questa occasione, tutti i mandati vengono esaminati alla luce di eventuali problemi di indipendenza e, se necessario, vengono adottate le misure appropriate.</w:t>
      </w:r>
    </w:p>
    <w:p w14:paraId="2694E89C" w14:textId="5309608C" w:rsidR="00C6576E" w:rsidRPr="00A87CE8" w:rsidRDefault="00C6576E" w:rsidP="00C6576E">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La responsabilità dei mandati viene assegnata ed è documentata negli elenchi dei mandati. In tale contesto, viene rispettata e osservata la separazione delle funzioni (nell'ambito della revisione limitata e della collaborazione nella tenuta dei conti). Ulteriori misure di tutela relative alla separazione organizzativa nell'ambito della revisione limitata sono riportate nella sezione 5.8.</w:t>
      </w:r>
    </w:p>
    <w:p w14:paraId="005A8BA5" w14:textId="77777777" w:rsidR="00DF60F3" w:rsidRPr="00A87CE8" w:rsidRDefault="003D630C" w:rsidP="00011458">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lastRenderedPageBreak/>
        <w:t>Prestiamo particolare attenzione affinché la familiarità tra le persone coinvolte nello svolgimento della revisione e il cliente sottoposto a revisione non diventi così stretta da dare l'impressione che l'obiettività e l'indipendenza del revisore siano compromesse o pregiudicate.</w:t>
      </w:r>
    </w:p>
    <w:p w14:paraId="442276A4" w14:textId="13781216" w:rsidR="00B23E5F" w:rsidRPr="00A87CE8" w:rsidRDefault="00B23E5F" w:rsidP="00011458">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Il rispetto degli obblighi di riservatezza, delle norme di comportamento relative all'utilizzo dei sistemi informatici e alla sicurezza dei dati, nonché l'obbligo di attenersi alle linee guida in materia di IT, vengono documentati e confermati dai collaboratori. La documentazione si basa sui relativi modelli interni e sugli strumenti di lavoro.</w:t>
      </w:r>
    </w:p>
    <w:p w14:paraId="5F7CAF83" w14:textId="2E16EBF6" w:rsidR="007D4FD6" w:rsidRPr="00A87CE8" w:rsidRDefault="00BB23E5" w:rsidP="00011458">
      <w:pPr>
        <w:tabs>
          <w:tab w:val="left" w:pos="1418"/>
        </w:tabs>
        <w:rPr>
          <w:rFonts w:ascii="KievitPro-Regular" w:hAnsi="KievitPro-Regular" w:cs="Arial"/>
          <w:i/>
          <w:sz w:val="20"/>
          <w:szCs w:val="20"/>
          <w:lang w:val="it-CH"/>
        </w:rPr>
      </w:pPr>
      <w:r w:rsidRPr="00A87CE8">
        <w:rPr>
          <w:rFonts w:ascii="KievitPro-Regular" w:hAnsi="KievitPro-Regular" w:cs="Arial"/>
          <w:i/>
          <w:sz w:val="20"/>
          <w:szCs w:val="20"/>
          <w:lang w:val="it-CH"/>
        </w:rPr>
        <w:t>Allegato 12.2: Dichiarazione annuale di conformità ai requisiti di indipendenza</w:t>
      </w:r>
      <w:r w:rsidR="00DA324D" w:rsidRPr="00A87CE8">
        <w:rPr>
          <w:rFonts w:ascii="KievitPro-Regular" w:hAnsi="KievitPro-Regular" w:cs="Arial"/>
          <w:i/>
          <w:sz w:val="20"/>
          <w:szCs w:val="20"/>
          <w:lang w:val="it-CH"/>
        </w:rPr>
        <w:tab/>
      </w:r>
    </w:p>
    <w:p w14:paraId="4F35907C" w14:textId="7E7205F0" w:rsidR="00B23E5F" w:rsidRPr="00A87CE8" w:rsidRDefault="00B23E5F" w:rsidP="00011458">
      <w:pPr>
        <w:tabs>
          <w:tab w:val="left" w:pos="1418"/>
        </w:tabs>
        <w:rPr>
          <w:rFonts w:ascii="KievitPro-Regular" w:hAnsi="KievitPro-Regular" w:cs="Arial"/>
          <w:i/>
          <w:sz w:val="20"/>
          <w:szCs w:val="20"/>
          <w:lang w:val="it-CH"/>
        </w:rPr>
      </w:pPr>
      <w:r w:rsidRPr="00A87CE8">
        <w:rPr>
          <w:rFonts w:ascii="KievitPro-Regular" w:hAnsi="KievitPro-Regular" w:cs="Arial"/>
          <w:i/>
          <w:sz w:val="20"/>
          <w:szCs w:val="20"/>
          <w:lang w:val="it-CH"/>
        </w:rPr>
        <w:t>Allegato 12.3: Dichiarazione di riservatezza relativa al segreto professionale (per i collaboratori)</w:t>
      </w:r>
      <w:r w:rsidRPr="00A87CE8">
        <w:rPr>
          <w:rFonts w:ascii="KievitPro-Regular" w:hAnsi="KievitPro-Regular" w:cs="Arial"/>
          <w:i/>
          <w:sz w:val="20"/>
          <w:szCs w:val="20"/>
          <w:lang w:val="it-CH"/>
        </w:rPr>
        <w:tab/>
      </w:r>
    </w:p>
    <w:p w14:paraId="7E3A33A7" w14:textId="6266A0DA" w:rsidR="00E444F2" w:rsidRPr="00A87CE8" w:rsidRDefault="00E444F2" w:rsidP="00E444F2">
      <w:pPr>
        <w:spacing w:before="120" w:after="120"/>
        <w:jc w:val="both"/>
        <w:rPr>
          <w:rFonts w:ascii="KievitPro-Regular" w:hAnsi="KievitPro-Regular" w:cs="Arial"/>
          <w:i/>
          <w:sz w:val="20"/>
          <w:szCs w:val="20"/>
          <w:lang w:val="it-CH"/>
        </w:rPr>
      </w:pPr>
      <w:r w:rsidRPr="00A87CE8">
        <w:rPr>
          <w:rFonts w:ascii="KievitPro-Regular" w:hAnsi="KievitPro-Regular" w:cs="Arial"/>
          <w:i/>
          <w:sz w:val="20"/>
          <w:szCs w:val="20"/>
          <w:lang w:val="it-CH"/>
        </w:rPr>
        <w:t xml:space="preserve">Allegato 12.4: </w:t>
      </w:r>
      <w:r w:rsidRPr="00A87CE8">
        <w:rPr>
          <w:rFonts w:ascii="KievitPro-Regular" w:hAnsi="KievitPro-Regular" w:cs="Arial"/>
          <w:i/>
          <w:sz w:val="20"/>
          <w:szCs w:val="20"/>
          <w:lang w:val="it-CH"/>
        </w:rPr>
        <w:tab/>
        <w:t>Rispetto delle linee guida comportamentali in materia di IT (consenso)</w:t>
      </w:r>
      <w:r w:rsidRPr="00A87CE8">
        <w:rPr>
          <w:rFonts w:ascii="KievitPro-Regular" w:hAnsi="KievitPro-Regular" w:cs="Arial"/>
          <w:i/>
          <w:sz w:val="20"/>
          <w:szCs w:val="20"/>
          <w:lang w:val="it-CH"/>
        </w:rPr>
        <w:tab/>
      </w:r>
    </w:p>
    <w:p w14:paraId="65A006F8" w14:textId="19DC98BD" w:rsidR="00E444F2" w:rsidRPr="00A87CE8" w:rsidRDefault="00E444F2" w:rsidP="00011458">
      <w:pPr>
        <w:tabs>
          <w:tab w:val="left" w:pos="1418"/>
        </w:tabs>
        <w:rPr>
          <w:rFonts w:ascii="KievitPro-Regular" w:hAnsi="KievitPro-Regular" w:cs="Arial"/>
          <w:i/>
          <w:sz w:val="20"/>
          <w:szCs w:val="20"/>
          <w:lang w:val="it-CH"/>
        </w:rPr>
      </w:pPr>
    </w:p>
    <w:p w14:paraId="41B85E2C" w14:textId="421F5623" w:rsidR="00D25393" w:rsidRPr="00A87CE8" w:rsidRDefault="007D4FD6">
      <w:pPr>
        <w:pStyle w:val="berschrift1"/>
        <w:numPr>
          <w:ilvl w:val="0"/>
          <w:numId w:val="2"/>
        </w:numPr>
        <w:ind w:left="426" w:hanging="426"/>
        <w:rPr>
          <w:rFonts w:ascii="KievitPro-Regular" w:hAnsi="KievitPro-Regular" w:cs="Arial"/>
          <w:b w:val="0"/>
          <w:sz w:val="24"/>
          <w:szCs w:val="32"/>
          <w:lang w:val="it-CH"/>
        </w:rPr>
      </w:pPr>
      <w:r w:rsidRPr="00A87CE8">
        <w:rPr>
          <w:rFonts w:ascii="KievitPro-Regular" w:hAnsi="KievitPro-Regular" w:cs="Arial"/>
          <w:color w:val="FF0000"/>
          <w:sz w:val="22"/>
          <w:szCs w:val="22"/>
          <w:lang w:val="it-CH"/>
        </w:rPr>
        <w:br w:type="page"/>
      </w:r>
      <w:bookmarkStart w:id="25" w:name="_Toc242259023"/>
      <w:bookmarkStart w:id="26" w:name="_Toc242261430"/>
      <w:r w:rsidR="007821B5" w:rsidRPr="00A87CE8">
        <w:rPr>
          <w:rFonts w:ascii="KievitPro-Regular" w:hAnsi="KievitPro-Regular" w:cs="Arial"/>
          <w:sz w:val="24"/>
          <w:szCs w:val="32"/>
          <w:lang w:val="it-CH"/>
        </w:rPr>
        <w:lastRenderedPageBreak/>
        <w:t>Accettazione, continuazione e cessazione dei mandati</w:t>
      </w:r>
      <w:bookmarkEnd w:id="25"/>
      <w:bookmarkEnd w:id="26"/>
    </w:p>
    <w:p w14:paraId="3C817B78" w14:textId="77777777" w:rsidR="006F24A4" w:rsidRPr="00A87CE8" w:rsidRDefault="006F24A4">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Regolamenti</w:t>
      </w:r>
    </w:p>
    <w:p w14:paraId="460B3B54" w14:textId="77777777" w:rsidR="00AF32E5" w:rsidRPr="00A87CE8" w:rsidRDefault="00AF32E5" w:rsidP="00AF32E5">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I mandati vengono accettati e portati avanti solo se sono disponibili le competenze e le conoscenze necessarie per una corretta esecuzione, nonché risorse temporali e di personale sufficienti, se è possibile garantire il regolare svolgimento degli stessi e se vengono rispettati i principi di indipendenza.</w:t>
      </w:r>
    </w:p>
    <w:p w14:paraId="37EFEF8A" w14:textId="77777777" w:rsidR="00AF32E5" w:rsidRPr="00A87CE8" w:rsidRDefault="00AF32E5" w:rsidP="00E444F2">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Nell'ambito del processo di approvazione e continuazione viene inoltre valutata in modo critico l'integrità del management. I mandati vengono accettati o portati avanti solo se tale verifica ha esito positivo.</w:t>
      </w:r>
    </w:p>
    <w:p w14:paraId="607D3E19" w14:textId="7D567EE4" w:rsidR="00C71678" w:rsidRPr="00A87CE8" w:rsidRDefault="00AF32E5" w:rsidP="00053AF4">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I mandati vengono classificati in categorie di rischio adeguate in base al loro livello di rischio.</w:t>
      </w:r>
    </w:p>
    <w:p w14:paraId="3FC43194" w14:textId="77777777" w:rsidR="00C71678" w:rsidRPr="00A87CE8" w:rsidRDefault="00C71678">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Misure</w:t>
      </w:r>
    </w:p>
    <w:p w14:paraId="41114ED5" w14:textId="58685A1E" w:rsidR="00FE116C" w:rsidRPr="00A87CE8" w:rsidRDefault="00FE116C" w:rsidP="00C66EAA">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La direzione è responsabile dell'accettazione dei mandati. A tal fine, si consulta con il responsabile del mandato (ad esempio, il revisore capo). Il responsabile del mandato si assicura che siano disponibili tutte le informazioni e i documenti necessari al processo decisionale e li documenta avvalendosi della lista di controllo per la valutazione dell’accettazione del mandato.</w:t>
      </w:r>
    </w:p>
    <w:p w14:paraId="2CC63BE8" w14:textId="77777777" w:rsidR="00FE116C" w:rsidRPr="00A87CE8" w:rsidRDefault="00FE116C" w:rsidP="00C66EAA">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Nel valutare l'accettazione del mandato, occorre assicurarsi che lo studio non abbia interessi finanziari o economici che possano compromettere l'indipendenza o il corretto svolgimento delle attività di revisione, oppure limitarne in modo inammissibile la portata.</w:t>
      </w:r>
    </w:p>
    <w:p w14:paraId="13080FCF" w14:textId="23D48765" w:rsidR="00FE116C" w:rsidRPr="00A87CE8" w:rsidRDefault="00FE116C" w:rsidP="00C66EAA">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La verifica dei requisiti necessari per la continuazione di un mandato o per le eventuali dimissioni viene effettuata ogni anno dopo la chiusura delle attività di revisione e prima di un'eventuale rielezione da parte dell'assemblea generale ordinaria del cliente. Le relative constatazioni e conclusioni devono essere adeguatamente documentate.</w:t>
      </w:r>
    </w:p>
    <w:p w14:paraId="0C100569" w14:textId="77777777" w:rsidR="00FE116C" w:rsidRPr="00A87CE8" w:rsidRDefault="00FE116C" w:rsidP="00C66EAA">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Le modifiche apportate dal cliente al mandato devono essere valutate e documentate in modo analogo a quanto previsto per l'accettazione del mandato. In caso di accettazione delle modifiche, prima dell'inizio delle attività di revisione dovrà essere redatta una conferma di mandato aggiornata o nuova.</w:t>
      </w:r>
    </w:p>
    <w:p w14:paraId="3754219C" w14:textId="36E32675" w:rsidR="00FE116C" w:rsidRPr="00A87CE8" w:rsidRDefault="00FE116C" w:rsidP="00C66EAA">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L'impresa di revisione informa i propri mandanti sui rischi connessi ai doppi mandati. La relativa comunicazione viene documentata.</w:t>
      </w:r>
    </w:p>
    <w:p w14:paraId="05A67EE0" w14:textId="77777777" w:rsidR="00FE116C" w:rsidRPr="00A87CE8" w:rsidRDefault="00FE116C" w:rsidP="00C66EAA">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In caso di dimissioni da un mandato, è necessario motivare la decisione in modo comprensibile, documentarla e garantirne il regolare svolgimento.</w:t>
      </w:r>
    </w:p>
    <w:p w14:paraId="3700F14A" w14:textId="77777777" w:rsidR="00FE116C" w:rsidRPr="00A87CE8" w:rsidRDefault="00FE116C" w:rsidP="00C66EAA">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Al momento dell'accettazione del mandato, i mandati di revisione vengono classificati in categorie di rischio (alto, medio, basso). La classificazione viene riesaminata almeno una volta all'anno nell'ambito della continuazione del mandato e, se necessario, adeguata.</w:t>
      </w:r>
    </w:p>
    <w:p w14:paraId="7DD3FC3F" w14:textId="1FFA7058" w:rsidR="00CE6FA6" w:rsidRPr="00A87CE8" w:rsidRDefault="00FE116C" w:rsidP="00C66EAA">
      <w:pPr>
        <w:tabs>
          <w:tab w:val="right" w:pos="9405"/>
        </w:tabs>
        <w:jc w:val="both"/>
        <w:rPr>
          <w:rFonts w:ascii="KievitPro-Regular" w:hAnsi="KievitPro-Regular" w:cs="Arial"/>
          <w:sz w:val="20"/>
          <w:szCs w:val="20"/>
          <w:lang w:val="it-CH"/>
        </w:rPr>
      </w:pPr>
      <w:r w:rsidRPr="00A87CE8">
        <w:rPr>
          <w:rFonts w:ascii="KievitPro-Regular" w:hAnsi="KievitPro-Regular" w:cs="Arial"/>
          <w:sz w:val="20"/>
          <w:szCs w:val="20"/>
          <w:lang w:val="it-CH"/>
        </w:rPr>
        <w:t>A seconda della categoria di rischio, vengono definite e attuate misure interne adeguate. La classificazione del rischio viene riportata nella panoramica dei mandati. Il responsabile del mandato o il responsabile della gestione della qualità competente possono decidere in qualsiasi momento di elevare il livello di un mandato, qualora le circostanze specifiche del mandato lo richiedano.</w:t>
      </w:r>
    </w:p>
    <w:p w14:paraId="4880F931" w14:textId="5E8D8A70" w:rsidR="00C26180" w:rsidRPr="00A87CE8" w:rsidRDefault="00225A22" w:rsidP="00ED3D43">
      <w:pPr>
        <w:tabs>
          <w:tab w:val="left" w:pos="1418"/>
          <w:tab w:val="right" w:pos="9405"/>
        </w:tabs>
        <w:spacing w:before="60" w:after="60" w:line="240" w:lineRule="auto"/>
        <w:rPr>
          <w:rFonts w:ascii="KievitPro-Regular" w:hAnsi="KievitPro-Regular" w:cs="Arial"/>
          <w:i/>
          <w:sz w:val="20"/>
          <w:szCs w:val="20"/>
          <w:lang w:val="it-CH"/>
        </w:rPr>
      </w:pPr>
      <w:r w:rsidRPr="00A87CE8">
        <w:rPr>
          <w:rFonts w:ascii="KievitPro-Regular" w:hAnsi="KievitPro-Regular" w:cs="Arial"/>
          <w:i/>
          <w:sz w:val="20"/>
          <w:szCs w:val="20"/>
          <w:lang w:val="it-CH"/>
        </w:rPr>
        <w:t>Allegato 12.5:  Lista di controllo per la valutazione dell'accettazione del mandato</w:t>
      </w:r>
      <w:r w:rsidR="003245C4" w:rsidRPr="00A87CE8">
        <w:rPr>
          <w:rFonts w:ascii="KievitPro-Regular" w:hAnsi="KievitPro-Regular" w:cs="Arial"/>
          <w:i/>
          <w:sz w:val="20"/>
          <w:szCs w:val="20"/>
          <w:lang w:val="it-CH"/>
        </w:rPr>
        <w:tab/>
      </w:r>
    </w:p>
    <w:p w14:paraId="16E4B3D4" w14:textId="4F2FC542" w:rsidR="00BD0B4B" w:rsidRPr="00A87CE8" w:rsidRDefault="00BD0B4B" w:rsidP="00ED3D43">
      <w:pPr>
        <w:tabs>
          <w:tab w:val="left" w:pos="1418"/>
          <w:tab w:val="right" w:pos="9405"/>
        </w:tabs>
        <w:spacing w:before="60" w:after="60" w:line="240" w:lineRule="auto"/>
        <w:rPr>
          <w:rFonts w:ascii="KievitPro-Regular" w:hAnsi="KievitPro-Regular" w:cs="Arial"/>
          <w:i/>
          <w:sz w:val="20"/>
          <w:szCs w:val="20"/>
          <w:lang w:val="it-CH"/>
        </w:rPr>
      </w:pPr>
      <w:r w:rsidRPr="00A87CE8">
        <w:rPr>
          <w:rFonts w:ascii="KievitPro-Regular" w:hAnsi="KievitPro-Regular" w:cs="Arial"/>
          <w:i/>
          <w:sz w:val="20"/>
          <w:szCs w:val="20"/>
          <w:lang w:val="it-CH"/>
        </w:rPr>
        <w:t xml:space="preserve">Allegato 12.6: </w:t>
      </w:r>
      <w:r w:rsidRPr="00A87CE8">
        <w:rPr>
          <w:rFonts w:ascii="KievitPro-Regular" w:hAnsi="KievitPro-Regular" w:cs="Arial"/>
          <w:i/>
          <w:sz w:val="20"/>
          <w:szCs w:val="20"/>
          <w:lang w:val="it-CH"/>
        </w:rPr>
        <w:tab/>
        <w:t xml:space="preserve">Lista di controllo per la valutazione della continuazione dei mandati </w:t>
      </w:r>
      <w:r w:rsidR="003245C4" w:rsidRPr="00A87CE8">
        <w:rPr>
          <w:rFonts w:ascii="KievitPro-Regular" w:hAnsi="KievitPro-Regular" w:cs="Arial"/>
          <w:i/>
          <w:sz w:val="20"/>
          <w:szCs w:val="20"/>
          <w:lang w:val="it-CH"/>
        </w:rPr>
        <w:tab/>
      </w:r>
    </w:p>
    <w:p w14:paraId="6608FCE2" w14:textId="77777777" w:rsidR="007738E6" w:rsidRPr="00A87CE8" w:rsidRDefault="007738E6" w:rsidP="00ED3D43">
      <w:pPr>
        <w:tabs>
          <w:tab w:val="left" w:pos="1418"/>
          <w:tab w:val="right" w:pos="9405"/>
        </w:tabs>
        <w:spacing w:before="60" w:after="60" w:line="240" w:lineRule="auto"/>
        <w:rPr>
          <w:rFonts w:ascii="KievitPro-Regular" w:hAnsi="KievitPro-Regular" w:cs="Arial"/>
          <w:i/>
          <w:sz w:val="20"/>
          <w:szCs w:val="20"/>
          <w:lang w:val="it-CH"/>
        </w:rPr>
      </w:pPr>
      <w:r w:rsidRPr="00A87CE8">
        <w:rPr>
          <w:rFonts w:ascii="KievitPro-Regular" w:hAnsi="KievitPro-Regular" w:cs="Arial"/>
          <w:i/>
          <w:sz w:val="20"/>
          <w:szCs w:val="20"/>
          <w:lang w:val="it-CH"/>
        </w:rPr>
        <w:t xml:space="preserve">Allegato 12.7: </w:t>
      </w:r>
      <w:r w:rsidRPr="00A87CE8">
        <w:rPr>
          <w:rFonts w:ascii="KievitPro-Regular" w:hAnsi="KievitPro-Regular" w:cs="Arial"/>
          <w:i/>
          <w:sz w:val="20"/>
          <w:szCs w:val="20"/>
          <w:lang w:val="it-CH"/>
        </w:rPr>
        <w:tab/>
        <w:t>Modello di conferma di mandato in caso di doppio mandato</w:t>
      </w:r>
      <w:r w:rsidRPr="00A87CE8">
        <w:rPr>
          <w:rFonts w:ascii="KievitPro-Regular" w:hAnsi="KievitPro-Regular" w:cs="Arial"/>
          <w:i/>
          <w:sz w:val="20"/>
          <w:szCs w:val="20"/>
          <w:lang w:val="it-CH"/>
        </w:rPr>
        <w:tab/>
      </w:r>
    </w:p>
    <w:p w14:paraId="537B9BDE" w14:textId="6F7060AE" w:rsidR="00BD7A1D" w:rsidRPr="00A87CE8" w:rsidRDefault="00BD7A1D" w:rsidP="00ED3D43">
      <w:pPr>
        <w:tabs>
          <w:tab w:val="left" w:pos="1418"/>
          <w:tab w:val="right" w:pos="9405"/>
        </w:tabs>
        <w:spacing w:before="60" w:after="60" w:line="240" w:lineRule="auto"/>
        <w:rPr>
          <w:rFonts w:ascii="KievitPro-Regular" w:hAnsi="KievitPro-Regular" w:cs="Arial"/>
          <w:i/>
          <w:sz w:val="20"/>
          <w:szCs w:val="20"/>
          <w:lang w:val="it-CH"/>
        </w:rPr>
      </w:pPr>
      <w:r w:rsidRPr="00A87CE8">
        <w:rPr>
          <w:rFonts w:ascii="KievitPro-Regular" w:hAnsi="KievitPro-Regular" w:cs="Arial"/>
          <w:i/>
          <w:sz w:val="20"/>
          <w:szCs w:val="20"/>
          <w:lang w:val="it-CH"/>
        </w:rPr>
        <w:t>Allegato 12.8: Regolamento sulla collaborazione in caso di doppio mandato</w:t>
      </w:r>
      <w:r w:rsidRPr="00A87CE8">
        <w:rPr>
          <w:rFonts w:ascii="KievitPro-Regular" w:hAnsi="KievitPro-Regular" w:cs="Arial"/>
          <w:i/>
          <w:sz w:val="20"/>
          <w:szCs w:val="20"/>
          <w:lang w:val="it-CH"/>
        </w:rPr>
        <w:tab/>
      </w:r>
    </w:p>
    <w:p w14:paraId="20832B69" w14:textId="2973929E" w:rsidR="00CA5566" w:rsidRPr="00A87CE8" w:rsidRDefault="00ED3D43" w:rsidP="007821B5">
      <w:pPr>
        <w:tabs>
          <w:tab w:val="left" w:pos="1418"/>
          <w:tab w:val="right" w:pos="9405"/>
        </w:tabs>
        <w:spacing w:before="60" w:after="60" w:line="240" w:lineRule="auto"/>
        <w:rPr>
          <w:rFonts w:ascii="KievitPro-Regular" w:hAnsi="KievitPro-Regular" w:cs="Arial"/>
          <w:b/>
          <w:smallCaps/>
          <w:spacing w:val="5"/>
          <w:sz w:val="24"/>
          <w:szCs w:val="32"/>
          <w:lang w:val="it-CH" w:bidi="ar-SA"/>
        </w:rPr>
      </w:pPr>
      <w:r w:rsidRPr="00A87CE8">
        <w:rPr>
          <w:rFonts w:ascii="KievitPro-Regular" w:hAnsi="KievitPro-Regular" w:cs="Arial"/>
          <w:i/>
          <w:sz w:val="20"/>
          <w:szCs w:val="20"/>
          <w:lang w:val="it-CH"/>
        </w:rPr>
        <w:t>Allegato 12.9: Lista di controllo per le dimissioni dal mandato</w:t>
      </w:r>
      <w:r w:rsidRPr="00A87CE8">
        <w:rPr>
          <w:rFonts w:ascii="KievitPro-Regular" w:hAnsi="KievitPro-Regular" w:cs="Arial"/>
          <w:i/>
          <w:sz w:val="20"/>
          <w:szCs w:val="20"/>
          <w:lang w:val="it-CH"/>
        </w:rPr>
        <w:tab/>
      </w:r>
      <w:bookmarkStart w:id="27" w:name="_Toc331508578"/>
      <w:bookmarkStart w:id="28" w:name="_Toc331510679"/>
      <w:bookmarkStart w:id="29" w:name="_Toc359071932"/>
      <w:r w:rsidR="00CA5566" w:rsidRPr="00A87CE8">
        <w:rPr>
          <w:rFonts w:ascii="KievitPro-Regular" w:hAnsi="KievitPro-Regular" w:cs="Arial"/>
          <w:b/>
          <w:sz w:val="24"/>
          <w:szCs w:val="32"/>
          <w:lang w:val="it-CH"/>
        </w:rPr>
        <w:br w:type="page"/>
      </w:r>
    </w:p>
    <w:p w14:paraId="6E6B785C" w14:textId="48AFEF7B" w:rsidR="006904D4" w:rsidRPr="00A87CE8" w:rsidRDefault="006C256E">
      <w:pPr>
        <w:pStyle w:val="berschrift1"/>
        <w:numPr>
          <w:ilvl w:val="0"/>
          <w:numId w:val="2"/>
        </w:numPr>
        <w:ind w:left="426" w:hanging="426"/>
        <w:rPr>
          <w:rFonts w:ascii="KievitPro-Regular" w:hAnsi="KievitPro-Regular" w:cs="Arial"/>
          <w:b w:val="0"/>
          <w:sz w:val="24"/>
          <w:szCs w:val="32"/>
          <w:lang w:val="it-CH"/>
        </w:rPr>
      </w:pPr>
      <w:bookmarkStart w:id="30" w:name="_Toc242259024"/>
      <w:bookmarkStart w:id="31" w:name="_Toc242261431"/>
      <w:r w:rsidRPr="00A87CE8">
        <w:rPr>
          <w:rFonts w:ascii="KievitPro-Regular" w:hAnsi="KievitPro-Regular" w:cs="Arial"/>
          <w:sz w:val="24"/>
          <w:szCs w:val="32"/>
          <w:lang w:val="it-CH"/>
        </w:rPr>
        <w:lastRenderedPageBreak/>
        <w:t>Esecuzione dei mandati</w:t>
      </w:r>
      <w:bookmarkEnd w:id="27"/>
      <w:bookmarkEnd w:id="28"/>
      <w:bookmarkEnd w:id="29"/>
      <w:bookmarkEnd w:id="30"/>
      <w:bookmarkEnd w:id="31"/>
    </w:p>
    <w:p w14:paraId="42ECCB2E" w14:textId="40D06827" w:rsidR="00A8567E" w:rsidRPr="00A87CE8" w:rsidRDefault="00A8567E" w:rsidP="00203F7F">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Regolamenti e misure</w:t>
      </w:r>
    </w:p>
    <w:p w14:paraId="5565E232" w14:textId="1A32AFA7" w:rsidR="00A8567E" w:rsidRPr="00A87CE8" w:rsidRDefault="00A8567E" w:rsidP="00011458">
      <w:pPr>
        <w:spacing w:before="480"/>
        <w:jc w:val="both"/>
        <w:rPr>
          <w:rFonts w:ascii="KievitPro-Regular" w:hAnsi="KievitPro-Regular" w:cs="Arial"/>
          <w:b/>
          <w:sz w:val="20"/>
          <w:szCs w:val="20"/>
          <w:lang w:val="it-CH"/>
        </w:rPr>
      </w:pPr>
      <w:r w:rsidRPr="00A87CE8">
        <w:rPr>
          <w:rFonts w:ascii="KievitPro-Regular" w:hAnsi="KievitPro-Regular" w:cs="Arial"/>
          <w:b/>
          <w:sz w:val="20"/>
          <w:szCs w:val="20"/>
          <w:lang w:val="it-CH"/>
        </w:rPr>
        <w:t>Regolamenti</w:t>
      </w:r>
    </w:p>
    <w:p w14:paraId="000B04BD" w14:textId="66BE9AFD" w:rsidR="00485C14" w:rsidRPr="00A87CE8" w:rsidRDefault="000B3524"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Pianifichiamo e monitoriamo i nostri mandati in modo da garantire che siano eseguiti correttamente e portati a termine tempestivamente, nel rispetto dei principi di deontologia. I mandati di revisione vengono monitorati in particolare per verificarne il rispetto dei termini di legge. Verifichiamo i mandati e redigiamo rapporti di revisione adeguati.</w:t>
      </w:r>
    </w:p>
    <w:p w14:paraId="41C16FDF" w14:textId="68E9157A" w:rsidR="004C0570" w:rsidRPr="00A87CE8" w:rsidRDefault="004C0570"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Nella fase di pianificazione dei mandati viene designato un responsabile che dispone delle competenze, delle capacità e dei poteri necessari per svolgere la funzione. I suoi obblighi sono chiaramente definiti. L'identità e il ruolo del revisore capo vengono comunicati ai membri della direzione del mandante che ricoprono posizioni chiave e al responsabile della supervisione. </w:t>
      </w:r>
    </w:p>
    <w:p w14:paraId="34ED941B" w14:textId="77777777" w:rsidR="00485C14" w:rsidRPr="00A87CE8" w:rsidRDefault="00485C14" w:rsidP="00053AF4">
      <w:pPr>
        <w:spacing w:before="480"/>
        <w:jc w:val="both"/>
        <w:rPr>
          <w:rFonts w:ascii="KievitPro-Regular" w:hAnsi="KievitPro-Regular" w:cs="Arial"/>
          <w:b/>
          <w:sz w:val="20"/>
          <w:szCs w:val="20"/>
          <w:lang w:val="it-CH"/>
        </w:rPr>
      </w:pPr>
      <w:r w:rsidRPr="00A87CE8">
        <w:rPr>
          <w:rFonts w:ascii="KievitPro-Regular" w:hAnsi="KievitPro-Regular" w:cs="Arial"/>
          <w:b/>
          <w:sz w:val="20"/>
          <w:szCs w:val="20"/>
          <w:lang w:val="it-CH"/>
        </w:rPr>
        <w:t>Misure</w:t>
      </w:r>
    </w:p>
    <w:p w14:paraId="73BCE4AC" w14:textId="68B21561" w:rsidR="00A8567E" w:rsidRPr="00A87CE8" w:rsidRDefault="00A8567E" w:rsidP="00A8567E">
      <w:pPr>
        <w:jc w:val="both"/>
        <w:rPr>
          <w:rFonts w:ascii="KievitPro-Regular" w:hAnsi="KievitPro-Regular" w:cs="Arial"/>
          <w:sz w:val="20"/>
          <w:szCs w:val="20"/>
          <w:lang w:val="it-CH"/>
        </w:rPr>
      </w:pPr>
      <w:r w:rsidRPr="00A87CE8">
        <w:rPr>
          <w:rFonts w:ascii="KievitPro-Regular" w:hAnsi="KievitPro-Regular" w:cs="Arial"/>
          <w:sz w:val="20"/>
          <w:szCs w:val="20"/>
          <w:lang w:val="it-CH"/>
        </w:rPr>
        <w:t>L'impresa di revisione tiene un elenco costantemente aggiornato di tutti i mandati di revisione. Questa cosiddetta lista di controllo funge anche da strumento di controllo per la gestione e il monitoraggio dei mandati di revisione e contiene pertanto tutte le informazioni significative necessarie per la pianificazione, la supervisione e il corretto svolgimento dei mandati di revisione. Tra queste figurano in particolare le informazioni relative alle persone responsabili, alla categoria di rischio, alle scadenze significative, al tipo di revisione, allo stato di avanzamento del mandato e alla completezza della documentazione. Se necessario, la panoramica dei mandati viene integrata con ulteriori informazioni rilevanti, ad esempio in merito agli obblighi di rotazione, alle misure di controllo della qualità relativo al mandato o a particolari rischi economici del mandante.</w:t>
      </w:r>
    </w:p>
    <w:p w14:paraId="309D8D0D" w14:textId="00CA620D" w:rsidR="00A8567E" w:rsidRPr="00A87CE8" w:rsidRDefault="00A8567E" w:rsidP="00A8567E">
      <w:pPr>
        <w:jc w:val="both"/>
        <w:rPr>
          <w:rFonts w:ascii="KievitPro-Regular" w:hAnsi="KievitPro-Regular" w:cs="Arial"/>
          <w:sz w:val="20"/>
          <w:szCs w:val="20"/>
          <w:lang w:val="it-CH"/>
        </w:rPr>
      </w:pPr>
      <w:r w:rsidRPr="00A87CE8">
        <w:rPr>
          <w:rFonts w:ascii="KievitPro-Regular" w:hAnsi="KievitPro-Regular" w:cs="Arial"/>
          <w:sz w:val="20"/>
          <w:szCs w:val="20"/>
          <w:lang w:val="it-CH"/>
        </w:rPr>
        <w:t>Il responsabile del mandato o il revisore capo sono responsabili del rispetto dei termini e delle date previste, nonché dell'adozione tempestiva di misure adeguate in caso di ritardi o di discrepanze riscontrate.</w:t>
      </w:r>
    </w:p>
    <w:p w14:paraId="2738FB39" w14:textId="77777777" w:rsidR="00A8567E" w:rsidRPr="00A87CE8" w:rsidRDefault="00A8567E" w:rsidP="00A8567E">
      <w:pPr>
        <w:jc w:val="both"/>
        <w:rPr>
          <w:rFonts w:ascii="KievitPro-Regular" w:hAnsi="KievitPro-Regular" w:cs="Arial"/>
          <w:sz w:val="20"/>
          <w:szCs w:val="20"/>
          <w:lang w:val="it-CH"/>
        </w:rPr>
      </w:pPr>
      <w:r w:rsidRPr="00A87CE8">
        <w:rPr>
          <w:rFonts w:ascii="KievitPro-Regular" w:hAnsi="KievitPro-Regular" w:cs="Arial"/>
          <w:sz w:val="20"/>
          <w:szCs w:val="20"/>
          <w:lang w:val="it-CH"/>
        </w:rPr>
        <w:t>Al fine di garantire un'adeguata pianificazione della stagione di revisione e un corretto impiego delle risorse, la panoramica dei mandati viene regolarmente esaminata e verificata dai responsabili competenti.</w:t>
      </w:r>
    </w:p>
    <w:p w14:paraId="500A88D5" w14:textId="37697C59" w:rsidR="00A8567E" w:rsidRPr="00A87CE8" w:rsidRDefault="00A8567E" w:rsidP="00A8567E">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In caso di doppi mandati, vengono prese in considerazione le misure necessarie a livello di personale e organizzativo per garantire l'indipendenza ed evitare conflitti di interesse. I doppi mandati vengono accettati esclusivamente nell'ambito di revisioni limitate. I doppi mandati devono essere confermati per iscritto e con conferme di mandato separate. Il contributo dei collaboratori alla contabilità o la partecipazione ad altre prestazioni di servizi che comportino il rischio di un </w:t>
      </w:r>
      <w:proofErr w:type="spellStart"/>
      <w:r w:rsidRPr="00A87CE8">
        <w:rPr>
          <w:rFonts w:ascii="KievitPro-Regular" w:hAnsi="KievitPro-Regular" w:cs="Arial"/>
          <w:sz w:val="20"/>
          <w:szCs w:val="20"/>
          <w:lang w:val="it-CH"/>
        </w:rPr>
        <w:t>autoriesame</w:t>
      </w:r>
      <w:proofErr w:type="spellEnd"/>
      <w:r w:rsidRPr="00A87CE8">
        <w:rPr>
          <w:rFonts w:ascii="KievitPro-Regular" w:hAnsi="KievitPro-Regular" w:cs="Arial"/>
          <w:sz w:val="20"/>
          <w:szCs w:val="20"/>
          <w:lang w:val="it-CH"/>
        </w:rPr>
        <w:t xml:space="preserve"> da parte dell'impresa devono essere indicati nel rapporto di revisione. Ciò vale anche nel caso in cui il servizio aggiuntivo sia fornito da una società del gruppo o da un'impresa vicina.</w:t>
      </w:r>
    </w:p>
    <w:p w14:paraId="536D32F7" w14:textId="2989A6D1" w:rsidR="00E903FB" w:rsidRPr="00A87CE8" w:rsidRDefault="00E903FB"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 </w:t>
      </w:r>
    </w:p>
    <w:p w14:paraId="537CF221" w14:textId="35B5816C" w:rsidR="00E92F6E" w:rsidRPr="00A87CE8" w:rsidRDefault="00E92F6E" w:rsidP="005D26EA">
      <w:pPr>
        <w:tabs>
          <w:tab w:val="left" w:pos="1418"/>
        </w:tabs>
        <w:rPr>
          <w:rFonts w:ascii="KievitPro-Regular" w:hAnsi="KievitPro-Regular" w:cs="Arial"/>
          <w:i/>
          <w:sz w:val="20"/>
          <w:szCs w:val="20"/>
          <w:lang w:val="it-CH"/>
        </w:rPr>
      </w:pPr>
      <w:r w:rsidRPr="00A87CE8">
        <w:rPr>
          <w:rFonts w:ascii="KievitPro-Regular" w:hAnsi="KievitPro-Regular" w:cs="Arial"/>
          <w:i/>
          <w:sz w:val="20"/>
          <w:szCs w:val="20"/>
          <w:lang w:val="it-CH"/>
        </w:rPr>
        <w:t>Allegato 12.10: Modello di lista di controllo per i mandati di revisione</w:t>
      </w:r>
      <w:r w:rsidR="005D26EA" w:rsidRPr="00A87CE8">
        <w:rPr>
          <w:rFonts w:ascii="KievitPro-Regular" w:hAnsi="KievitPro-Regular" w:cs="Arial"/>
          <w:i/>
          <w:sz w:val="20"/>
          <w:szCs w:val="20"/>
          <w:lang w:val="it-CH"/>
        </w:rPr>
        <w:tab/>
      </w:r>
    </w:p>
    <w:p w14:paraId="7B61ADA8" w14:textId="3E8C83DD" w:rsidR="00742E72" w:rsidRPr="00A87CE8" w:rsidRDefault="007D4FD6" w:rsidP="00203F7F">
      <w:pPr>
        <w:pStyle w:val="Listenabsatz"/>
        <w:numPr>
          <w:ilvl w:val="1"/>
          <w:numId w:val="2"/>
        </w:numPr>
        <w:spacing w:before="240" w:after="120" w:line="278" w:lineRule="auto"/>
        <w:contextualSpacing w:val="0"/>
        <w:rPr>
          <w:rFonts w:ascii="KievitPro-Regular" w:hAnsi="KievitPro-Regular" w:cs="Arial"/>
          <w:b/>
          <w:szCs w:val="24"/>
          <w:lang w:val="it-CH"/>
        </w:rPr>
      </w:pPr>
      <w:r w:rsidRPr="00A87CE8">
        <w:rPr>
          <w:rFonts w:ascii="KievitPro-Regular" w:hAnsi="KievitPro-Regular" w:cs="Arial"/>
          <w:b/>
          <w:color w:val="FF0000"/>
          <w:lang w:val="it-CH"/>
        </w:rPr>
        <w:br w:type="page"/>
      </w:r>
      <w:r w:rsidR="007E7EAA" w:rsidRPr="00A87CE8">
        <w:rPr>
          <w:rFonts w:ascii="KievitPro-Regular" w:hAnsi="KievitPro-Regular" w:cs="Arial"/>
          <w:b/>
          <w:bCs/>
          <w:lang w:val="it-CH"/>
        </w:rPr>
        <w:lastRenderedPageBreak/>
        <w:t>Qualità costante nell'esecuzione dei mandati</w:t>
      </w:r>
    </w:p>
    <w:p w14:paraId="47529A01" w14:textId="1C600E13" w:rsidR="00865E37" w:rsidRPr="00A87CE8" w:rsidRDefault="00865E37" w:rsidP="00865E37">
      <w:pPr>
        <w:jc w:val="both"/>
        <w:rPr>
          <w:rFonts w:ascii="KievitPro-Regular" w:hAnsi="KievitPro-Regular" w:cs="Arial"/>
          <w:sz w:val="20"/>
          <w:szCs w:val="20"/>
          <w:lang w:val="it-CH"/>
        </w:rPr>
      </w:pPr>
      <w:r w:rsidRPr="00A87CE8">
        <w:rPr>
          <w:rFonts w:ascii="KievitPro-Regular" w:hAnsi="KievitPro-Regular" w:cs="Arial"/>
          <w:sz w:val="20"/>
          <w:szCs w:val="20"/>
          <w:lang w:val="it-CH"/>
        </w:rPr>
        <w:t>Il personale specializzato è obbligato a utilizzare le linee guida tecniche e organizzative, gli strumenti di lavoro e i processi previsti per l'esecuzione dei mandati di revisione. L'impresa di revisione garantisce che le informazioni rilevanti siano chiaramente identificate, mantenute aggiornate e rese accessibili in modo adeguato ai collaboratori competenti.</w:t>
      </w:r>
    </w:p>
    <w:p w14:paraId="46EAFBB8" w14:textId="6D5BECB7" w:rsidR="00865E37" w:rsidRPr="00A87CE8" w:rsidRDefault="00865E37" w:rsidP="00865E37">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Per garantire un’esecuzione del mandato coerente, ricostruibile e conforme alla legge, vengono utilizzati appunti di lavoro standardizzati e un software di revisione adeguato. A tal fine, si presta attenzione affinché </w:t>
      </w:r>
      <w:proofErr w:type="gramStart"/>
      <w:r w:rsidRPr="00A87CE8">
        <w:rPr>
          <w:rFonts w:ascii="KievitPro-Regular" w:hAnsi="KievitPro-Regular" w:cs="Arial"/>
          <w:sz w:val="20"/>
          <w:szCs w:val="20"/>
          <w:lang w:val="it-CH"/>
        </w:rPr>
        <w:t>il team incaricato sia composto</w:t>
      </w:r>
      <w:proofErr w:type="gramEnd"/>
      <w:r w:rsidRPr="00A87CE8">
        <w:rPr>
          <w:rFonts w:ascii="KievitPro-Regular" w:hAnsi="KievitPro-Regular" w:cs="Arial"/>
          <w:sz w:val="20"/>
          <w:szCs w:val="20"/>
          <w:lang w:val="it-CH"/>
        </w:rPr>
        <w:t xml:space="preserve"> in modo adeguato e affinché, di norma, almeno un quinto (20%) delle persone coinvolte nell'esecuzione del mandato sia in possesso della necessaria abilitazione professionale e svolga un quinto (20%) delle ore di revisione fatturate al cliente.</w:t>
      </w:r>
    </w:p>
    <w:p w14:paraId="12057A09" w14:textId="4EDEFAFE" w:rsidR="00887708" w:rsidRPr="00A87CE8" w:rsidRDefault="00887708" w:rsidP="00865E37">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 membri </w:t>
      </w:r>
      <w:proofErr w:type="gramStart"/>
      <w:r w:rsidRPr="00A87CE8">
        <w:rPr>
          <w:rFonts w:ascii="KievitPro-Regular" w:hAnsi="KievitPro-Regular" w:cs="Arial"/>
          <w:sz w:val="20"/>
          <w:szCs w:val="20"/>
          <w:lang w:val="it-CH"/>
        </w:rPr>
        <w:t>del team</w:t>
      </w:r>
      <w:proofErr w:type="gramEnd"/>
      <w:r w:rsidRPr="00A87CE8">
        <w:rPr>
          <w:rFonts w:ascii="KievitPro-Regular" w:hAnsi="KievitPro-Regular" w:cs="Arial"/>
          <w:sz w:val="20"/>
          <w:szCs w:val="20"/>
          <w:lang w:val="it-CH"/>
        </w:rPr>
        <w:t xml:space="preserve"> di revisione devono svolgere i propri compiti esercitando la dovuta valutazione professionale e con il necessario atteggiamento critico.</w:t>
      </w:r>
    </w:p>
    <w:p w14:paraId="6A4A1C1C" w14:textId="77777777" w:rsidR="00865E37" w:rsidRPr="00A87CE8" w:rsidRDefault="00865E37" w:rsidP="00865E37">
      <w:pPr>
        <w:jc w:val="both"/>
        <w:rPr>
          <w:rFonts w:ascii="KievitPro-Regular" w:hAnsi="KievitPro-Regular" w:cs="Arial"/>
          <w:sz w:val="20"/>
          <w:szCs w:val="20"/>
          <w:lang w:val="it-CH"/>
        </w:rPr>
      </w:pPr>
      <w:r w:rsidRPr="00A87CE8">
        <w:rPr>
          <w:rFonts w:ascii="KievitPro-Regular" w:hAnsi="KievitPro-Regular" w:cs="Arial"/>
          <w:sz w:val="20"/>
          <w:szCs w:val="20"/>
          <w:lang w:val="it-CH"/>
        </w:rPr>
        <w:t>Qualora, nell'ambito dei servizi di revisione, si ricorra a esperti esterni o a partner, le condizioni generali, le competenze e i requisiti di qualità della collaborazione vengono disciplinati per iscritto. Il rispetto di tali disposizioni viene verificato regolarmente.</w:t>
      </w:r>
    </w:p>
    <w:p w14:paraId="38255CCD" w14:textId="44FA4FB6" w:rsidR="00865E37" w:rsidRPr="00A87CE8" w:rsidRDefault="00865E37" w:rsidP="00865E37">
      <w:pPr>
        <w:jc w:val="both"/>
        <w:rPr>
          <w:rFonts w:ascii="KievitPro-Regular" w:hAnsi="KievitPro-Regular" w:cs="Arial"/>
          <w:sz w:val="20"/>
          <w:szCs w:val="20"/>
          <w:lang w:val="it-CH"/>
        </w:rPr>
      </w:pPr>
      <w:r w:rsidRPr="00A87CE8">
        <w:rPr>
          <w:rFonts w:ascii="KievitPro-Regular" w:hAnsi="KievitPro-Regular" w:cs="Arial"/>
          <w:sz w:val="20"/>
          <w:szCs w:val="20"/>
          <w:lang w:val="it-CH"/>
        </w:rPr>
        <w:t>L'esecuzione dei mandati di revisione avviene in conformità ai principi di revisione svizzeri applicabili. Le revisioni limitate vengono effettuate secondo lo Standard svizzero sulla revisione limitata (SRL). Si tiene inoltre conto delle prescrizioni legali in materia, delle normative specifiche e dei principi contabili applicabili.</w:t>
      </w:r>
    </w:p>
    <w:p w14:paraId="255560B0" w14:textId="78A75D16" w:rsidR="003B2BED" w:rsidRPr="00A87CE8" w:rsidRDefault="00865E37"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A supporto dell'attività professionale, il personale specializzato ha inoltre a disposizione diverse fonti di informazione esterne e basi tecniche, in particolare leggi, standard, direttive, pubblicazioni e indicazioni pratiche fornite da EXPERTsuisse e/o FIDUCIARI|SUISSE. Ciò garantisce che gli sviluppi tecnici rilevanti e le modifiche normative possano essere presi in considerazione tempestivamente.</w:t>
      </w:r>
    </w:p>
    <w:p w14:paraId="6E0DF1C0" w14:textId="617A2EB8" w:rsidR="00317B98" w:rsidRPr="00A87CE8" w:rsidRDefault="00317B98" w:rsidP="00203F7F">
      <w:pPr>
        <w:pStyle w:val="Listenabsatz"/>
        <w:numPr>
          <w:ilvl w:val="1"/>
          <w:numId w:val="2"/>
        </w:numPr>
        <w:spacing w:before="240" w:after="120" w:line="278" w:lineRule="auto"/>
        <w:contextualSpacing w:val="0"/>
        <w:rPr>
          <w:rFonts w:ascii="KievitPro-Regular" w:hAnsi="KievitPro-Regular" w:cs="Arial"/>
          <w:b/>
          <w:bCs/>
          <w:lang w:val="it-CH"/>
        </w:rPr>
      </w:pPr>
      <w:bookmarkStart w:id="32" w:name="_Toc331493577"/>
      <w:bookmarkStart w:id="33" w:name="_Toc331493993"/>
      <w:bookmarkStart w:id="34" w:name="_Toc331495025"/>
      <w:bookmarkStart w:id="35" w:name="_Toc331495817"/>
      <w:bookmarkStart w:id="36" w:name="_Toc331510681"/>
      <w:r w:rsidRPr="00A87CE8">
        <w:rPr>
          <w:rFonts w:ascii="KievitPro-Regular" w:hAnsi="KievitPro-Regular" w:cs="Arial"/>
          <w:b/>
          <w:bCs/>
          <w:lang w:val="it-CH"/>
        </w:rPr>
        <w:t>Sorveglianza dell’esecuzione del mandato</w:t>
      </w:r>
    </w:p>
    <w:p w14:paraId="51705954" w14:textId="077D35FA" w:rsidR="00934F1C" w:rsidRPr="00A87CE8" w:rsidRDefault="00934F1C" w:rsidP="00EC1544">
      <w:pPr>
        <w:jc w:val="both"/>
        <w:rPr>
          <w:rFonts w:ascii="KievitPro-Regular" w:hAnsi="KievitPro-Regular" w:cs="Arial"/>
          <w:sz w:val="20"/>
          <w:szCs w:val="20"/>
          <w:lang w:val="it-CH"/>
        </w:rPr>
      </w:pPr>
      <w:r w:rsidRPr="00A87CE8">
        <w:rPr>
          <w:rFonts w:ascii="KievitPro-Regular" w:hAnsi="KievitPro-Regular" w:cs="Arial"/>
          <w:sz w:val="20"/>
          <w:szCs w:val="20"/>
          <w:lang w:val="it-CH"/>
        </w:rPr>
        <w:t>L'esecuzione delle revisioni dei conti annuali secondo lo Standard svizzero sulla revisione limitata è oggetto di una sorveglianza costante. Le conoscenze acquisite nell'ambito della gestione pratica dei mandati, dei controlli interni o degli sviluppi settoriali vengono debitamente prese in considerazione e confluiscono nell'ulteriore sviluppo dell'attività di revisione e dei processi applicati.</w:t>
      </w:r>
    </w:p>
    <w:p w14:paraId="5E1FC3C8" w14:textId="77777777" w:rsidR="00934F1C" w:rsidRPr="00A87CE8" w:rsidRDefault="00934F1C" w:rsidP="00EC1544">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Il responsabile del mandato è incaricato del monitoraggio e della gestione continui del rispettivo mandato. In particolare, valuta se i membri </w:t>
      </w:r>
      <w:proofErr w:type="gramStart"/>
      <w:r w:rsidRPr="00A87CE8">
        <w:rPr>
          <w:rFonts w:ascii="KievitPro-Regular" w:hAnsi="KievitPro-Regular" w:cs="Arial"/>
          <w:sz w:val="20"/>
          <w:szCs w:val="20"/>
          <w:lang w:val="it-CH"/>
        </w:rPr>
        <w:t>del team coinvolti</w:t>
      </w:r>
      <w:proofErr w:type="gramEnd"/>
      <w:r w:rsidRPr="00A87CE8">
        <w:rPr>
          <w:rFonts w:ascii="KievitPro-Regular" w:hAnsi="KievitPro-Regular" w:cs="Arial"/>
          <w:sz w:val="20"/>
          <w:szCs w:val="20"/>
          <w:lang w:val="it-CH"/>
        </w:rPr>
        <w:t xml:space="preserve"> dispongano delle conoscenze tecniche, delle competenze e delle risorse temporali necessarie per svolgere correttamente i compiti loro assegnati. Inoltre, garantisce che i fatti significativi, i rischi e le constatazioni emersi durante l'esecuzione del mandato vengano individuati tempestivamente, valutati e gestiti in modo adeguato.</w:t>
      </w:r>
    </w:p>
    <w:p w14:paraId="03A6A873" w14:textId="77777777" w:rsidR="00934F1C" w:rsidRPr="00A87CE8" w:rsidRDefault="00934F1C" w:rsidP="00EC1544">
      <w:pPr>
        <w:jc w:val="both"/>
        <w:rPr>
          <w:rFonts w:ascii="KievitPro-Regular" w:hAnsi="KievitPro-Regular" w:cs="Arial"/>
          <w:sz w:val="20"/>
          <w:szCs w:val="20"/>
          <w:lang w:val="it-CH"/>
        </w:rPr>
      </w:pPr>
      <w:r w:rsidRPr="00A87CE8">
        <w:rPr>
          <w:rFonts w:ascii="KievitPro-Regular" w:hAnsi="KievitPro-Regular" w:cs="Arial"/>
          <w:sz w:val="20"/>
          <w:szCs w:val="20"/>
          <w:lang w:val="it-CH"/>
        </w:rPr>
        <w:t>Le questioni di particolare rilevanza o di maggiore complessità devono, se necessario, essere discusse con esperti del settore oppure sottoposte a consultazione.</w:t>
      </w:r>
    </w:p>
    <w:p w14:paraId="1DEF741B" w14:textId="77777777" w:rsidR="00BD5575" w:rsidRPr="00A87CE8" w:rsidRDefault="00934F1C" w:rsidP="00934F1C">
      <w:pPr>
        <w:jc w:val="both"/>
        <w:rPr>
          <w:rFonts w:ascii="KievitPro-Regular" w:hAnsi="KievitPro-Regular" w:cs="Arial"/>
          <w:sz w:val="20"/>
          <w:szCs w:val="20"/>
          <w:lang w:val="it-CH"/>
        </w:rPr>
      </w:pPr>
      <w:r w:rsidRPr="00A87CE8">
        <w:rPr>
          <w:rFonts w:ascii="KievitPro-Regular" w:hAnsi="KievitPro-Regular" w:cs="Arial"/>
          <w:sz w:val="20"/>
          <w:szCs w:val="20"/>
          <w:lang w:val="it-CH"/>
        </w:rPr>
        <w:t>I rapporti di revisione con un giudizio di revisione modificato, nonché quelli che evidenziano determinati fatti o contengono altre note particolari, vengono esaminati da un professionista qualificato prima della loro approvazione. Lo svolgimento di tali consultazioni e seconde valutazioni è regolato dalle linee guida interne in materia di consultazione specialistica.</w:t>
      </w:r>
    </w:p>
    <w:p w14:paraId="27B99A1F" w14:textId="71BA94E8" w:rsidR="00934F1C" w:rsidRPr="00A87CE8" w:rsidRDefault="00934F1C" w:rsidP="00934F1C">
      <w:pPr>
        <w:jc w:val="both"/>
        <w:rPr>
          <w:rFonts w:ascii="KievitPro-Regular" w:hAnsi="KievitPro-Regular" w:cs="Arial"/>
          <w:sz w:val="20"/>
          <w:szCs w:val="20"/>
          <w:lang w:val="it-CH"/>
        </w:rPr>
      </w:pPr>
      <w:r w:rsidRPr="00A87CE8">
        <w:rPr>
          <w:rFonts w:ascii="KievitPro-Regular" w:hAnsi="KievitPro-Regular" w:cs="Arial"/>
          <w:sz w:val="20"/>
          <w:szCs w:val="20"/>
          <w:lang w:val="it-CH"/>
        </w:rPr>
        <w:t>Prima della firma e della consegna del rapporto di revisione, il responsabile del mandato valuta e approva tutte le constatazioni di revisione significative, nonché le conclusioni che ne derivano. La valutazione finale del mandato viene adeguatamente documentata e approvata.</w:t>
      </w:r>
    </w:p>
    <w:p w14:paraId="1E3060A3" w14:textId="34517B9B" w:rsidR="00934F1C" w:rsidRPr="00A87CE8" w:rsidRDefault="00934F1C" w:rsidP="00203F7F">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lastRenderedPageBreak/>
        <w:t>Esame</w:t>
      </w:r>
    </w:p>
    <w:p w14:paraId="3B7A372D" w14:textId="77777777" w:rsidR="00934F1C" w:rsidRPr="00A87CE8" w:rsidRDefault="00934F1C" w:rsidP="00EC1544">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Il lavoro dei membri </w:t>
      </w:r>
      <w:proofErr w:type="gramStart"/>
      <w:r w:rsidRPr="00A87CE8">
        <w:rPr>
          <w:rFonts w:ascii="KievitPro-Regular" w:hAnsi="KievitPro-Regular" w:cs="Arial"/>
          <w:sz w:val="20"/>
          <w:szCs w:val="20"/>
          <w:lang w:val="it-CH"/>
        </w:rPr>
        <w:t>del team meno esperti</w:t>
      </w:r>
      <w:proofErr w:type="gramEnd"/>
      <w:r w:rsidRPr="00A87CE8">
        <w:rPr>
          <w:rFonts w:ascii="KievitPro-Regular" w:hAnsi="KievitPro-Regular" w:cs="Arial"/>
          <w:sz w:val="20"/>
          <w:szCs w:val="20"/>
          <w:lang w:val="it-CH"/>
        </w:rPr>
        <w:t xml:space="preserve"> viene verificato e seguito da collaboratori più esperti o dal responsabile del mandato. Un adeguato esame degli appunti di lavoro e del fascicolo di revisione garantisce che i mandati siano svolti in conformità con i principi di revisione applicabili, le disposizioni di legge e i requisiti interni di qualità.</w:t>
      </w:r>
    </w:p>
    <w:p w14:paraId="5AA38ED7" w14:textId="77777777" w:rsidR="00934F1C" w:rsidRPr="00A87CE8" w:rsidRDefault="00934F1C" w:rsidP="00EC1544">
      <w:pPr>
        <w:jc w:val="both"/>
        <w:rPr>
          <w:rFonts w:ascii="KievitPro-Regular" w:hAnsi="KievitPro-Regular" w:cs="Arial"/>
          <w:sz w:val="20"/>
          <w:szCs w:val="20"/>
          <w:lang w:val="it-CH"/>
        </w:rPr>
      </w:pPr>
      <w:r w:rsidRPr="00A87CE8">
        <w:rPr>
          <w:rFonts w:ascii="KievitPro-Regular" w:hAnsi="KievitPro-Regular" w:cs="Arial"/>
          <w:sz w:val="20"/>
          <w:szCs w:val="20"/>
          <w:lang w:val="it-CH"/>
        </w:rPr>
        <w:t>L’esame comprende, in particolare, la valutazione volta a verificare se le operazioni di revisione effettuate siano state adeguatamente documentate, se i fatti accertati siano stati valutati in modo appropriato e se le conclusioni tratte siano ricostruibili e corrette. Come base per il rapporto di revisione viene effettuata una valutazione finale documentata del mandato.</w:t>
      </w:r>
    </w:p>
    <w:p w14:paraId="4FABB19C" w14:textId="49E0F8C3" w:rsidR="00934F1C" w:rsidRPr="00A87CE8" w:rsidRDefault="00934F1C" w:rsidP="00EC1544">
      <w:pPr>
        <w:jc w:val="both"/>
        <w:rPr>
          <w:rFonts w:ascii="KievitPro-Regular" w:hAnsi="KievitPro-Regular" w:cs="Arial"/>
          <w:sz w:val="20"/>
          <w:szCs w:val="20"/>
          <w:lang w:val="it-CH"/>
        </w:rPr>
      </w:pPr>
      <w:r w:rsidRPr="00A87CE8">
        <w:rPr>
          <w:rFonts w:ascii="KievitPro-Regular" w:hAnsi="KievitPro-Regular" w:cs="Arial"/>
          <w:sz w:val="20"/>
          <w:szCs w:val="20"/>
          <w:lang w:val="it-CH"/>
        </w:rPr>
        <w:t>In caso di situazioni complesse, difficili o controverse, è necessario ricorrere a un'adeguata consulenza specialistica. A tal proposito occorre attenersi alle relative direttive interne in materia di consultazione (si veda il capitolo 5.5 «Consultazione»).</w:t>
      </w:r>
    </w:p>
    <w:p w14:paraId="08C98FE8" w14:textId="77777777" w:rsidR="00934F1C" w:rsidRPr="00A87CE8" w:rsidRDefault="00934F1C" w:rsidP="00EC1544">
      <w:pPr>
        <w:jc w:val="both"/>
        <w:rPr>
          <w:rFonts w:ascii="KievitPro-Regular" w:hAnsi="KievitPro-Regular" w:cs="Arial"/>
          <w:sz w:val="20"/>
          <w:szCs w:val="20"/>
          <w:lang w:val="it-CH"/>
        </w:rPr>
      </w:pPr>
      <w:r w:rsidRPr="00A87CE8">
        <w:rPr>
          <w:rFonts w:ascii="KievitPro-Regular" w:hAnsi="KievitPro-Regular" w:cs="Arial"/>
          <w:sz w:val="20"/>
          <w:szCs w:val="20"/>
          <w:lang w:val="it-CH"/>
        </w:rPr>
        <w:t>L’esame delle attività viene effettuato, di norma, prima dell'approvazione e della consegna del rapporto di revisione. Nel caso di mandati di ampia portata o che comportano rischi, può essere opportuno effettuare anche valutazioni intermedie o review periodiche di singole aree specifiche.</w:t>
      </w:r>
    </w:p>
    <w:p w14:paraId="37A26FC7" w14:textId="695F5C60" w:rsidR="00934F1C" w:rsidRPr="00A87CE8" w:rsidRDefault="00934F1C" w:rsidP="00EC1544">
      <w:pPr>
        <w:jc w:val="both"/>
        <w:rPr>
          <w:rFonts w:ascii="KievitPro-Regular" w:hAnsi="KievitPro-Regular" w:cs="Arial"/>
          <w:sz w:val="20"/>
          <w:szCs w:val="20"/>
          <w:lang w:val="it-CH"/>
        </w:rPr>
      </w:pPr>
      <w:r w:rsidRPr="00A87CE8">
        <w:rPr>
          <w:rFonts w:ascii="KievitPro-Regular" w:hAnsi="KievitPro-Regular" w:cs="Arial"/>
          <w:sz w:val="20"/>
          <w:szCs w:val="20"/>
          <w:lang w:val="it-CH"/>
        </w:rPr>
        <w:t>Gli appunti di lavoro e la documentazione di revisione devono essere controllati e vidimati dal responsabile del mandato. Prima di firmare e consegnare il rapporto di revisione, è necessario assicurarsi che la documentazione sia completa e correttamente compilata.</w:t>
      </w:r>
    </w:p>
    <w:p w14:paraId="479A7EC5" w14:textId="77777777" w:rsidR="00F86C88" w:rsidRPr="00A87CE8" w:rsidRDefault="00F86C88" w:rsidP="007B4F0D">
      <w:pPr>
        <w:tabs>
          <w:tab w:val="left" w:pos="1418"/>
        </w:tabs>
        <w:spacing w:after="0" w:line="240" w:lineRule="auto"/>
        <w:rPr>
          <w:rFonts w:ascii="KievitPro-Regular" w:hAnsi="KievitPro-Regular" w:cs="Arial"/>
          <w:i/>
          <w:sz w:val="12"/>
          <w:szCs w:val="12"/>
          <w:lang w:val="it-CH"/>
        </w:rPr>
      </w:pPr>
    </w:p>
    <w:p w14:paraId="60D1DF39" w14:textId="7B92B599" w:rsidR="005D26EA" w:rsidRPr="00A87CE8" w:rsidRDefault="005D26EA" w:rsidP="005D26EA">
      <w:pPr>
        <w:tabs>
          <w:tab w:val="left" w:pos="1418"/>
        </w:tabs>
        <w:rPr>
          <w:rFonts w:ascii="KievitPro-Regular" w:hAnsi="KievitPro-Regular" w:cs="Arial"/>
          <w:i/>
          <w:sz w:val="20"/>
          <w:szCs w:val="20"/>
          <w:lang w:val="it-CH"/>
        </w:rPr>
      </w:pPr>
      <w:r w:rsidRPr="00A87CE8">
        <w:rPr>
          <w:rFonts w:ascii="KievitPro-Regular" w:hAnsi="KievitPro-Regular" w:cs="Arial"/>
          <w:i/>
          <w:sz w:val="20"/>
          <w:szCs w:val="20"/>
          <w:lang w:val="it-CH"/>
        </w:rPr>
        <w:t>Allegato 12.11: Lista di controllo per la sorveglianza e l’esame</w:t>
      </w:r>
      <w:r w:rsidRPr="00A87CE8">
        <w:rPr>
          <w:rFonts w:ascii="KievitPro-Regular" w:hAnsi="KievitPro-Regular" w:cs="Arial"/>
          <w:i/>
          <w:sz w:val="20"/>
          <w:szCs w:val="20"/>
          <w:lang w:val="it-CH"/>
        </w:rPr>
        <w:tab/>
      </w:r>
    </w:p>
    <w:p w14:paraId="3BA55855" w14:textId="1C168649" w:rsidR="006F2541" w:rsidRPr="00A87CE8" w:rsidRDefault="006F2541" w:rsidP="00203F7F">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Consultazione</w:t>
      </w:r>
    </w:p>
    <w:p w14:paraId="6C4A0399" w14:textId="34006386" w:rsidR="006F2541" w:rsidRPr="00A87CE8" w:rsidRDefault="006F2541" w:rsidP="006F2541">
      <w:pPr>
        <w:jc w:val="both"/>
        <w:rPr>
          <w:rFonts w:ascii="KievitPro-Regular" w:hAnsi="KievitPro-Regular" w:cs="Arial"/>
          <w:sz w:val="20"/>
          <w:szCs w:val="20"/>
          <w:lang w:val="it-CH"/>
        </w:rPr>
      </w:pPr>
      <w:r w:rsidRPr="00A87CE8">
        <w:rPr>
          <w:rFonts w:ascii="KievitPro-Regular" w:hAnsi="KievitPro-Regular" w:cs="Arial"/>
          <w:sz w:val="20"/>
          <w:szCs w:val="20"/>
          <w:lang w:val="it-CH"/>
        </w:rPr>
        <w:t>In caso di situazioni difficili, complesse o controverse, è obbligatorio ricorrere a un'adeguata consulenza specialistica nell'ambito dell'accettazione del mandato, della pianificazione della revisione o dell'esecuzione del mandato. La valutazione della necessità di una consultazione in merito a una determinata situazione spetta al responsabile del mandato, che deve procedere a una valutazione coscienziosa nel rispetto dei propri doveri, tenendo conto delle circostanze concrete del mandato.</w:t>
      </w:r>
    </w:p>
    <w:p w14:paraId="6E78FA97" w14:textId="77777777" w:rsidR="006F2541" w:rsidRPr="00A87CE8" w:rsidRDefault="006F2541" w:rsidP="006F2541">
      <w:pPr>
        <w:jc w:val="both"/>
        <w:rPr>
          <w:rFonts w:ascii="KievitPro-Regular" w:hAnsi="KievitPro-Regular" w:cs="Arial"/>
          <w:sz w:val="20"/>
          <w:szCs w:val="20"/>
          <w:lang w:val="it-CH"/>
        </w:rPr>
      </w:pPr>
      <w:r w:rsidRPr="00A87CE8">
        <w:rPr>
          <w:rFonts w:ascii="KievitPro-Regular" w:hAnsi="KievitPro-Regular" w:cs="Arial"/>
          <w:sz w:val="20"/>
          <w:szCs w:val="20"/>
          <w:lang w:val="it-CH"/>
        </w:rPr>
        <w:t>Le consultazioni hanno lo scopo di promuovere la qualità delle valutazioni e l'applicazione corretta della discrezione professionale. A seconda della questione da affrontare, è possibile ricorrere a esperti interni oppure, d'intesa con la direzione, a specialisti esterni in possesso delle competenze specifiche necessarie. A tal fine occorre garantire che alle persone consultate vengano fornite, in modo completo e tempestivo, tutte le informazioni necessarie per la valutazione.</w:t>
      </w:r>
    </w:p>
    <w:p w14:paraId="3232765B" w14:textId="56465206" w:rsidR="006F2541" w:rsidRPr="00A87CE8" w:rsidRDefault="006F2541" w:rsidP="006F2541">
      <w:pPr>
        <w:jc w:val="both"/>
        <w:rPr>
          <w:rFonts w:ascii="KievitPro-Regular" w:hAnsi="KievitPro-Regular" w:cs="Arial"/>
          <w:sz w:val="20"/>
          <w:szCs w:val="20"/>
          <w:lang w:val="it-CH"/>
        </w:rPr>
      </w:pPr>
      <w:r w:rsidRPr="00A87CE8">
        <w:rPr>
          <w:rFonts w:ascii="KievitPro-Regular" w:hAnsi="KievitPro-Regular" w:cs="Arial"/>
          <w:sz w:val="20"/>
          <w:szCs w:val="20"/>
          <w:lang w:val="it-CH"/>
        </w:rPr>
        <w:t>L'impresa di revisione promuove lo scambio professionale all'interno dell'organizzazione. I risultati significativi delle consultazioni devono essere resi accessibili, nella misura in cui ciò sia opportuno e consentito, anche ad altri collaboratori, al fine di favorire il trasferimento delle conoscenze e l'applicazione uniforme degli standard professionali.</w:t>
      </w:r>
    </w:p>
    <w:p w14:paraId="54F35281" w14:textId="12B2C170" w:rsidR="006F2541" w:rsidRPr="00A87CE8" w:rsidRDefault="006F2541" w:rsidP="006F2541">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Qualora, nell'ambito di una consultazione, dovessero sorgere divergenze di opinione all'interno </w:t>
      </w:r>
      <w:proofErr w:type="gramStart"/>
      <w:r w:rsidRPr="00A87CE8">
        <w:rPr>
          <w:rFonts w:ascii="KievitPro-Regular" w:hAnsi="KievitPro-Regular" w:cs="Arial"/>
          <w:sz w:val="20"/>
          <w:szCs w:val="20"/>
          <w:lang w:val="it-CH"/>
        </w:rPr>
        <w:t>del team</w:t>
      </w:r>
      <w:proofErr w:type="gramEnd"/>
      <w:r w:rsidRPr="00A87CE8">
        <w:rPr>
          <w:rFonts w:ascii="KievitPro-Regular" w:hAnsi="KievitPro-Regular" w:cs="Arial"/>
          <w:sz w:val="20"/>
          <w:szCs w:val="20"/>
          <w:lang w:val="it-CH"/>
        </w:rPr>
        <w:t xml:space="preserve"> di mandato o tra gli esperti coinvolti, occorre adottare misure adeguate </w:t>
      </w:r>
      <w:proofErr w:type="gramStart"/>
      <w:r w:rsidRPr="00A87CE8">
        <w:rPr>
          <w:rFonts w:ascii="KievitPro-Regular" w:hAnsi="KievitPro-Regular" w:cs="Arial"/>
          <w:sz w:val="20"/>
          <w:szCs w:val="20"/>
          <w:lang w:val="it-CH"/>
        </w:rPr>
        <w:t>per</w:t>
      </w:r>
      <w:proofErr w:type="gramEnd"/>
      <w:r w:rsidRPr="00A87CE8">
        <w:rPr>
          <w:rFonts w:ascii="KievitPro-Regular" w:hAnsi="KievitPro-Regular" w:cs="Arial"/>
          <w:sz w:val="20"/>
          <w:szCs w:val="20"/>
          <w:lang w:val="it-CH"/>
        </w:rPr>
        <w:t xml:space="preserve"> chiarire la situazione. Se necessario, è possibile ricorrere ad altri servizi specializzati interni e/o esterni, organizzazioni professionali o altri enti qualificati.</w:t>
      </w:r>
    </w:p>
    <w:p w14:paraId="07483303" w14:textId="77777777" w:rsidR="005B64ED" w:rsidRPr="00A87CE8" w:rsidRDefault="006F2541" w:rsidP="005B64ED">
      <w:pPr>
        <w:jc w:val="both"/>
        <w:rPr>
          <w:rFonts w:ascii="KievitPro-Regular" w:hAnsi="KievitPro-Regular" w:cs="Arial"/>
          <w:sz w:val="20"/>
          <w:szCs w:val="20"/>
          <w:lang w:val="it-CH"/>
        </w:rPr>
      </w:pPr>
      <w:r w:rsidRPr="00A87CE8">
        <w:rPr>
          <w:rFonts w:ascii="KievitPro-Regular" w:hAnsi="KievitPro-Regular" w:cs="Arial"/>
          <w:sz w:val="20"/>
          <w:szCs w:val="20"/>
          <w:lang w:val="it-CH"/>
        </w:rPr>
        <w:t>La natura, la portata, il contenuto e le conclusioni della consultazione devono essere documentati in modo adeguato e comprensibile. È indispensabile garantire e monitorare l'attuazione delle conclusioni e delle misure che ne derivano.</w:t>
      </w:r>
    </w:p>
    <w:p w14:paraId="569A209E" w14:textId="77777777" w:rsidR="00BD5575" w:rsidRPr="00A87CE8" w:rsidRDefault="00BD5575" w:rsidP="005B64ED">
      <w:pPr>
        <w:jc w:val="both"/>
        <w:rPr>
          <w:rFonts w:ascii="KievitPro-Regular" w:hAnsi="KievitPro-Regular" w:cs="Arial"/>
          <w:b/>
          <w:szCs w:val="24"/>
          <w:lang w:val="it-CH"/>
        </w:rPr>
      </w:pPr>
    </w:p>
    <w:p w14:paraId="6980BB4F" w14:textId="5445728B" w:rsidR="00107783" w:rsidRPr="00A87CE8" w:rsidRDefault="00107783" w:rsidP="00203F7F">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Divergenze di opinione</w:t>
      </w:r>
    </w:p>
    <w:p w14:paraId="3A17D449" w14:textId="77777777" w:rsidR="00107783" w:rsidRPr="00A87CE8" w:rsidRDefault="00107783" w:rsidP="00107783">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lastRenderedPageBreak/>
        <w:t xml:space="preserve">Per la gestione delle divergenze di opinione esistono norme e procedure interne che garantiscono che le differenze all'interno </w:t>
      </w:r>
      <w:proofErr w:type="gramStart"/>
      <w:r w:rsidRPr="00A87CE8">
        <w:rPr>
          <w:rFonts w:ascii="KievitPro-Regular" w:hAnsi="KievitPro-Regular" w:cs="Arial"/>
          <w:sz w:val="20"/>
          <w:szCs w:val="20"/>
          <w:lang w:val="it-CH"/>
        </w:rPr>
        <w:t>del team</w:t>
      </w:r>
      <w:proofErr w:type="gramEnd"/>
      <w:r w:rsidRPr="00A87CE8">
        <w:rPr>
          <w:rFonts w:ascii="KievitPro-Regular" w:hAnsi="KievitPro-Regular" w:cs="Arial"/>
          <w:sz w:val="20"/>
          <w:szCs w:val="20"/>
          <w:lang w:val="it-CH"/>
        </w:rPr>
        <w:t xml:space="preserve"> di mandato, con gli esperti consultati o, se applicabile, tra il responsabile del mandato e il responsabile del controllo della qualità relativo al mandato, vengano individuate tempestivamente, valutate e risolte in modo adeguato.</w:t>
      </w:r>
    </w:p>
    <w:p w14:paraId="3F37B6E8" w14:textId="77777777" w:rsidR="00107783" w:rsidRPr="00A87CE8" w:rsidRDefault="00107783" w:rsidP="00107783">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Le divergenze di opinione devono essere affrontate apertamente e risolte in modo oggettivo e tempestivo, coinvolgendo le persone responsabili competenti. Lo scopo è elaborare soluzioni in modo obiettivo, professionale e trasparente. Se necessario, è possibile consultare ulteriori esperti interni o esterni oppure organizzazioni professionali.</w:t>
      </w:r>
    </w:p>
    <w:p w14:paraId="5770B992" w14:textId="78994562" w:rsidR="00107783" w:rsidRPr="00A87CE8" w:rsidRDefault="00107783" w:rsidP="00107783">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Se una divergenza di opinioni non può essere risolta a livello operativo o se riguarda questioni significative relative alla gestione della qualità, la questione deve essere sottoposta al responsabile del mandato o alla direzione. Il chiarimento definitivo deve avvenire prima della consegna del rapporto di revisione o prima della chiusura delle attività in questione.</w:t>
      </w:r>
    </w:p>
    <w:p w14:paraId="1A8C0755" w14:textId="77777777" w:rsidR="00107783" w:rsidRPr="00A87CE8" w:rsidRDefault="00107783" w:rsidP="00107783">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Le conclusioni tratte e le misure che ne derivano devono essere adeguatamente documentate e attuate. </w:t>
      </w:r>
    </w:p>
    <w:p w14:paraId="13DF4FF7" w14:textId="67E4EB30" w:rsidR="00107783" w:rsidRPr="00A87CE8" w:rsidRDefault="00107783" w:rsidP="00107783">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Oltre alle consulenze su questioni relative ai mandati, occorre documentare anche le controversie legali o le divergenze di opinione.</w:t>
      </w:r>
    </w:p>
    <w:p w14:paraId="00096DB0" w14:textId="487ED66C" w:rsidR="00D45490" w:rsidRPr="00A87CE8" w:rsidRDefault="00D45490" w:rsidP="00203F7F">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Documentazione del mandato</w:t>
      </w:r>
    </w:p>
    <w:p w14:paraId="5757ACA4" w14:textId="76C54802" w:rsidR="002215CD" w:rsidRPr="00A87CE8" w:rsidRDefault="002215CD" w:rsidP="002215CD">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Al fine di garantire la tracciabilità e la correttezza, tutte le attività di revisione vengono documentate in modo sistematico, completo e uniforme. Gli appunti di lavoro e la documentazione relativa ai mandati vengono di norma archiviati in formato elettronico all'interno del software di verifica utilizzato (Alternativa 1: Tutti gli appunti di lavoro e i documenti devono essere archiviati in formato PDF sul disco </w:t>
      </w:r>
      <w:proofErr w:type="gramStart"/>
      <w:r w:rsidRPr="00A87CE8">
        <w:rPr>
          <w:rFonts w:ascii="KievitPro-Regular" w:hAnsi="KievitPro-Regular" w:cs="Arial"/>
          <w:sz w:val="20"/>
          <w:szCs w:val="20"/>
          <w:lang w:val="it-CH"/>
        </w:rPr>
        <w:t>X:.</w:t>
      </w:r>
      <w:proofErr w:type="gramEnd"/>
      <w:r w:rsidRPr="00A87CE8">
        <w:rPr>
          <w:rFonts w:ascii="KievitPro-Regular" w:hAnsi="KievitPro-Regular" w:cs="Arial"/>
          <w:sz w:val="20"/>
          <w:szCs w:val="20"/>
          <w:lang w:val="it-CH"/>
        </w:rPr>
        <w:t xml:space="preserve"> È importante tenere presente che i file archiviati sono protetti da scrittura e non possono più essere modificati. / Alternativa 2: Gli appunti di lavoro possono essere stampati e archiviati in un raccoglitore dedicato alla revisione).</w:t>
      </w:r>
      <w:r w:rsidR="00A23C6C" w:rsidRPr="00A87CE8">
        <w:rPr>
          <w:rStyle w:val="Funotenzeichen"/>
          <w:rFonts w:ascii="KievitPro-Regular" w:hAnsi="KievitPro-Regular" w:cs="Arial"/>
          <w:sz w:val="20"/>
          <w:szCs w:val="20"/>
          <w:lang w:val="it-CH"/>
        </w:rPr>
        <w:footnoteReference w:id="2"/>
      </w:r>
    </w:p>
    <w:p w14:paraId="5986FF5F" w14:textId="77777777" w:rsidR="002215CD" w:rsidRPr="00A87CE8" w:rsidRDefault="002215CD" w:rsidP="002215CD">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La compilazione della documentazione definitiva del mandato deve essere completata entro un termine ragionevole dalla chiusura del mandato, di norma entro e non oltre 60 giorni dalla firma o dalla data di redazione del rapporto di revisione.</w:t>
      </w:r>
    </w:p>
    <w:p w14:paraId="2AFFB9A7" w14:textId="77777777" w:rsidR="002215CD" w:rsidRPr="00A87CE8" w:rsidRDefault="002215CD" w:rsidP="002215CD">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Prima della consegna del rapporto di revisione, è necessario assicurarsi che tutte le operazioni di revisione significative siano state completate, che le questioni in sospeso siano state risolte e che siano disponibili i documenti firmati dal mandante.</w:t>
      </w:r>
    </w:p>
    <w:p w14:paraId="2F8202DA" w14:textId="77777777" w:rsidR="002215CD" w:rsidRPr="00A87CE8" w:rsidRDefault="002215CD" w:rsidP="002215CD">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La documentazione del mandato deve essere conservata in modo tale da garantirne la completezza, la disponibilità, la leggibilità e la tracciabilità per l'intero termine per conservare i documenti previsto dalla legge. L'archiviazione elettronica avviene nel rispetto dei requisiti di legge vigenti, in particolare delle prescrizioni legali relative alla conservazione elettronica dei documenti aziendali. Il termine per conservare i documenti è, in linea di principio, di dieci anni, salvo diverse disposizioni di legge.</w:t>
      </w:r>
    </w:p>
    <w:p w14:paraId="29B42E1A" w14:textId="437FE272" w:rsidR="002215CD" w:rsidRPr="00A87CE8" w:rsidRDefault="002215CD" w:rsidP="002215CD">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L'impresa di revisione garantisce, attraverso adeguate misure tecniche e organizzative, che l'accesso ai fascicoli di revisione sia limitato alle persone autorizzate e che la sicurezza dei dati sia sempre assicurata. Tra queste figurano in </w:t>
      </w:r>
      <w:r w:rsidRPr="00A87CE8">
        <w:rPr>
          <w:rFonts w:ascii="KievitPro-Regular" w:hAnsi="KievitPro-Regular" w:cs="Arial"/>
          <w:sz w:val="20"/>
          <w:szCs w:val="20"/>
          <w:lang w:val="it-CH"/>
        </w:rPr>
        <w:lastRenderedPageBreak/>
        <w:t>particolare le autorizzazioni di accesso, i backup dei dati e le misure volte a tutelare la riservatezza delle informazioni contenute.</w:t>
      </w:r>
    </w:p>
    <w:p w14:paraId="00596B2C" w14:textId="77777777" w:rsidR="002215CD" w:rsidRPr="00A87CE8" w:rsidRDefault="002215CD" w:rsidP="002215CD">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Tutti i collaboratori sono tenuti a garantire la riservatezza delle informazioni contenute nella documentazione del mandato, salvo in caso di obbligo di divulgazione previsto dalla legge o di consenso esplicito del mandante.</w:t>
      </w:r>
    </w:p>
    <w:p w14:paraId="04C1BA94" w14:textId="62E9B081" w:rsidR="00D45490" w:rsidRPr="00A87CE8" w:rsidRDefault="002215CD" w:rsidP="002215CD">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Gli appunti di lavoro e i fascicoli del mandato sono di proprietà dell'impresa di revisione. La consegna di documenti o di estratti degli stessi ai mandanti avviene solo nella misura consentita e a condizione che ciò non comporti, in particolare, alcuna violazione di requisiti legali, normativi o relativi all'indipendenza.</w:t>
      </w:r>
    </w:p>
    <w:p w14:paraId="22EE91FB" w14:textId="75B27A14" w:rsidR="00F60BE7" w:rsidRPr="00A87CE8" w:rsidRDefault="00F60BE7" w:rsidP="00203F7F">
      <w:pPr>
        <w:pStyle w:val="Listenabsatz"/>
        <w:numPr>
          <w:ilvl w:val="1"/>
          <w:numId w:val="2"/>
        </w:numPr>
        <w:spacing w:before="240" w:after="120" w:line="278" w:lineRule="auto"/>
        <w:contextualSpacing w:val="0"/>
        <w:rPr>
          <w:rFonts w:ascii="KievitPro-Regular" w:hAnsi="KievitPro-Regular" w:cs="Arial"/>
          <w:b/>
          <w:bCs/>
          <w:lang w:val="it-CH"/>
        </w:rPr>
      </w:pPr>
      <w:bookmarkStart w:id="37" w:name="_Toc331510685"/>
      <w:bookmarkStart w:id="38" w:name="_Toc359071939"/>
      <w:bookmarkStart w:id="39" w:name="_Toc58569746"/>
      <w:r w:rsidRPr="00A87CE8">
        <w:rPr>
          <w:rFonts w:ascii="KievitPro-Regular" w:hAnsi="KievitPro-Regular" w:cs="Arial"/>
          <w:b/>
          <w:bCs/>
          <w:lang w:val="it-CH"/>
        </w:rPr>
        <w:t>Separazione organizzativa tra revisione e contabilità (doppi mandati) e prestazione di altri servizi</w:t>
      </w:r>
      <w:bookmarkEnd w:id="37"/>
      <w:bookmarkEnd w:id="38"/>
      <w:bookmarkEnd w:id="39"/>
    </w:p>
    <w:p w14:paraId="49E8667B" w14:textId="77777777" w:rsidR="00F60BE7" w:rsidRPr="00A87CE8" w:rsidRDefault="00F60BE7" w:rsidP="00BD5575">
      <w:pPr>
        <w:spacing w:before="240"/>
        <w:jc w:val="both"/>
        <w:rPr>
          <w:rFonts w:ascii="KievitPro-Regular" w:hAnsi="KievitPro-Regular" w:cs="Arial"/>
          <w:b/>
          <w:sz w:val="20"/>
          <w:szCs w:val="20"/>
          <w:lang w:val="it-CH"/>
        </w:rPr>
      </w:pPr>
      <w:r w:rsidRPr="00A87CE8">
        <w:rPr>
          <w:rFonts w:ascii="KievitPro-Regular" w:hAnsi="KievitPro-Regular" w:cs="Arial"/>
          <w:b/>
          <w:sz w:val="20"/>
          <w:szCs w:val="20"/>
          <w:lang w:val="it-CH"/>
        </w:rPr>
        <w:t>Principio</w:t>
      </w:r>
    </w:p>
    <w:p w14:paraId="73B0631C" w14:textId="77777777" w:rsidR="00F60BE7" w:rsidRPr="00A87CE8" w:rsidRDefault="00F60BE7" w:rsidP="00BD5575">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Nell'ambito della revisione limitata, l'indipendenza dell'ufficio di revisione è disciplinata dall'art. 729 CO:</w:t>
      </w:r>
    </w:p>
    <w:p w14:paraId="50D70EA0" w14:textId="77777777" w:rsidR="00F60BE7" w:rsidRPr="00A87CE8" w:rsidRDefault="00F60BE7" w:rsidP="00BD5575">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«1 L’ufficio di revisione deve essere indipendente e formarsi un giudizio di revisione obiettivo. L’indipendenza non deve essere compromessa né di fatto né in apparenza.</w:t>
      </w:r>
    </w:p>
    <w:p w14:paraId="6558E7DD" w14:textId="77777777" w:rsidR="00F60BE7" w:rsidRPr="00A87CE8" w:rsidRDefault="00F60BE7" w:rsidP="00BD5575">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2 La collaborazione alla tenuta della contabilità e la prestazione di altri servizi alla società sottoposta a revisione sono ammesse. Se sussiste il rischio di verificare il proprio lavoro, deve essere garantita una revisione affidabile mediante misure organizzative e personali adeguate.»</w:t>
      </w:r>
    </w:p>
    <w:p w14:paraId="2AED8218" w14:textId="77777777" w:rsidR="00BD5575" w:rsidRPr="00A87CE8" w:rsidRDefault="00F60BE7" w:rsidP="00BD5575">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Le direttive seguenti fanno parte delle misure organizzative adeguate volte a garantire una revisione affidabile per tutti i mandati di revisione nei quali vi è una collaborazione alla tenuta della contabilità o la prestazione di altri servizi.</w:t>
      </w:r>
    </w:p>
    <w:p w14:paraId="5FF505DE" w14:textId="75F09E15" w:rsidR="00F60BE7" w:rsidRPr="00A87CE8" w:rsidRDefault="00F60BE7" w:rsidP="00BD5575">
      <w:pPr>
        <w:spacing w:before="240"/>
        <w:jc w:val="both"/>
        <w:rPr>
          <w:rFonts w:ascii="KievitPro-Regular" w:hAnsi="KievitPro-Regular" w:cs="Arial"/>
          <w:b/>
          <w:sz w:val="20"/>
          <w:szCs w:val="20"/>
          <w:lang w:val="it-CH"/>
        </w:rPr>
      </w:pPr>
      <w:r w:rsidRPr="00A87CE8">
        <w:rPr>
          <w:rFonts w:ascii="KievitPro-Regular" w:hAnsi="KievitPro-Regular" w:cs="Arial"/>
          <w:b/>
          <w:sz w:val="20"/>
          <w:szCs w:val="20"/>
          <w:lang w:val="it-CH"/>
        </w:rPr>
        <w:t>Misure</w:t>
      </w:r>
    </w:p>
    <w:p w14:paraId="55EEFFBF" w14:textId="77777777" w:rsidR="00F60BE7" w:rsidRPr="00A87CE8" w:rsidRDefault="00F60BE7" w:rsidP="00F60BE7">
      <w:pPr>
        <w:jc w:val="both"/>
        <w:rPr>
          <w:rFonts w:ascii="KievitPro-Regular" w:hAnsi="KievitPro-Regular" w:cs="Arial"/>
          <w:sz w:val="20"/>
          <w:szCs w:val="20"/>
          <w:lang w:val="it-CH"/>
        </w:rPr>
      </w:pPr>
      <w:r w:rsidRPr="00A87CE8">
        <w:rPr>
          <w:rFonts w:ascii="KievitPro-Regular" w:hAnsi="KievitPro-Regular" w:cs="Arial"/>
          <w:sz w:val="20"/>
          <w:szCs w:val="20"/>
          <w:lang w:val="it-CH"/>
        </w:rPr>
        <w:t>Il rapporto gerarchico all'interno di ciascun settore di competenza, fondato sulle competenze professionali, garantisce nell'organigramma la separazione organizzativa richiesta nell'ambito della revisione limitata.</w:t>
      </w:r>
    </w:p>
    <w:p w14:paraId="4CD62405" w14:textId="77777777" w:rsidR="00F60BE7" w:rsidRPr="00A87CE8" w:rsidRDefault="00F60BE7" w:rsidP="00F60BE7">
      <w:pPr>
        <w:jc w:val="both"/>
        <w:rPr>
          <w:rFonts w:ascii="KievitPro-Regular" w:hAnsi="KievitPro-Regular" w:cs="Arial"/>
          <w:sz w:val="20"/>
          <w:szCs w:val="20"/>
          <w:lang w:val="it-CH"/>
        </w:rPr>
      </w:pPr>
      <w:r w:rsidRPr="00A87CE8">
        <w:rPr>
          <w:rFonts w:ascii="KievitPro-Regular" w:hAnsi="KievitPro-Regular" w:cs="Arial"/>
          <w:sz w:val="20"/>
          <w:szCs w:val="20"/>
          <w:lang w:val="it-CH"/>
        </w:rPr>
        <w:t>Si applica inoltre espressamente la seguente indipendenza dalle istruzioni tra i diversi settori di competenza:</w:t>
      </w:r>
    </w:p>
    <w:p w14:paraId="4E30A14B" w14:textId="77777777" w:rsidR="00F60BE7" w:rsidRPr="00A87CE8" w:rsidRDefault="00F60BE7" w:rsidP="00571298">
      <w:pPr>
        <w:pStyle w:val="Listenabsatz"/>
        <w:numPr>
          <w:ilvl w:val="0"/>
          <w:numId w:val="9"/>
        </w:numPr>
        <w:spacing w:before="120" w:after="120"/>
        <w:ind w:left="425" w:hanging="425"/>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Il responsabile del reparto Revisione e tutte le persone coinvolte nelle attività di revisione sono indipendenti da qualsiasi istruzione del responsabile Contabilità/Amministrazione fiduciaria e di tutti gli altri collaboratori del reparto contabilità nelle decisioni e nelle valutazioni connesse ai loro compiti in qualità di ufficio di revisione.</w:t>
      </w:r>
    </w:p>
    <w:p w14:paraId="3AA88D0B" w14:textId="74FFBD86" w:rsidR="00F60BE7" w:rsidRPr="00A87CE8" w:rsidRDefault="00F60BE7" w:rsidP="00764E82">
      <w:pPr>
        <w:pStyle w:val="Listenabsatz"/>
        <w:numPr>
          <w:ilvl w:val="0"/>
          <w:numId w:val="9"/>
        </w:numPr>
        <w:spacing w:before="200"/>
        <w:ind w:left="426" w:hanging="426"/>
        <w:jc w:val="both"/>
        <w:rPr>
          <w:rFonts w:ascii="KievitPro-Regular" w:hAnsi="KievitPro-Regular" w:cs="Arial"/>
          <w:sz w:val="20"/>
          <w:szCs w:val="20"/>
          <w:lang w:val="it-CH"/>
        </w:rPr>
      </w:pPr>
      <w:r w:rsidRPr="00A87CE8">
        <w:rPr>
          <w:rFonts w:ascii="KievitPro-Regular" w:hAnsi="KievitPro-Regular" w:cs="Arial"/>
          <w:sz w:val="20"/>
          <w:szCs w:val="20"/>
          <w:lang w:val="it-CH"/>
        </w:rPr>
        <w:t>Il responsabile del reparto contabilità (e tutti gli altri collaboratori del reparto contabilità) sono indipendenti da qualsiasi istruzione del responsabile del reparto Revisione e di tutti i revisori capo nelle decisioni relative alla tenuta della contabilità. Essi sono soggetti esclusivamente alle istruzioni del cliente, che è l'autore e il responsabile del conto annuale.</w:t>
      </w:r>
    </w:p>
    <w:p w14:paraId="6F37ADD1" w14:textId="77777777" w:rsidR="00F60BE7" w:rsidRPr="00A87CE8" w:rsidRDefault="00F60BE7" w:rsidP="00F60BE7">
      <w:pPr>
        <w:spacing w:before="200"/>
        <w:jc w:val="both"/>
        <w:rPr>
          <w:rFonts w:ascii="KievitPro-Regular" w:hAnsi="KievitPro-Regular" w:cs="Arial"/>
          <w:sz w:val="20"/>
          <w:szCs w:val="20"/>
          <w:lang w:val="it-CH"/>
        </w:rPr>
      </w:pPr>
      <w:r w:rsidRPr="00A87CE8">
        <w:rPr>
          <w:rFonts w:ascii="KievitPro-Regular" w:hAnsi="KievitPro-Regular" w:cs="Arial"/>
          <w:sz w:val="20"/>
          <w:szCs w:val="20"/>
          <w:lang w:val="it-CH"/>
        </w:rPr>
        <w:t>In questo contesto è obbligatorio redigere un regolamento sull'indipendenza dalle istruzioni tra i settori di competenza e farlo approvare dai responsabili.</w:t>
      </w:r>
    </w:p>
    <w:p w14:paraId="46142E6D" w14:textId="2694AB0E" w:rsidR="00F60BE7" w:rsidRPr="00A87CE8" w:rsidRDefault="00F60BE7" w:rsidP="00F60BE7">
      <w:pPr>
        <w:jc w:val="both"/>
        <w:rPr>
          <w:rFonts w:ascii="KievitPro-Regular" w:hAnsi="KievitPro-Regular" w:cs="Arial"/>
          <w:sz w:val="20"/>
          <w:szCs w:val="20"/>
          <w:lang w:val="it-CH"/>
        </w:rPr>
      </w:pPr>
      <w:r w:rsidRPr="00A87CE8">
        <w:rPr>
          <w:rFonts w:ascii="KievitPro-Regular" w:hAnsi="KievitPro-Regular" w:cs="Arial"/>
          <w:sz w:val="20"/>
          <w:szCs w:val="20"/>
          <w:lang w:val="it-CH"/>
        </w:rPr>
        <w:t>Inoltre, la direzione / il responsabile QM tiene ogni anno una riunione con il responsabile del settore Revisione, nel corso della quale viene valutata l'indipendenza a livello di mandato e viene nuovamente confermata espressamente l'autonomia decisionale del settore Revisione.</w:t>
      </w:r>
    </w:p>
    <w:p w14:paraId="0F45DD0C" w14:textId="77777777" w:rsidR="00F60BE7" w:rsidRPr="00A87CE8" w:rsidRDefault="00F60BE7" w:rsidP="00F60BE7">
      <w:pPr>
        <w:jc w:val="both"/>
        <w:rPr>
          <w:rFonts w:ascii="KievitPro-Regular" w:hAnsi="KievitPro-Regular" w:cs="Arial"/>
          <w:sz w:val="20"/>
          <w:szCs w:val="20"/>
          <w:lang w:val="it-CH"/>
        </w:rPr>
      </w:pPr>
      <w:r w:rsidRPr="00A87CE8">
        <w:rPr>
          <w:rFonts w:ascii="KievitPro-Regular" w:hAnsi="KievitPro-Regular" w:cs="Arial"/>
          <w:sz w:val="20"/>
          <w:szCs w:val="20"/>
          <w:lang w:val="it-CH"/>
        </w:rPr>
        <w:t>In caso di doppi mandati, occorre garantire che la chiusura provvisoria venga effettuata senza la partecipazione del settore Revisione. La chiusura provvisoria viene consegnata all'ufficio di revisione soltanto dopo essere stata approvata dal consiglio d'amministrazione.</w:t>
      </w:r>
    </w:p>
    <w:p w14:paraId="063DD9D9" w14:textId="77777777" w:rsidR="00F60BE7" w:rsidRPr="00A87CE8" w:rsidRDefault="00F60BE7" w:rsidP="00F60BE7">
      <w:pPr>
        <w:jc w:val="both"/>
        <w:rPr>
          <w:rFonts w:ascii="KievitPro-Regular" w:hAnsi="KievitPro-Regular" w:cs="Arial"/>
          <w:sz w:val="20"/>
          <w:szCs w:val="20"/>
          <w:lang w:val="it-CH"/>
        </w:rPr>
      </w:pPr>
      <w:r w:rsidRPr="00A87CE8">
        <w:rPr>
          <w:rFonts w:ascii="KievitPro-Regular" w:hAnsi="KievitPro-Regular" w:cs="Arial"/>
          <w:sz w:val="20"/>
          <w:szCs w:val="20"/>
          <w:lang w:val="it-CH"/>
        </w:rPr>
        <w:lastRenderedPageBreak/>
        <w:t>La riunione finale con il cliente di revisione si svolge di norma senza la partecipazione della persona che collabora alla tenuta della contabilità. Mediante un verbale della riunione finale con il cliente di revisione occorre garantire che le decisioni critiche del consiglio d'amministrazione in materia di valutazione siano documentate. Si raccomanda di trasmettere al cliente una copia del verbale della riunione.</w:t>
      </w:r>
    </w:p>
    <w:p w14:paraId="0DDB0E0F" w14:textId="0AA79580" w:rsidR="00F60BE7" w:rsidRPr="00A87CE8" w:rsidRDefault="00F60BE7" w:rsidP="00F60BE7">
      <w:pPr>
        <w:jc w:val="both"/>
        <w:rPr>
          <w:rFonts w:ascii="KievitPro-Regular" w:hAnsi="KievitPro-Regular" w:cs="Arial"/>
          <w:sz w:val="20"/>
          <w:szCs w:val="20"/>
          <w:lang w:val="it-CH"/>
        </w:rPr>
      </w:pPr>
      <w:r w:rsidRPr="00A87CE8">
        <w:rPr>
          <w:rFonts w:ascii="KievitPro-Regular" w:hAnsi="KievitPro-Regular" w:cs="Arial"/>
          <w:sz w:val="20"/>
          <w:szCs w:val="20"/>
          <w:lang w:val="it-CH"/>
        </w:rPr>
        <w:t>I giustificativi utilizzati provenienti dalla contabilità vengono sempre archiviati separatamente anche nel settore principale Revisione e, se del caso, corredati di opportune annotazioni. La documentazione di revisione deve essere obbligatoriamente conservata separatamente da quella della contabilità.</w:t>
      </w:r>
    </w:p>
    <w:p w14:paraId="27B72014" w14:textId="77777777" w:rsidR="00F60BE7" w:rsidRPr="00A87CE8" w:rsidRDefault="00F60BE7" w:rsidP="00F60BE7">
      <w:pPr>
        <w:jc w:val="both"/>
        <w:rPr>
          <w:rFonts w:ascii="KievitPro-Regular" w:hAnsi="KievitPro-Regular" w:cs="Arial"/>
          <w:sz w:val="20"/>
          <w:szCs w:val="20"/>
          <w:lang w:val="it-CH"/>
        </w:rPr>
      </w:pPr>
      <w:r w:rsidRPr="00A87CE8">
        <w:rPr>
          <w:rFonts w:ascii="KievitPro-Regular" w:hAnsi="KievitPro-Regular" w:cs="Arial"/>
          <w:sz w:val="20"/>
          <w:szCs w:val="20"/>
          <w:lang w:val="it-CH"/>
        </w:rPr>
        <w:t>A titolo complementare si rinvia al regolamento sulla collaborazione.</w:t>
      </w:r>
    </w:p>
    <w:p w14:paraId="7C3E2E77" w14:textId="78897F5E" w:rsidR="00571298" w:rsidRPr="00A87CE8" w:rsidRDefault="00F60BE7" w:rsidP="00571298">
      <w:pPr>
        <w:spacing w:after="240"/>
        <w:rPr>
          <w:rFonts w:ascii="KievitPro-Regular" w:hAnsi="KievitPro-Regular" w:cs="Arial"/>
          <w:i/>
          <w:sz w:val="20"/>
          <w:szCs w:val="20"/>
          <w:lang w:val="it-CH"/>
        </w:rPr>
      </w:pPr>
      <w:r w:rsidRPr="00A87CE8">
        <w:rPr>
          <w:rFonts w:ascii="KievitPro-Regular" w:hAnsi="KievitPro-Regular" w:cs="Arial"/>
          <w:i/>
          <w:sz w:val="20"/>
          <w:szCs w:val="20"/>
          <w:lang w:val="it-CH"/>
        </w:rPr>
        <w:t>Allegato 12.8: Regolamento sulla collaborazione in caso di doppi mandati</w:t>
      </w:r>
    </w:p>
    <w:p w14:paraId="1C9DD566" w14:textId="7B682F68" w:rsidR="007821B5" w:rsidRPr="00A87CE8" w:rsidRDefault="007821B5" w:rsidP="00203F7F">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Controllo della qualità relativo al mandato</w:t>
      </w:r>
    </w:p>
    <w:p w14:paraId="6E106193" w14:textId="77777777" w:rsidR="007821B5" w:rsidRPr="00A87CE8" w:rsidRDefault="007821B5" w:rsidP="007821B5">
      <w:pPr>
        <w:jc w:val="both"/>
        <w:rPr>
          <w:rFonts w:ascii="KievitPro-Regular" w:hAnsi="KievitPro-Regular" w:cs="Arial"/>
          <w:sz w:val="20"/>
          <w:szCs w:val="20"/>
          <w:lang w:val="it-CH"/>
        </w:rPr>
      </w:pPr>
      <w:r w:rsidRPr="00A87CE8">
        <w:rPr>
          <w:rFonts w:ascii="KievitPro-Regular" w:hAnsi="KievitPro-Regular" w:cs="Arial"/>
          <w:sz w:val="20"/>
          <w:szCs w:val="20"/>
          <w:lang w:val="it-CH"/>
        </w:rPr>
        <w:t>In alcuni casi è necessario un controllo della qualità relativo al mandato, al fine di garantire che i rischi maggiori connessi a un mandato siano adeguatamente identificati e affrontati in modo esaustivo all'interno della nostra impresa di revisione. La decisione relativa all'attuazione e le relative valutazioni vengono adeguatamente documentate.</w:t>
      </w:r>
    </w:p>
    <w:p w14:paraId="057C3519" w14:textId="77777777" w:rsidR="007821B5" w:rsidRPr="00A87CE8" w:rsidRDefault="007821B5" w:rsidP="007821B5">
      <w:pPr>
        <w:jc w:val="both"/>
        <w:rPr>
          <w:rFonts w:ascii="KievitPro-Regular" w:hAnsi="KievitPro-Regular" w:cs="Arial"/>
          <w:sz w:val="20"/>
          <w:szCs w:val="20"/>
          <w:lang w:val="it-CH"/>
        </w:rPr>
      </w:pPr>
      <w:r w:rsidRPr="00A87CE8">
        <w:rPr>
          <w:rFonts w:ascii="KievitPro-Regular" w:hAnsi="KievitPro-Regular" w:cs="Arial"/>
          <w:sz w:val="20"/>
          <w:szCs w:val="20"/>
          <w:lang w:val="it-CH"/>
        </w:rPr>
        <w:t>Il controllo della qualità relativo al mandato comprende in particolare l'esame dei risultati significativi del lavoro, delle valutazioni rilevanti e delle conclusioni tratte, nonché del rapporto di revisione previsto. L'entità dell’esame dipende dalla natura, dal rischio e dalla complessità del singolo mandato, nonché dal fatto che il rapporto di revisione proposto risulti adeguato alle circostanze del caso. La decisione se effettuare o meno un controllo della qualità relativo al mandato viene documentata tramite la lista di controllo «Valutazione della necessità di un controllo della qualità relativo al mandato».</w:t>
      </w:r>
    </w:p>
    <w:p w14:paraId="090DBAC1" w14:textId="77777777" w:rsidR="007821B5" w:rsidRPr="00A87CE8" w:rsidRDefault="007821B5" w:rsidP="007821B5">
      <w:pPr>
        <w:jc w:val="both"/>
        <w:rPr>
          <w:rFonts w:ascii="KievitPro-Regular" w:hAnsi="KievitPro-Regular" w:cs="Arial"/>
          <w:sz w:val="20"/>
          <w:szCs w:val="20"/>
          <w:lang w:val="it-CH"/>
        </w:rPr>
      </w:pPr>
      <w:r w:rsidRPr="00A87CE8">
        <w:rPr>
          <w:rFonts w:ascii="KievitPro-Regular" w:hAnsi="KievitPro-Regular" w:cs="Arial"/>
          <w:sz w:val="20"/>
          <w:szCs w:val="20"/>
          <w:lang w:val="it-CH"/>
        </w:rPr>
        <w:t>Il controllo della qualità relativo al mandato comprende in particolare:</w:t>
      </w:r>
    </w:p>
    <w:p w14:paraId="6EC23A34" w14:textId="77777777"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la discussione dei punti salienti con il responsabile del mandato; </w:t>
      </w:r>
    </w:p>
    <w:p w14:paraId="2C3FD0A8" w14:textId="77777777"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l'esame della chiusura, ovvero delle informazioni fattuali rilevanti e del rapporto di revisione previsto; </w:t>
      </w:r>
    </w:p>
    <w:p w14:paraId="273488EF" w14:textId="77777777"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l'esame di parti selezionate della documentazione del mandato, in particolare per quanto riguarda le valutazioni e le conclusioni rilevanti </w:t>
      </w:r>
      <w:proofErr w:type="gramStart"/>
      <w:r w:rsidRPr="00A87CE8">
        <w:rPr>
          <w:rFonts w:ascii="KievitPro-Regular" w:hAnsi="KievitPro-Regular" w:cs="Arial"/>
          <w:sz w:val="20"/>
          <w:szCs w:val="20"/>
          <w:lang w:val="it-CH"/>
        </w:rPr>
        <w:t>del team</w:t>
      </w:r>
      <w:proofErr w:type="gramEnd"/>
      <w:r w:rsidRPr="00A87CE8">
        <w:rPr>
          <w:rFonts w:ascii="KievitPro-Regular" w:hAnsi="KievitPro-Regular" w:cs="Arial"/>
          <w:sz w:val="20"/>
          <w:szCs w:val="20"/>
          <w:lang w:val="it-CH"/>
        </w:rPr>
        <w:t xml:space="preserve"> di mandato; </w:t>
      </w:r>
    </w:p>
    <w:p w14:paraId="257612BD" w14:textId="4FD17210"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la valutazione della correttezza delle conclusioni tratte e dell’adeguatezza del </w:t>
      </w:r>
      <w:r w:rsidR="00887708" w:rsidRPr="00A87CE8">
        <w:rPr>
          <w:rFonts w:ascii="KievitPro-Regular" w:hAnsi="KievitPro-Regular" w:cs="Arial"/>
          <w:sz w:val="20"/>
          <w:szCs w:val="20"/>
          <w:lang w:val="it-CH"/>
        </w:rPr>
        <w:t>rapporto di revisione previsto</w:t>
      </w:r>
      <w:r w:rsidRPr="00A87CE8">
        <w:rPr>
          <w:rFonts w:ascii="KievitPro-Regular" w:hAnsi="KievitPro-Regular" w:cs="Arial"/>
          <w:sz w:val="20"/>
          <w:szCs w:val="20"/>
          <w:lang w:val="it-CH"/>
        </w:rPr>
        <w:t xml:space="preserve">. </w:t>
      </w:r>
    </w:p>
    <w:p w14:paraId="3DB9B54D" w14:textId="77777777" w:rsidR="007821B5" w:rsidRPr="00A87CE8" w:rsidRDefault="007821B5" w:rsidP="007821B5">
      <w:pPr>
        <w:jc w:val="both"/>
        <w:rPr>
          <w:rFonts w:ascii="KievitPro-Regular" w:hAnsi="KievitPro-Regular" w:cs="Arial"/>
          <w:sz w:val="20"/>
          <w:szCs w:val="20"/>
          <w:lang w:val="it-CH"/>
        </w:rPr>
      </w:pPr>
      <w:r w:rsidRPr="00A87CE8">
        <w:rPr>
          <w:rFonts w:ascii="KievitPro-Regular" w:hAnsi="KievitPro-Regular" w:cs="Arial"/>
          <w:sz w:val="20"/>
          <w:szCs w:val="20"/>
          <w:lang w:val="it-CH"/>
        </w:rPr>
        <w:t>Il controllo della qualità relativo al mandato deve essere obbligatoriamente completato prima della firma o della consegna del rapporto di revisione.</w:t>
      </w:r>
    </w:p>
    <w:p w14:paraId="01ACF9B4" w14:textId="77777777" w:rsidR="00571298" w:rsidRPr="00A87CE8" w:rsidRDefault="00571298">
      <w:pPr>
        <w:spacing w:after="0" w:line="240" w:lineRule="auto"/>
        <w:rPr>
          <w:rFonts w:ascii="KievitPro-Regular" w:hAnsi="KievitPro-Regular" w:cs="Arial"/>
          <w:sz w:val="20"/>
          <w:szCs w:val="20"/>
          <w:lang w:val="it-CH"/>
        </w:rPr>
      </w:pPr>
      <w:r w:rsidRPr="00A87CE8">
        <w:rPr>
          <w:rFonts w:ascii="KievitPro-Regular" w:hAnsi="KievitPro-Regular" w:cs="Arial"/>
          <w:sz w:val="20"/>
          <w:szCs w:val="20"/>
          <w:lang w:val="it-CH"/>
        </w:rPr>
        <w:br w:type="page"/>
      </w:r>
    </w:p>
    <w:p w14:paraId="2D7AB920" w14:textId="2C422C5F" w:rsidR="007821B5" w:rsidRPr="00A87CE8" w:rsidRDefault="007821B5" w:rsidP="007821B5">
      <w:pPr>
        <w:jc w:val="both"/>
        <w:rPr>
          <w:rFonts w:ascii="KievitPro-Regular" w:hAnsi="KievitPro-Regular" w:cs="Arial"/>
          <w:sz w:val="20"/>
          <w:szCs w:val="20"/>
          <w:lang w:val="it-CH"/>
        </w:rPr>
      </w:pPr>
      <w:r w:rsidRPr="00A87CE8">
        <w:rPr>
          <w:rFonts w:ascii="KievitPro-Regular" w:hAnsi="KievitPro-Regular" w:cs="Arial"/>
          <w:sz w:val="20"/>
          <w:szCs w:val="20"/>
          <w:lang w:val="it-CH"/>
        </w:rPr>
        <w:lastRenderedPageBreak/>
        <w:t>L'attuazione del controllo della qualità relativo al mandato deve essere documentata in modo tracciabile. Dalla documentazione deve risultare in particolare che:</w:t>
      </w:r>
    </w:p>
    <w:p w14:paraId="581CC8DB" w14:textId="77777777"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sono state attuate le misure di controllo della qualità; </w:t>
      </w:r>
    </w:p>
    <w:p w14:paraId="6352574B" w14:textId="77777777"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l’esame è stato completato prima della data del rapporto di revisione; </w:t>
      </w:r>
    </w:p>
    <w:p w14:paraId="68EBBB00" w14:textId="77777777"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non sussistono circostanze non chiarite che indichino che le valutazioni o le conclusioni rilevanti </w:t>
      </w:r>
      <w:proofErr w:type="gramStart"/>
      <w:r w:rsidRPr="00A87CE8">
        <w:rPr>
          <w:rFonts w:ascii="KievitPro-Regular" w:hAnsi="KievitPro-Regular" w:cs="Arial"/>
          <w:sz w:val="20"/>
          <w:szCs w:val="20"/>
          <w:lang w:val="it-CH"/>
        </w:rPr>
        <w:t>del team</w:t>
      </w:r>
      <w:proofErr w:type="gramEnd"/>
      <w:r w:rsidRPr="00A87CE8">
        <w:rPr>
          <w:rFonts w:ascii="KievitPro-Regular" w:hAnsi="KievitPro-Regular" w:cs="Arial"/>
          <w:sz w:val="20"/>
          <w:szCs w:val="20"/>
          <w:lang w:val="it-CH"/>
        </w:rPr>
        <w:t xml:space="preserve"> di mandato erano inopportune. </w:t>
      </w:r>
    </w:p>
    <w:p w14:paraId="3671D846" w14:textId="77777777" w:rsidR="007821B5" w:rsidRPr="00A87CE8" w:rsidRDefault="007821B5" w:rsidP="007821B5">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L'attuazione di un sistema di controllo della qualità relativo al mandato non esonera il responsabile del mandato dalla sua responsabilità complessiva per il mandato stesso e per le conclusioni formulate.</w:t>
      </w:r>
    </w:p>
    <w:p w14:paraId="4882D723" w14:textId="77777777" w:rsidR="007821B5" w:rsidRPr="00A87CE8" w:rsidRDefault="007821B5" w:rsidP="007821B5">
      <w:pPr>
        <w:spacing w:after="0" w:line="240" w:lineRule="auto"/>
        <w:jc w:val="both"/>
        <w:rPr>
          <w:rFonts w:ascii="KievitPro-Regular" w:hAnsi="KievitPro-Regular" w:cs="Arial"/>
          <w:sz w:val="10"/>
          <w:szCs w:val="10"/>
          <w:lang w:val="it-CH"/>
        </w:rPr>
      </w:pPr>
    </w:p>
    <w:p w14:paraId="3F4DB0E5" w14:textId="77777777" w:rsidR="00571298" w:rsidRPr="00A87CE8" w:rsidRDefault="007821B5" w:rsidP="00571298">
      <w:pPr>
        <w:spacing w:before="120" w:after="120" w:line="278" w:lineRule="auto"/>
        <w:jc w:val="both"/>
        <w:rPr>
          <w:rFonts w:ascii="KievitPro-Regular" w:hAnsi="KievitPro-Regular" w:cs="Arial"/>
          <w:i/>
          <w:iCs/>
          <w:sz w:val="20"/>
          <w:szCs w:val="20"/>
          <w:lang w:val="it-CH"/>
        </w:rPr>
      </w:pPr>
      <w:r w:rsidRPr="00A87CE8">
        <w:rPr>
          <w:rFonts w:ascii="KievitPro-Regular" w:hAnsi="KievitPro-Regular" w:cs="Arial"/>
          <w:i/>
          <w:iCs/>
          <w:sz w:val="20"/>
          <w:szCs w:val="20"/>
          <w:lang w:val="it-CH"/>
        </w:rPr>
        <w:t>Allegato 12.12: Lista di controllo per la valutazione della necessità di un controllo della qualità relativo al mandato</w:t>
      </w:r>
      <w:r w:rsidRPr="00A87CE8">
        <w:rPr>
          <w:rFonts w:ascii="KievitPro-Regular" w:hAnsi="KievitPro-Regular" w:cs="Arial"/>
          <w:i/>
          <w:iCs/>
          <w:sz w:val="20"/>
          <w:szCs w:val="20"/>
          <w:lang w:val="it-CH"/>
        </w:rPr>
        <w:tab/>
      </w:r>
    </w:p>
    <w:p w14:paraId="5ED5153D" w14:textId="72DDBAA1" w:rsidR="007821B5" w:rsidRPr="00A87CE8" w:rsidRDefault="007821B5" w:rsidP="00203F7F">
      <w:pPr>
        <w:pStyle w:val="Listenabsatz"/>
        <w:numPr>
          <w:ilvl w:val="1"/>
          <w:numId w:val="2"/>
        </w:numPr>
        <w:spacing w:before="240" w:after="120" w:line="278" w:lineRule="auto"/>
        <w:contextualSpacing w:val="0"/>
        <w:rPr>
          <w:rFonts w:ascii="KievitPro-Regular" w:hAnsi="KievitPro-Regular" w:cs="Arial"/>
          <w:b/>
          <w:szCs w:val="24"/>
          <w:lang w:val="it-CH"/>
        </w:rPr>
      </w:pPr>
      <w:r w:rsidRPr="00A87CE8">
        <w:rPr>
          <w:rFonts w:ascii="KievitPro-Regular" w:hAnsi="KievitPro-Regular" w:cs="Arial"/>
          <w:b/>
          <w:bCs/>
          <w:lang w:val="it-CH"/>
        </w:rPr>
        <w:t>Criteri di idoneità per il responsabile del controllo della qualità relativo al mandato</w:t>
      </w:r>
    </w:p>
    <w:p w14:paraId="2F9C9EC7" w14:textId="0444CA0C" w:rsidR="007821B5" w:rsidRPr="00A87CE8" w:rsidRDefault="007821B5" w:rsidP="007821B5">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Il responsabile del controllo della qualità relativo al mandato deve possedere qualifiche professionali adeguate, esperienza pratica nonché almeno l'abilitazione come revisore. È a disposizione del responsabile del mandato per fornire supporto in caso di questioni tecniche e consulenze.</w:t>
      </w:r>
    </w:p>
    <w:p w14:paraId="2683F510" w14:textId="77777777" w:rsidR="007821B5" w:rsidRPr="00A87CE8" w:rsidRDefault="007821B5" w:rsidP="007821B5">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I compiti del responsabile del controllo della qualità relativo al mandato devono essere svolti con la necessaria indipendenza e obiettività. In particolare, occorre garantire che:</w:t>
      </w:r>
    </w:p>
    <w:p w14:paraId="2F5D2634" w14:textId="77777777"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il responsabile del controllo della qualità relativo al mandato non sia designato dal responsabile del mandato; </w:t>
      </w:r>
    </w:p>
    <w:p w14:paraId="238F65FE" w14:textId="77777777"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non vi sia alcuna collaborazione nell'esecuzione del mandato in questione; </w:t>
      </w:r>
    </w:p>
    <w:p w14:paraId="4F489797" w14:textId="77777777" w:rsidR="007821B5" w:rsidRPr="00A87CE8" w:rsidRDefault="007821B5" w:rsidP="007821B5">
      <w:pPr>
        <w:numPr>
          <w:ilvl w:val="0"/>
          <w:numId w:val="7"/>
        </w:numPr>
        <w:tabs>
          <w:tab w:val="num" w:pos="720"/>
          <w:tab w:val="right" w:pos="9405"/>
        </w:tabs>
        <w:spacing w:before="120" w:after="120" w:line="240" w:lineRule="auto"/>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non vengano prese decisioni che rientrano nella responsabilità </w:t>
      </w:r>
      <w:proofErr w:type="gramStart"/>
      <w:r w:rsidRPr="00A87CE8">
        <w:rPr>
          <w:rFonts w:ascii="KievitPro-Regular" w:hAnsi="KievitPro-Regular" w:cs="Arial"/>
          <w:sz w:val="20"/>
          <w:szCs w:val="20"/>
          <w:lang w:val="it-CH"/>
        </w:rPr>
        <w:t>del team</w:t>
      </w:r>
      <w:proofErr w:type="gramEnd"/>
      <w:r w:rsidRPr="00A87CE8">
        <w:rPr>
          <w:rFonts w:ascii="KievitPro-Regular" w:hAnsi="KievitPro-Regular" w:cs="Arial"/>
          <w:sz w:val="20"/>
          <w:szCs w:val="20"/>
          <w:lang w:val="it-CH"/>
        </w:rPr>
        <w:t xml:space="preserve"> di mandato. </w:t>
      </w:r>
    </w:p>
    <w:p w14:paraId="2EEC5F49" w14:textId="77777777" w:rsidR="007821B5" w:rsidRPr="00A87CE8" w:rsidRDefault="007821B5" w:rsidP="007821B5">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In linea di principio, il controllo della qualità relativo al mandato viene assicurato dal responsabile della gestione della qualità o da un'altra persona sufficientemente qualificata e indipendente.</w:t>
      </w:r>
    </w:p>
    <w:p w14:paraId="3D104EC8" w14:textId="77777777" w:rsidR="007821B5" w:rsidRPr="00A87CE8" w:rsidRDefault="007821B5" w:rsidP="007821B5">
      <w:pPr>
        <w:spacing w:before="240" w:after="120"/>
        <w:jc w:val="both"/>
        <w:rPr>
          <w:rFonts w:ascii="KievitPro-Regular" w:hAnsi="KievitPro-Regular"/>
          <w:lang w:val="it-CH" w:bidi="ar-SA"/>
        </w:rPr>
      </w:pPr>
      <w:r w:rsidRPr="00A87CE8">
        <w:rPr>
          <w:rFonts w:ascii="KievitPro-Regular" w:hAnsi="KievitPro-Regular" w:cs="Arial"/>
          <w:sz w:val="20"/>
          <w:szCs w:val="20"/>
          <w:lang w:val="it-CH"/>
        </w:rPr>
        <w:t>Qualora sussistano circostanze che potrebbero compromettere o mettere a rischio l'obiettività o l'indipendenza del responsabile del controllo della qualità relativo al mandato, la direzione deve designare un sostituto idoneo. Qualora all'interno dell'organizzazione non sia disponibile una persona sufficientemente indipendente o qualificata, occorre incaricare un esperto esterno o un'altra impresa di revisione di svolgere le attività di controllo della qualità relativo al mandato.</w:t>
      </w:r>
    </w:p>
    <w:p w14:paraId="65B00F67" w14:textId="2C71AED9" w:rsidR="00D45490" w:rsidRPr="00A87CE8" w:rsidRDefault="00D45490" w:rsidP="00203F7F">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t>Ricorso a soggetti esterni o a un'altra impresa di revisione</w:t>
      </w:r>
    </w:p>
    <w:p w14:paraId="6004937B" w14:textId="39FDE6D3" w:rsidR="003D2571" w:rsidRPr="00A87CE8" w:rsidRDefault="003D2571" w:rsidP="003D2571">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Per l'esecuzione di un controllo della qualità relativo al mandato, di una consulenza o di una verifica, è possibile ricorrere a un esperto esterno debitamente qualificato o a un'altra impresa di revisione.</w:t>
      </w:r>
    </w:p>
    <w:p w14:paraId="2A9ABF1C" w14:textId="77777777" w:rsidR="003D2571" w:rsidRPr="00A87CE8" w:rsidRDefault="003D2571" w:rsidP="003D2571">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In tali casi, di norma si richiede al cliente interessato una liberatoria scritta dal segreto professionale, solitamente nell'ambito della conferma di mandato o di un suo allegato.</w:t>
      </w:r>
    </w:p>
    <w:p w14:paraId="0DA25E75" w14:textId="6FA91DD3" w:rsidR="003D2571" w:rsidRPr="00A87CE8" w:rsidRDefault="003D2571" w:rsidP="003D2571">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Con la persona esterna o l'impresa di revisione esterna incaricata viene inoltre stipulato un accordo di riservatezza scritto, che garantisce il rispetto degli obblighi di riservatezza.</w:t>
      </w:r>
    </w:p>
    <w:p w14:paraId="2DCB653B" w14:textId="77777777" w:rsidR="00571298" w:rsidRPr="00A87CE8" w:rsidRDefault="00571298">
      <w:pPr>
        <w:spacing w:after="0" w:line="240" w:lineRule="auto"/>
        <w:rPr>
          <w:rFonts w:ascii="KievitPro-Regular" w:hAnsi="KievitPro-Regular" w:cs="Arial"/>
          <w:b/>
          <w:smallCaps/>
          <w:szCs w:val="24"/>
          <w:lang w:val="it-CH" w:bidi="ar-SA"/>
        </w:rPr>
      </w:pPr>
      <w:bookmarkStart w:id="40" w:name="_Toc331510683"/>
      <w:bookmarkStart w:id="41" w:name="_Toc359071936"/>
      <w:bookmarkEnd w:id="32"/>
      <w:bookmarkEnd w:id="33"/>
      <w:bookmarkEnd w:id="34"/>
      <w:bookmarkEnd w:id="35"/>
      <w:bookmarkEnd w:id="36"/>
      <w:r w:rsidRPr="00A87CE8">
        <w:rPr>
          <w:rFonts w:ascii="KievitPro-Regular" w:hAnsi="KievitPro-Regular" w:cs="Arial"/>
          <w:b/>
          <w:szCs w:val="24"/>
          <w:lang w:val="it-CH"/>
        </w:rPr>
        <w:br w:type="page"/>
      </w:r>
    </w:p>
    <w:p w14:paraId="1FB11D9A" w14:textId="6D4FE9DB" w:rsidR="008144A4" w:rsidRPr="00A87CE8" w:rsidRDefault="008144A4" w:rsidP="00203F7F">
      <w:pPr>
        <w:pStyle w:val="Listenabsatz"/>
        <w:numPr>
          <w:ilvl w:val="1"/>
          <w:numId w:val="2"/>
        </w:numPr>
        <w:spacing w:before="240" w:after="120" w:line="278" w:lineRule="auto"/>
        <w:contextualSpacing w:val="0"/>
        <w:rPr>
          <w:rFonts w:ascii="KievitPro-Regular" w:hAnsi="KievitPro-Regular" w:cs="Arial"/>
          <w:b/>
          <w:bCs/>
          <w:lang w:val="it-CH"/>
        </w:rPr>
      </w:pPr>
      <w:r w:rsidRPr="00A87CE8">
        <w:rPr>
          <w:rFonts w:ascii="KievitPro-Regular" w:hAnsi="KievitPro-Regular" w:cs="Arial"/>
          <w:b/>
          <w:bCs/>
          <w:lang w:val="it-CH"/>
        </w:rPr>
        <w:lastRenderedPageBreak/>
        <w:t>Accettazione di incarichi supplementari presso clienti di revisione</w:t>
      </w:r>
    </w:p>
    <w:p w14:paraId="36D6C75E" w14:textId="77777777" w:rsidR="008144A4" w:rsidRPr="00A87CE8" w:rsidRDefault="008144A4" w:rsidP="002D68B2">
      <w:pPr>
        <w:spacing w:before="240" w:after="120"/>
        <w:jc w:val="both"/>
        <w:rPr>
          <w:rFonts w:ascii="KievitPro-Regular" w:hAnsi="KievitPro-Regular" w:cs="Arial"/>
          <w:b/>
          <w:bCs/>
          <w:lang w:val="it-CH"/>
        </w:rPr>
      </w:pPr>
      <w:r w:rsidRPr="00A87CE8">
        <w:rPr>
          <w:rFonts w:ascii="KievitPro-Regular" w:hAnsi="KievitPro-Regular" w:cs="Arial"/>
          <w:b/>
          <w:bCs/>
          <w:lang w:val="it-CH"/>
        </w:rPr>
        <w:t>Principio</w:t>
      </w:r>
    </w:p>
    <w:p w14:paraId="68AB3E5B" w14:textId="77777777" w:rsidR="008144A4" w:rsidRPr="00A87CE8" w:rsidRDefault="008144A4"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Prima di fornire servizi aggiuntivi a clienti di revisione, vengono valutati i possibili rischi di violazione dei requisiti in materia di indipendenza.</w:t>
      </w:r>
    </w:p>
    <w:p w14:paraId="0C8427C4" w14:textId="77777777" w:rsidR="008144A4" w:rsidRPr="00A87CE8" w:rsidRDefault="008144A4"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Le relative misure di salvaguardia devono essere adeguatamente valutate, documentate e attuate.</w:t>
      </w:r>
    </w:p>
    <w:p w14:paraId="44F64399" w14:textId="77777777" w:rsidR="008144A4" w:rsidRPr="00A87CE8" w:rsidRDefault="008144A4"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I servizi aggiuntivi possono iniziare soltanto dopo essere stati approvati dal revisore capo.</w:t>
      </w:r>
    </w:p>
    <w:p w14:paraId="368C23AB" w14:textId="77777777" w:rsidR="008144A4" w:rsidRPr="00A87CE8" w:rsidRDefault="008144A4" w:rsidP="002D68B2">
      <w:pPr>
        <w:spacing w:before="240" w:after="120"/>
        <w:jc w:val="both"/>
        <w:rPr>
          <w:rFonts w:ascii="KievitPro-Regular" w:hAnsi="KievitPro-Regular" w:cs="Arial"/>
          <w:b/>
          <w:bCs/>
          <w:lang w:val="it-CH"/>
        </w:rPr>
      </w:pPr>
      <w:r w:rsidRPr="00A87CE8">
        <w:rPr>
          <w:rFonts w:ascii="KievitPro-Regular" w:hAnsi="KievitPro-Regular" w:cs="Arial"/>
          <w:b/>
          <w:bCs/>
          <w:lang w:val="it-CH"/>
        </w:rPr>
        <w:t>Misure</w:t>
      </w:r>
    </w:p>
    <w:p w14:paraId="68C95F1B" w14:textId="04FF2A29" w:rsidR="008144A4" w:rsidRPr="00A87CE8" w:rsidRDefault="008144A4"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La natura e la portata dei servizi aggiuntivi vengono documentate in modo adeguato negli appunti di lavoro.</w:t>
      </w:r>
    </w:p>
    <w:p w14:paraId="2F234B87" w14:textId="6527B273" w:rsidR="00CA5566" w:rsidRPr="00A87CE8" w:rsidRDefault="00CA5566">
      <w:pPr>
        <w:pStyle w:val="berschrift1"/>
        <w:numPr>
          <w:ilvl w:val="0"/>
          <w:numId w:val="2"/>
        </w:numPr>
        <w:ind w:left="426" w:hanging="426"/>
        <w:rPr>
          <w:rFonts w:ascii="KievitPro-Regular" w:hAnsi="KievitPro-Regular" w:cs="Arial"/>
          <w:b w:val="0"/>
          <w:sz w:val="24"/>
          <w:szCs w:val="32"/>
          <w:lang w:val="it-CH"/>
        </w:rPr>
      </w:pPr>
      <w:bookmarkStart w:id="42" w:name="_Toc242259025"/>
      <w:bookmarkStart w:id="43" w:name="_Toc242261432"/>
      <w:r w:rsidRPr="00A87CE8">
        <w:rPr>
          <w:rFonts w:ascii="KievitPro-Regular" w:hAnsi="KievitPro-Regular" w:cs="Arial"/>
          <w:sz w:val="24"/>
          <w:szCs w:val="32"/>
          <w:lang w:val="it-CH"/>
        </w:rPr>
        <w:t>Competenze e informazione dei collaboratori</w:t>
      </w:r>
      <w:bookmarkEnd w:id="42"/>
      <w:bookmarkEnd w:id="43"/>
    </w:p>
    <w:p w14:paraId="37E72E6C" w14:textId="68CFB792" w:rsidR="00CA5566" w:rsidRPr="00A87CE8" w:rsidRDefault="004D1BCD" w:rsidP="00812B8C">
      <w:pPr>
        <w:spacing w:before="240" w:after="120"/>
        <w:jc w:val="both"/>
        <w:rPr>
          <w:rFonts w:ascii="KievitPro-Regular" w:hAnsi="KievitPro-Regular" w:cs="Arial"/>
          <w:b/>
          <w:bCs/>
          <w:lang w:val="it-CH"/>
        </w:rPr>
      </w:pPr>
      <w:r w:rsidRPr="00A87CE8">
        <w:rPr>
          <w:rFonts w:ascii="KievitPro-Regular" w:hAnsi="KievitPro-Regular" w:cs="Arial"/>
          <w:b/>
          <w:bCs/>
          <w:lang w:val="it-CH"/>
        </w:rPr>
        <w:t>Regolamenti</w:t>
      </w:r>
    </w:p>
    <w:p w14:paraId="08704B10" w14:textId="77777777"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I nostri collaboratori si distinguono per le loro elevate competenze. Sosteniamo i nostri collaboratori e richiediamo loro un costante perfezionamento professionale e una continua crescita personale. La formazione e il perfezionamento del personale, a tutti i livelli, sono costanti e mirati. Le esigenze in materia di formazione e perfezionamento vengono discusse nell'ambito della valutazione annuale delle prestazioni. A tal fine, seguiamo le linee guida sul perfezionamento e ci atteniamo alle indicazioni delle associazioni di categoria.</w:t>
      </w:r>
    </w:p>
    <w:p w14:paraId="56FC4DB9" w14:textId="0F3B8B1C"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Ci assicuriamo che i compiti e le responsabilità vengano assegnati in base alle capacità e alle competenze dei collaboratori. Nell'assegnazione dei mandati si presta attenzione sia a garantire un'adeguata continuità nell'assistenza al mandante. In questo modo garantiamo che i mandati vengano eseguiti in conformità con gli standard professionali e con i requisiti legali e normativi applicabili, consentendo ai responsabili dei mandati di redigere i rapporti di revisione in modo che siano adeguati alle circostanze del caso.</w:t>
      </w:r>
    </w:p>
    <w:p w14:paraId="6CF0AC29" w14:textId="62DB5249" w:rsidR="004D1BCD" w:rsidRPr="00A87CE8" w:rsidRDefault="004D1BCD" w:rsidP="00812B8C">
      <w:pPr>
        <w:spacing w:before="240" w:after="120"/>
        <w:jc w:val="both"/>
        <w:rPr>
          <w:rFonts w:ascii="KievitPro-Regular" w:hAnsi="KievitPro-Regular" w:cs="Arial"/>
          <w:b/>
          <w:bCs/>
          <w:lang w:val="it-CH"/>
        </w:rPr>
      </w:pPr>
      <w:r w:rsidRPr="00A87CE8">
        <w:rPr>
          <w:rFonts w:ascii="KievitPro-Regular" w:hAnsi="KievitPro-Regular" w:cs="Arial"/>
          <w:b/>
          <w:bCs/>
          <w:lang w:val="it-CH"/>
        </w:rPr>
        <w:t>Misure</w:t>
      </w:r>
    </w:p>
    <w:p w14:paraId="415435E1" w14:textId="77777777"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Il responsabile delle risorse umane è incaricato dell'attuazione e dell'applicazione corrente delle norme e delle procedure relative al personale. Garantisce che siano conformi alle norme vigenti in materia di diritto del lavoro, nonché ai requisiti organizzativi e professionali dell'impresa di revisione.</w:t>
      </w:r>
    </w:p>
    <w:p w14:paraId="56A3E096" w14:textId="77777777"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Nel settore della revisione dei conti vengono impiegati o assunti solo collaboratori che dispongono delle qualifiche professionali, delle competenze e dei requisiti personali necessari per lo svolgimento corretto dei propri compiti.</w:t>
      </w:r>
    </w:p>
    <w:p w14:paraId="67EBD140" w14:textId="77777777"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 collaboratori vengono valutati dai propri superiori almeno una volta all'anno nell'ambito di una valutazione delle prestazioni e della crescita. In questo contesto, oltre ai criteri economici, vengono presi in considerazione in particolare gli aspetti qualitativi dell'esercizio della professione. Insieme ai collaboratori vengono definiti e documentati gli obiettivi, le misure di crescita e le esigenze in materia di formazione e perfezionamento. </w:t>
      </w:r>
    </w:p>
    <w:p w14:paraId="5CC780A1" w14:textId="77777777"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Il personale specializzato viene costantemente informato, in base ai propri compiti e alle proprie responsabilità, sugli sviluppi legislativi, normativi, tecnici e interni e riceve una formazione di perfezionamento attraverso corsi interni e/o esterni.</w:t>
      </w:r>
    </w:p>
    <w:p w14:paraId="6C9E8E68" w14:textId="77777777"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A dimostrazione del rispetto dei requisiti di perfezionamento fungono, in particolare, gli estratti o le sintesi ricavati dai sistemi di registrazione di FIDUCIARI|SUISSE e/o EXPERTsuisse. Qualora non si ricorra a una soluzione associativa, </w:t>
      </w:r>
      <w:r w:rsidRPr="00A87CE8">
        <w:rPr>
          <w:rFonts w:ascii="KievitPro-Regular" w:hAnsi="KievitPro-Regular" w:cs="Arial"/>
          <w:sz w:val="20"/>
          <w:szCs w:val="20"/>
          <w:lang w:val="it-CH"/>
        </w:rPr>
        <w:lastRenderedPageBreak/>
        <w:t>è necessario tenere un registro interno equivalente contenente informazioni relative alla data, alla denominazione del corso, all'organizzatore e alle ore o ai giorni accreditabili. I riepiloghi del perfezionamento, insieme alle relative attestazioni di frequenza e di partecipazione, vengono verificati, vistati e documentati almeno una volta all'anno secondo il principio del doppio controllo.</w:t>
      </w:r>
      <w:r w:rsidRPr="00A87CE8">
        <w:rPr>
          <w:rFonts w:ascii="KievitPro-Regular" w:hAnsi="KievitPro-Regular"/>
          <w:vertAlign w:val="superscript"/>
          <w:lang w:val="it-CH"/>
        </w:rPr>
        <w:footnoteReference w:id="3"/>
      </w:r>
      <w:r w:rsidRPr="00A87CE8">
        <w:rPr>
          <w:rFonts w:ascii="KievitPro-Regular" w:hAnsi="KievitPro-Regular"/>
          <w:vertAlign w:val="superscript"/>
          <w:lang w:val="it-CH"/>
        </w:rPr>
        <w:footnoteReference w:id="4"/>
      </w:r>
    </w:p>
    <w:p w14:paraId="19CA1788" w14:textId="77777777"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L'impresa di revisione garantisce che le risorse umane, tecniche, tecnologiche e finanziarie necessarie siano messe a disposizione tempestivamente, affinché possano essere soddisfatti i requisiti di qualità.</w:t>
      </w:r>
    </w:p>
    <w:p w14:paraId="78F577AC" w14:textId="77777777"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Da tutti i collaboratori ci si aspetta che, con il loro comportamento e il loro modo di lavorare, sostengano la visione della qualità dell'impresa di revisione, sviluppino costantemente le proprie competenze professionali e svolgano i compiti loro affidati con la dovuta diligenza.</w:t>
      </w:r>
    </w:p>
    <w:p w14:paraId="7BFCF552" w14:textId="72A3F788" w:rsidR="004D1BCD" w:rsidRPr="00A87CE8" w:rsidRDefault="004D1BCD" w:rsidP="000C06F4">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Allegato 12.13: Valutazione periodica dei dipendenti</w:t>
      </w:r>
      <w:r w:rsidRPr="00A87CE8">
        <w:rPr>
          <w:rFonts w:ascii="KievitPro-Regular" w:hAnsi="KievitPro-Regular" w:cs="Arial"/>
          <w:sz w:val="20"/>
          <w:szCs w:val="20"/>
          <w:lang w:val="it-CH"/>
        </w:rPr>
        <w:tab/>
      </w:r>
    </w:p>
    <w:p w14:paraId="60929170" w14:textId="56EB1575" w:rsidR="00CF43CC" w:rsidRPr="00A87CE8" w:rsidRDefault="004D1BCD" w:rsidP="00A42BCE">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Allegato 12.14: Modello di verifica del perfezionamento a livello di impresa</w:t>
      </w:r>
      <w:r w:rsidRPr="00A87CE8">
        <w:rPr>
          <w:rFonts w:ascii="KievitPro-Regular" w:hAnsi="KievitPro-Regular" w:cs="Arial"/>
          <w:sz w:val="20"/>
          <w:szCs w:val="20"/>
          <w:lang w:val="it-CH"/>
        </w:rPr>
        <w:tab/>
      </w:r>
      <w:bookmarkEnd w:id="40"/>
      <w:bookmarkEnd w:id="41"/>
    </w:p>
    <w:p w14:paraId="090C27CF" w14:textId="001FD748" w:rsidR="007A2165" w:rsidRPr="00A87CE8" w:rsidRDefault="007A2165" w:rsidP="00CF43CC">
      <w:pPr>
        <w:pStyle w:val="berschrift1"/>
        <w:numPr>
          <w:ilvl w:val="0"/>
          <w:numId w:val="2"/>
        </w:numPr>
        <w:ind w:left="426" w:hanging="426"/>
        <w:rPr>
          <w:rFonts w:ascii="KievitPro-Regular" w:hAnsi="KievitPro-Regular" w:cs="Arial"/>
          <w:b w:val="0"/>
          <w:sz w:val="24"/>
          <w:szCs w:val="32"/>
          <w:lang w:val="it-CH"/>
        </w:rPr>
      </w:pPr>
      <w:bookmarkStart w:id="44" w:name="_Toc242259026"/>
      <w:bookmarkStart w:id="45" w:name="_Toc242261433"/>
      <w:r w:rsidRPr="00A87CE8">
        <w:rPr>
          <w:rFonts w:ascii="KievitPro-Regular" w:hAnsi="KievitPro-Regular" w:cs="Arial"/>
          <w:sz w:val="24"/>
          <w:szCs w:val="32"/>
          <w:lang w:val="it-CH"/>
        </w:rPr>
        <w:t>Processo di riesame e miglioramento</w:t>
      </w:r>
      <w:bookmarkEnd w:id="44"/>
      <w:bookmarkEnd w:id="45"/>
    </w:p>
    <w:p w14:paraId="3A89734D" w14:textId="4C1A6842" w:rsidR="009067B6" w:rsidRPr="00A87CE8" w:rsidRDefault="009067B6" w:rsidP="009067B6">
      <w:pPr>
        <w:jc w:val="both"/>
        <w:rPr>
          <w:rFonts w:ascii="KievitPro-Regular" w:hAnsi="KievitPro-Regular" w:cs="Arial"/>
          <w:sz w:val="20"/>
          <w:szCs w:val="20"/>
          <w:lang w:val="it-CH"/>
        </w:rPr>
      </w:pPr>
      <w:r w:rsidRPr="00A87CE8">
        <w:rPr>
          <w:rFonts w:ascii="KievitPro-Regular" w:hAnsi="KievitPro-Regular" w:cs="Arial"/>
          <w:sz w:val="20"/>
          <w:szCs w:val="20"/>
          <w:lang w:val="it-CH"/>
        </w:rPr>
        <w:t>Il riesame (Monitoring) serve a controllare e valutare il sistema di gestione della qualità specifico dell'impresa di revisione. Comprende la verifica dell'effettiva applicazione dei regolamenti e delle procedure stabiliti, nonché la valutazione della loro idoneità, adeguatezza e rispetto nell'ambito delle attività quotidiane. I risultati del riesame, nonché le non conformità riscontrate e le relative correzioni, vengono documentati ogni anno in un rapporto di riesame.</w:t>
      </w:r>
    </w:p>
    <w:p w14:paraId="4619123C" w14:textId="77777777" w:rsidR="009067B6" w:rsidRPr="00A87CE8" w:rsidRDefault="009067B6" w:rsidP="009067B6">
      <w:pPr>
        <w:jc w:val="both"/>
        <w:rPr>
          <w:rFonts w:ascii="KievitPro-Regular" w:hAnsi="KievitPro-Regular" w:cs="Arial"/>
          <w:sz w:val="20"/>
          <w:szCs w:val="20"/>
          <w:lang w:val="it-CH"/>
        </w:rPr>
      </w:pPr>
      <w:r w:rsidRPr="00A87CE8">
        <w:rPr>
          <w:rFonts w:ascii="KievitPro-Regular" w:hAnsi="KievitPro-Regular" w:cs="Arial"/>
          <w:sz w:val="20"/>
          <w:szCs w:val="20"/>
          <w:lang w:val="it-CH"/>
        </w:rPr>
        <w:t>Il sistema di gestione della qualità è un elemento centrale del sistema di controllo interno. Il riesame comprende, in particolare, la comprensione di tale sistema e la verifica della sua efficacia nello studio. Ciò avviene mediante adeguate attività di verifica, quali colloqui, test di verifica e l'esame dei fascicoli di revisione e di altra documentazione pertinente (ad esempio, attestati di formazione, dichiarazioni di indipendenza, standard professionali e direttive interne). Il riesame comprende anche la formulazione di proposte di miglioramento, in particolare in caso di carenze riscontrate o di modifiche dei requisiti tecnici e normativi.</w:t>
      </w:r>
    </w:p>
    <w:p w14:paraId="4ADD69A7" w14:textId="77777777" w:rsidR="009067B6" w:rsidRPr="00A87CE8" w:rsidRDefault="009067B6" w:rsidP="009067B6">
      <w:pPr>
        <w:jc w:val="both"/>
        <w:rPr>
          <w:rFonts w:ascii="KievitPro-Regular" w:hAnsi="KievitPro-Regular" w:cs="Arial"/>
          <w:sz w:val="20"/>
          <w:szCs w:val="20"/>
          <w:lang w:val="it-CH"/>
        </w:rPr>
      </w:pPr>
      <w:r w:rsidRPr="00A87CE8">
        <w:rPr>
          <w:rFonts w:ascii="KievitPro-Regular" w:hAnsi="KievitPro-Regular" w:cs="Arial"/>
          <w:sz w:val="20"/>
          <w:szCs w:val="20"/>
          <w:lang w:val="it-CH"/>
        </w:rPr>
        <w:t>Tutti i collaboratori, in particolare i partner e i dirigenti, sono tenuti a valutare criticamente le proprie attività e a contribuire attivamente alla garanzia della qualità. Questo autocontrollo costante costituisce una componente significativa dell'esercizio della professione di esperto contabile. Le persone con responsabilità dirigenziali e decisionali hanno una responsabilità maggiore.</w:t>
      </w:r>
    </w:p>
    <w:p w14:paraId="2B2B0E0D" w14:textId="1B116F13" w:rsidR="009067B6" w:rsidRPr="00A87CE8" w:rsidRDefault="009067B6" w:rsidP="009067B6">
      <w:pPr>
        <w:jc w:val="both"/>
        <w:rPr>
          <w:rFonts w:ascii="KievitPro-Regular" w:hAnsi="KievitPro-Regular" w:cs="Arial"/>
          <w:sz w:val="20"/>
          <w:szCs w:val="20"/>
          <w:lang w:val="it-CH"/>
        </w:rPr>
      </w:pPr>
      <w:r w:rsidRPr="00A87CE8">
        <w:rPr>
          <w:rFonts w:ascii="KievitPro-Regular" w:hAnsi="KievitPro-Regular" w:cs="Arial"/>
          <w:sz w:val="20"/>
          <w:szCs w:val="20"/>
          <w:lang w:val="it-CH"/>
        </w:rPr>
        <w:t>Il riesame si articola in un riesame a livello di impresa (Firm-Review) e in un riesame a livello di mandato (File-Review). Il Firm-Review e il File-Review devono essere effettuati con cadenza annuale. In un documento di pianificazione occorre garantire che tutti i revisori capo siano sottoposti a un File-Review almeno ogni tre anni.</w:t>
      </w:r>
      <w:r w:rsidR="004409DF" w:rsidRPr="00A87CE8">
        <w:rPr>
          <w:rStyle w:val="Funotenzeichen"/>
          <w:rFonts w:ascii="KievitPro-Regular" w:hAnsi="KievitPro-Regular" w:cs="Arial"/>
          <w:sz w:val="20"/>
          <w:szCs w:val="20"/>
          <w:lang w:val="it-CH"/>
        </w:rPr>
        <w:footnoteReference w:id="5"/>
      </w:r>
    </w:p>
    <w:p w14:paraId="2DC6CF28" w14:textId="28A26022" w:rsidR="009067B6" w:rsidRPr="00A87CE8" w:rsidRDefault="009067B6" w:rsidP="009067B6">
      <w:pPr>
        <w:spacing w:after="120"/>
        <w:jc w:val="both"/>
        <w:rPr>
          <w:rFonts w:ascii="KievitPro-Regular" w:hAnsi="KievitPro-Regular" w:cs="Arial"/>
          <w:sz w:val="20"/>
          <w:szCs w:val="20"/>
          <w:lang w:val="it-CH"/>
        </w:rPr>
      </w:pPr>
      <w:r w:rsidRPr="00A87CE8">
        <w:rPr>
          <w:rFonts w:ascii="KievitPro-Regular" w:hAnsi="KievitPro-Regular" w:cs="Arial"/>
          <w:sz w:val="20"/>
          <w:szCs w:val="20"/>
          <w:lang w:val="it-CH"/>
        </w:rPr>
        <w:lastRenderedPageBreak/>
        <w:t>La selezione dei mandati da sottoporre a verifica avviene secondo un approccio orientato al rischio e basato sulle priorità. Nell’ambito della revisione limitata vengono presi in considerazione in particolare i seguenti criteri:</w:t>
      </w:r>
    </w:p>
    <w:p w14:paraId="64739E41" w14:textId="6193BE90" w:rsidR="009067B6" w:rsidRPr="00A87CE8" w:rsidRDefault="009067B6" w:rsidP="00BE676C">
      <w:pPr>
        <w:numPr>
          <w:ilvl w:val="0"/>
          <w:numId w:val="7"/>
        </w:numPr>
        <w:tabs>
          <w:tab w:val="num" w:pos="720"/>
          <w:tab w:val="right" w:pos="9405"/>
        </w:tabs>
        <w:spacing w:after="80" w:line="240" w:lineRule="auto"/>
        <w:ind w:left="357" w:hanging="357"/>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 mandati ad alto rischio devono avere la priorità rispetto a quelli a basso rischio. </w:t>
      </w:r>
    </w:p>
    <w:p w14:paraId="06146AE5" w14:textId="77777777" w:rsidR="00571298" w:rsidRPr="00A87CE8" w:rsidRDefault="00571298" w:rsidP="00571298">
      <w:pPr>
        <w:spacing w:after="0" w:line="240" w:lineRule="auto"/>
        <w:rPr>
          <w:rFonts w:ascii="KievitPro-Regular" w:hAnsi="KievitPro-Regular" w:cs="Arial"/>
          <w:sz w:val="20"/>
          <w:szCs w:val="20"/>
          <w:lang w:val="it-CH"/>
        </w:rPr>
      </w:pPr>
    </w:p>
    <w:p w14:paraId="428B03E5" w14:textId="6349176C" w:rsidR="009067B6" w:rsidRPr="00A87CE8" w:rsidRDefault="009067B6" w:rsidP="00571298">
      <w:pPr>
        <w:spacing w:after="0" w:line="240" w:lineRule="auto"/>
        <w:rPr>
          <w:rFonts w:ascii="KievitPro-Regular" w:hAnsi="KievitPro-Regular" w:cs="Arial"/>
          <w:sz w:val="20"/>
          <w:szCs w:val="20"/>
          <w:lang w:val="it-CH"/>
        </w:rPr>
      </w:pPr>
      <w:r w:rsidRPr="00A87CE8">
        <w:rPr>
          <w:rFonts w:ascii="KievitPro-Regular" w:hAnsi="KievitPro-Regular" w:cs="Arial"/>
          <w:sz w:val="20"/>
          <w:szCs w:val="20"/>
          <w:lang w:val="it-CH"/>
        </w:rPr>
        <w:t>La responsabilità del riesame spetta a una persona in possesso delle competenze tecniche necessarie, che soddisfi i seguenti requisiti minimi:</w:t>
      </w:r>
    </w:p>
    <w:p w14:paraId="6A2151B0" w14:textId="2F69B2CB" w:rsidR="009067B6" w:rsidRPr="00A87CE8" w:rsidRDefault="009067B6" w:rsidP="00BE676C">
      <w:pPr>
        <w:numPr>
          <w:ilvl w:val="0"/>
          <w:numId w:val="7"/>
        </w:numPr>
        <w:tabs>
          <w:tab w:val="num" w:pos="720"/>
          <w:tab w:val="right" w:pos="9405"/>
        </w:tabs>
        <w:spacing w:after="80" w:line="240" w:lineRule="auto"/>
        <w:ind w:left="357" w:hanging="357"/>
        <w:jc w:val="both"/>
        <w:rPr>
          <w:rFonts w:ascii="KievitPro-Regular" w:hAnsi="KievitPro-Regular" w:cs="Arial"/>
          <w:sz w:val="20"/>
          <w:szCs w:val="20"/>
          <w:lang w:val="it-CH"/>
        </w:rPr>
      </w:pPr>
      <w:r w:rsidRPr="00A87CE8">
        <w:rPr>
          <w:rFonts w:ascii="KievitPro-Regular" w:hAnsi="KievitPro-Regular" w:cs="Arial"/>
          <w:sz w:val="20"/>
          <w:szCs w:val="20"/>
          <w:lang w:val="it-CH"/>
        </w:rPr>
        <w:t>è in possesso dell'abilitazione necessaria per lo svolgimento dell'attività (</w:t>
      </w:r>
      <w:r w:rsidR="00887708" w:rsidRPr="00A87CE8">
        <w:rPr>
          <w:rFonts w:ascii="KievitPro-Regular" w:hAnsi="KievitPro-Regular" w:cs="Arial"/>
          <w:sz w:val="20"/>
          <w:szCs w:val="20"/>
          <w:lang w:val="it-CH"/>
        </w:rPr>
        <w:t>almeno in qualità di revisore</w:t>
      </w:r>
      <w:r w:rsidRPr="00A87CE8">
        <w:rPr>
          <w:rFonts w:ascii="KievitPro-Regular" w:hAnsi="KievitPro-Regular" w:cs="Arial"/>
          <w:sz w:val="20"/>
          <w:szCs w:val="20"/>
          <w:lang w:val="it-CH"/>
        </w:rPr>
        <w:t>);</w:t>
      </w:r>
    </w:p>
    <w:p w14:paraId="1B47C38D" w14:textId="77777777" w:rsidR="009067B6" w:rsidRPr="00A87CE8" w:rsidRDefault="009067B6" w:rsidP="00BE676C">
      <w:pPr>
        <w:numPr>
          <w:ilvl w:val="0"/>
          <w:numId w:val="7"/>
        </w:numPr>
        <w:tabs>
          <w:tab w:val="num" w:pos="720"/>
          <w:tab w:val="right" w:pos="9405"/>
        </w:tabs>
        <w:spacing w:after="80" w:line="240" w:lineRule="auto"/>
        <w:ind w:left="357" w:hanging="357"/>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possiede un'esperienza pratica sufficiente, competenze specialistiche e un'anzianità di servizio adeguata; </w:t>
      </w:r>
    </w:p>
    <w:p w14:paraId="2B25C04E" w14:textId="77777777" w:rsidR="009067B6" w:rsidRPr="00A87CE8" w:rsidRDefault="009067B6" w:rsidP="00BE676C">
      <w:pPr>
        <w:numPr>
          <w:ilvl w:val="0"/>
          <w:numId w:val="7"/>
        </w:numPr>
        <w:tabs>
          <w:tab w:val="num" w:pos="720"/>
          <w:tab w:val="right" w:pos="9405"/>
        </w:tabs>
        <w:spacing w:after="80" w:line="240" w:lineRule="auto"/>
        <w:ind w:left="357" w:hanging="357"/>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non ha partecipato né all'esecuzione del mandato oggetto di verifica né alle attività di controllo della qualità relativo al mandato. </w:t>
      </w:r>
    </w:p>
    <w:p w14:paraId="624F4022" w14:textId="529FB421" w:rsidR="009067B6" w:rsidRPr="00A87CE8" w:rsidRDefault="009067B6" w:rsidP="009067B6">
      <w:pPr>
        <w:jc w:val="both"/>
        <w:rPr>
          <w:rFonts w:ascii="KievitPro-Regular" w:hAnsi="KievitPro-Regular" w:cs="Arial"/>
          <w:sz w:val="20"/>
          <w:szCs w:val="20"/>
          <w:lang w:val="it-CH"/>
        </w:rPr>
      </w:pPr>
      <w:r w:rsidRPr="00A87CE8">
        <w:rPr>
          <w:rFonts w:ascii="KievitPro-Regular" w:hAnsi="KievitPro-Regular" w:cs="Arial"/>
          <w:sz w:val="20"/>
          <w:szCs w:val="20"/>
          <w:lang w:val="it-CH"/>
        </w:rPr>
        <w:t>Il riesame viene effettuato tempestivamente, in modo indipendente e secondo la valutazione coscienziosa della persona responsabile. La persona viene scelta in modo che possa garantire sempre la propria obiettività.</w:t>
      </w:r>
    </w:p>
    <w:p w14:paraId="155C435A" w14:textId="77777777" w:rsidR="009067B6" w:rsidRPr="00A87CE8" w:rsidRDefault="009067B6" w:rsidP="009067B6">
      <w:pPr>
        <w:jc w:val="both"/>
        <w:rPr>
          <w:rFonts w:ascii="KievitPro-Regular" w:hAnsi="KievitPro-Regular" w:cs="Arial"/>
          <w:sz w:val="20"/>
          <w:szCs w:val="20"/>
          <w:lang w:val="it-CH"/>
        </w:rPr>
      </w:pPr>
      <w:r w:rsidRPr="00A87CE8">
        <w:rPr>
          <w:rFonts w:ascii="KievitPro-Regular" w:hAnsi="KievitPro-Regular" w:cs="Arial"/>
          <w:sz w:val="20"/>
          <w:szCs w:val="20"/>
          <w:lang w:val="it-CH"/>
        </w:rPr>
        <w:t>Il riesame viene effettuato sulla base di criteri e liste di controllo prestabiliti. Occorre tenere conto delle direttive esterne, delle raccomandazioni e delle constatazioni formulate dalle associazioni di categoria e dalle autorità di vigilanza.</w:t>
      </w:r>
    </w:p>
    <w:p w14:paraId="0F9095DC" w14:textId="21DA924C" w:rsidR="009067B6" w:rsidRPr="00A87CE8" w:rsidRDefault="009067B6" w:rsidP="009067B6">
      <w:pPr>
        <w:jc w:val="both"/>
        <w:rPr>
          <w:rFonts w:ascii="KievitPro-Regular" w:hAnsi="KievitPro-Regular" w:cs="Arial"/>
          <w:sz w:val="20"/>
          <w:szCs w:val="20"/>
          <w:lang w:val="it-CH"/>
        </w:rPr>
      </w:pPr>
      <w:r w:rsidRPr="00A87CE8">
        <w:rPr>
          <w:rFonts w:ascii="KievitPro-Regular" w:hAnsi="KievitPro-Regular" w:cs="Arial"/>
          <w:sz w:val="20"/>
          <w:szCs w:val="20"/>
          <w:lang w:val="it-CH"/>
        </w:rPr>
        <w:t>I risultati del riesame vengono riassunti ogni anno in un rapporto scritto che funge da strumento di gestione e controllo e viene portato a conoscenza della direzione aziendale e di altri soggetti rilevanti (consiglio d'amministrazione, partner, responsabili dei mandati e responsabili della gestione della qualità).</w:t>
      </w:r>
    </w:p>
    <w:p w14:paraId="38D1DB4F" w14:textId="46906D04" w:rsidR="009067B6" w:rsidRPr="00A87CE8" w:rsidRDefault="009067B6" w:rsidP="009067B6">
      <w:pPr>
        <w:spacing w:before="240" w:after="120"/>
        <w:jc w:val="both"/>
        <w:rPr>
          <w:rFonts w:ascii="KievitPro-Regular" w:hAnsi="KievitPro-Regular" w:cs="Arial"/>
          <w:sz w:val="20"/>
          <w:szCs w:val="20"/>
          <w:lang w:val="it-CH"/>
        </w:rPr>
      </w:pPr>
      <w:r w:rsidRPr="00A87CE8">
        <w:rPr>
          <w:rFonts w:ascii="KievitPro-Regular" w:hAnsi="KievitPro-Regular" w:cs="Arial"/>
          <w:sz w:val="20"/>
          <w:szCs w:val="20"/>
          <w:lang w:val="it-CH"/>
        </w:rPr>
        <w:t>Il rapporto di riesame deve contenere almeno:</w:t>
      </w:r>
    </w:p>
    <w:p w14:paraId="65D73CFD" w14:textId="7D584FEC" w:rsidR="009067B6" w:rsidRPr="00A87CE8" w:rsidRDefault="009067B6">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it-CH"/>
        </w:rPr>
      </w:pPr>
      <w:r w:rsidRPr="00A87CE8">
        <w:rPr>
          <w:rFonts w:ascii="KievitPro-Regular" w:hAnsi="KievitPro-Regular" w:cs="Arial"/>
          <w:sz w:val="20"/>
          <w:szCs w:val="20"/>
          <w:lang w:val="it-CH"/>
        </w:rPr>
        <w:t>una descrizione delle attività di riesame svolte e del periodo oggetto di verifica. (Nota: l'indicazione del periodo si riferisce al periodo di validità dei regolamenti dell'impresa oggetto di verifica e attualmente in vigore, nonché alle attività di revisione effettuate (e non all'esercizio contabile delle imprese sottoposte a revisione));</w:t>
      </w:r>
    </w:p>
    <w:p w14:paraId="0D4BA735" w14:textId="77777777" w:rsidR="009067B6" w:rsidRPr="00A87CE8" w:rsidRDefault="009067B6">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 mandati selezionati e le persone responsabili; </w:t>
      </w:r>
    </w:p>
    <w:p w14:paraId="2A5A41F2" w14:textId="77777777" w:rsidR="009067B6" w:rsidRPr="00A87CE8" w:rsidRDefault="009067B6">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le constatazioni, raccomandazioni e conclusioni significative emerse dalla revisione dell’impresa e del mandato; </w:t>
      </w:r>
    </w:p>
    <w:p w14:paraId="63A0A266" w14:textId="77777777" w:rsidR="009067B6" w:rsidRPr="00A87CE8" w:rsidRDefault="009067B6">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indicazioni relative a carenze sistematiche o ricorrenti, nonché le misure da esse derivanti; </w:t>
      </w:r>
    </w:p>
    <w:p w14:paraId="191EFC3E" w14:textId="326010F4" w:rsidR="003A25C3" w:rsidRPr="00A87CE8" w:rsidRDefault="003A25C3">
      <w:pPr>
        <w:numPr>
          <w:ilvl w:val="0"/>
          <w:numId w:val="7"/>
        </w:numPr>
        <w:tabs>
          <w:tab w:val="num" w:pos="720"/>
          <w:tab w:val="right" w:pos="9405"/>
        </w:tabs>
        <w:spacing w:after="120" w:line="240" w:lineRule="auto"/>
        <w:ind w:left="357" w:hanging="357"/>
        <w:jc w:val="both"/>
        <w:rPr>
          <w:rFonts w:ascii="KievitPro-Regular" w:hAnsi="KievitPro-Regular" w:cs="Arial"/>
          <w:sz w:val="20"/>
          <w:szCs w:val="20"/>
          <w:lang w:val="it-CH"/>
        </w:rPr>
      </w:pPr>
      <w:r w:rsidRPr="00A87CE8">
        <w:rPr>
          <w:rFonts w:ascii="KievitPro-Regular" w:hAnsi="KievitPro-Regular" w:cs="Arial"/>
          <w:sz w:val="20"/>
          <w:szCs w:val="20"/>
          <w:lang w:val="it-CH"/>
        </w:rPr>
        <w:t>lo stato di attuazione delle constatazioni e delle raccomandazioni formulate nell'anno precedente o negli anni precedenti. Le eventuali constatazioni relative agli anni precedenti devono di norma essere attuate tempestivamente. Eventuali ritardi devono essere indicati nel rapporto di riesame. </w:t>
      </w:r>
    </w:p>
    <w:p w14:paraId="248319D1" w14:textId="77777777" w:rsidR="009067B6" w:rsidRPr="00A87CE8" w:rsidRDefault="009067B6" w:rsidP="009067B6">
      <w:pPr>
        <w:jc w:val="both"/>
        <w:rPr>
          <w:rFonts w:ascii="KievitPro-Regular" w:hAnsi="KievitPro-Regular" w:cs="Arial"/>
          <w:sz w:val="20"/>
          <w:szCs w:val="20"/>
          <w:lang w:val="it-CH"/>
        </w:rPr>
      </w:pPr>
      <w:r w:rsidRPr="00A87CE8">
        <w:rPr>
          <w:rFonts w:ascii="KievitPro-Regular" w:hAnsi="KievitPro-Regular" w:cs="Arial"/>
          <w:sz w:val="20"/>
          <w:szCs w:val="20"/>
          <w:lang w:val="it-CH"/>
        </w:rPr>
        <w:t>L'individuazione di discrepanze o punti deboli è considerata parte integrante di un efficace sistema di gestione della qualità e viene generalmente valutata in modo positivo, poiché contribuisce al miglioramento continuo.</w:t>
      </w:r>
    </w:p>
    <w:p w14:paraId="735F6BB4" w14:textId="6C0DD813" w:rsidR="009067B6" w:rsidRPr="00A87CE8" w:rsidRDefault="009067B6"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Se necessario, il rapporto può essere integrato. La direzione provvede all'attuazione delle misure necessarie in caso di lacune riscontrate.</w:t>
      </w:r>
    </w:p>
    <w:p w14:paraId="08C2A6CC" w14:textId="439D51F7" w:rsidR="006E727B" w:rsidRPr="00A87CE8" w:rsidRDefault="006E727B" w:rsidP="006E727B">
      <w:pPr>
        <w:spacing w:before="120" w:after="120" w:line="278" w:lineRule="auto"/>
        <w:jc w:val="both"/>
        <w:rPr>
          <w:rFonts w:ascii="KievitPro-Regular" w:hAnsi="KievitPro-Regular" w:cs="Arial"/>
          <w:i/>
          <w:iCs/>
          <w:sz w:val="20"/>
          <w:szCs w:val="20"/>
          <w:lang w:val="it-CH"/>
        </w:rPr>
      </w:pPr>
      <w:r w:rsidRPr="00A87CE8">
        <w:rPr>
          <w:rFonts w:ascii="KievitPro-Regular" w:hAnsi="KievitPro-Regular" w:cs="Arial"/>
          <w:i/>
          <w:iCs/>
          <w:sz w:val="20"/>
          <w:szCs w:val="20"/>
          <w:lang w:val="it-CH"/>
        </w:rPr>
        <w:t>Allegato 12.15: Lista di controllo per la documentazione delle attività di riesame</w:t>
      </w:r>
      <w:r w:rsidRPr="00A87CE8">
        <w:rPr>
          <w:rFonts w:ascii="KievitPro-Regular" w:hAnsi="KievitPro-Regular" w:cs="Arial"/>
          <w:i/>
          <w:iCs/>
          <w:sz w:val="20"/>
          <w:szCs w:val="20"/>
          <w:lang w:val="it-CH"/>
        </w:rPr>
        <w:tab/>
      </w:r>
    </w:p>
    <w:p w14:paraId="6C631DEB" w14:textId="65D96544" w:rsidR="00873CAD" w:rsidRPr="00A87CE8" w:rsidRDefault="00873CAD" w:rsidP="006E727B">
      <w:pPr>
        <w:spacing w:before="120" w:after="120" w:line="278" w:lineRule="auto"/>
        <w:jc w:val="both"/>
        <w:rPr>
          <w:rFonts w:ascii="KievitPro-Regular" w:hAnsi="KievitPro-Regular" w:cs="Arial"/>
          <w:i/>
          <w:iCs/>
          <w:sz w:val="20"/>
          <w:szCs w:val="20"/>
          <w:lang w:val="it-CH"/>
        </w:rPr>
      </w:pPr>
      <w:r w:rsidRPr="00A87CE8">
        <w:rPr>
          <w:rFonts w:ascii="KievitPro-Regular" w:hAnsi="KievitPro-Regular" w:cs="Arial"/>
          <w:i/>
          <w:iCs/>
          <w:sz w:val="20"/>
          <w:szCs w:val="20"/>
          <w:lang w:val="it-CH"/>
        </w:rPr>
        <w:t>Allegato 12.16: Esempio di rapporto di riesame</w:t>
      </w:r>
    </w:p>
    <w:p w14:paraId="5D4EC9BE" w14:textId="77777777" w:rsidR="00CF43CC" w:rsidRPr="00A87CE8" w:rsidRDefault="00CF43CC">
      <w:pPr>
        <w:spacing w:after="0" w:line="240" w:lineRule="auto"/>
        <w:rPr>
          <w:rFonts w:ascii="KievitPro-Regular" w:hAnsi="KievitPro-Regular" w:cs="Arial"/>
          <w:b/>
          <w:smallCaps/>
          <w:spacing w:val="5"/>
          <w:sz w:val="24"/>
          <w:szCs w:val="32"/>
          <w:lang w:val="it-CH" w:bidi="ar-SA"/>
        </w:rPr>
      </w:pPr>
      <w:r w:rsidRPr="00A87CE8">
        <w:rPr>
          <w:rFonts w:ascii="KievitPro-Regular" w:hAnsi="KievitPro-Regular" w:cs="Arial"/>
          <w:b/>
          <w:sz w:val="24"/>
          <w:szCs w:val="32"/>
          <w:lang w:val="it-CH"/>
        </w:rPr>
        <w:br w:type="page"/>
      </w:r>
    </w:p>
    <w:p w14:paraId="1171E750" w14:textId="48075B85" w:rsidR="0070722E" w:rsidRPr="00A87CE8" w:rsidRDefault="0070722E">
      <w:pPr>
        <w:pStyle w:val="berschrift1"/>
        <w:numPr>
          <w:ilvl w:val="0"/>
          <w:numId w:val="2"/>
        </w:numPr>
        <w:ind w:left="426" w:hanging="426"/>
        <w:rPr>
          <w:rFonts w:ascii="KievitPro-Regular" w:hAnsi="KievitPro-Regular" w:cs="Arial"/>
          <w:b w:val="0"/>
          <w:sz w:val="24"/>
          <w:szCs w:val="32"/>
          <w:lang w:val="it-CH"/>
        </w:rPr>
      </w:pPr>
      <w:bookmarkStart w:id="46" w:name="_Toc242259027"/>
      <w:bookmarkStart w:id="47" w:name="_Toc242261434"/>
      <w:r w:rsidRPr="00A87CE8">
        <w:rPr>
          <w:rFonts w:ascii="KievitPro-Regular" w:hAnsi="KievitPro-Regular" w:cs="Arial"/>
          <w:sz w:val="24"/>
          <w:szCs w:val="32"/>
          <w:lang w:val="it-CH"/>
        </w:rPr>
        <w:lastRenderedPageBreak/>
        <w:t>Valutazione del sistema di gestione della qualità</w:t>
      </w:r>
      <w:bookmarkEnd w:id="46"/>
      <w:bookmarkEnd w:id="47"/>
    </w:p>
    <w:p w14:paraId="0C0A629B" w14:textId="77777777" w:rsidR="00CF33E2" w:rsidRPr="00A87CE8" w:rsidRDefault="00CF33E2" w:rsidP="00CF33E2">
      <w:pPr>
        <w:jc w:val="both"/>
        <w:rPr>
          <w:rFonts w:ascii="KievitPro-Regular" w:hAnsi="KievitPro-Regular" w:cs="Arial"/>
          <w:sz w:val="20"/>
          <w:szCs w:val="20"/>
          <w:lang w:val="it-CH"/>
        </w:rPr>
      </w:pPr>
      <w:r w:rsidRPr="00A87CE8">
        <w:rPr>
          <w:rFonts w:ascii="KievitPro-Regular" w:hAnsi="KievitPro-Regular" w:cs="Arial"/>
          <w:sz w:val="20"/>
          <w:szCs w:val="20"/>
          <w:lang w:val="it-CH"/>
        </w:rPr>
        <w:t>Il sistema di gestione della qualità viene valutato almeno una volta all'anno dalla persona o dalle persone a cui sono state attribuite la responsabilità massima e l'obbligo di rendicontazione in merito. Tale valutazione può essere avvalorata da altre persone idonee.</w:t>
      </w:r>
    </w:p>
    <w:p w14:paraId="0575992C" w14:textId="2E12AC14" w:rsidR="00CF33E2" w:rsidRPr="00A87CE8" w:rsidRDefault="00CF33E2" w:rsidP="00CF33E2">
      <w:pPr>
        <w:jc w:val="both"/>
        <w:rPr>
          <w:rFonts w:ascii="KievitPro-Regular" w:hAnsi="KievitPro-Regular" w:cs="Arial"/>
          <w:sz w:val="20"/>
          <w:szCs w:val="20"/>
          <w:lang w:val="it-CH"/>
        </w:rPr>
      </w:pPr>
      <w:r w:rsidRPr="00A87CE8">
        <w:rPr>
          <w:rFonts w:ascii="KievitPro-Regular" w:hAnsi="KievitPro-Regular" w:cs="Arial"/>
          <w:sz w:val="20"/>
          <w:szCs w:val="20"/>
          <w:lang w:val="it-CH"/>
        </w:rPr>
        <w:t>La responsabilità complessiva della valutazione del sistema di gestione della qualità spetta, all'interno dell'impresa di revisione, al presidente del consiglio d'amministrazione, in quanto titolare della massima funzione di vigilanza e responsabilità.</w:t>
      </w:r>
    </w:p>
    <w:p w14:paraId="0B81DDB1" w14:textId="77777777" w:rsidR="00CF33E2" w:rsidRPr="00A87CE8" w:rsidRDefault="00CF33E2" w:rsidP="00CF33E2">
      <w:pPr>
        <w:jc w:val="both"/>
        <w:rPr>
          <w:rFonts w:ascii="KievitPro-Regular" w:hAnsi="KievitPro-Regular" w:cs="Arial"/>
          <w:sz w:val="20"/>
          <w:szCs w:val="20"/>
          <w:lang w:val="it-CH"/>
        </w:rPr>
      </w:pPr>
      <w:r w:rsidRPr="00A87CE8">
        <w:rPr>
          <w:rFonts w:ascii="KievitPro-Regular" w:hAnsi="KievitPro-Regular" w:cs="Arial"/>
          <w:sz w:val="20"/>
          <w:szCs w:val="20"/>
          <w:lang w:val="it-CH"/>
        </w:rPr>
        <w:t>La valutazione si basa su un'analisi complessiva del sistema di gestione della qualità e comprende, in particolare, la sua struttura, l'attuazione e l'efficacia, nonché l'individuazione di eventuali lacune e punti deboli. L'obiettivo è fornire una panoramica completa dello stato attuale del sistema.</w:t>
      </w:r>
    </w:p>
    <w:p w14:paraId="10228554" w14:textId="52D13AE9" w:rsidR="00CF33E2" w:rsidRPr="00A87CE8" w:rsidRDefault="00CF33E2" w:rsidP="00CF33E2">
      <w:pPr>
        <w:jc w:val="both"/>
        <w:rPr>
          <w:rFonts w:ascii="KievitPro-Regular" w:hAnsi="KievitPro-Regular" w:cs="Arial"/>
          <w:sz w:val="20"/>
          <w:szCs w:val="20"/>
          <w:lang w:val="it-CH"/>
        </w:rPr>
      </w:pPr>
      <w:r w:rsidRPr="00A87CE8">
        <w:rPr>
          <w:rFonts w:ascii="KievitPro-Regular" w:hAnsi="KievitPro-Regular" w:cs="Arial"/>
          <w:sz w:val="20"/>
          <w:szCs w:val="20"/>
          <w:lang w:val="it-CH"/>
        </w:rPr>
        <w:t>Per la valutazione vengono prese in considerazione diverse fonti di informazione, in particolare il rapporto di riesame (redatto dal responsabile della gestione della qualità). A titolo integrativo, possono essere effettuati colloqui con i responsabili del riesame, può essere richiesta la consultazione della documentazione di riesame, nonché di altri documenti pertinenti.</w:t>
      </w:r>
    </w:p>
    <w:p w14:paraId="17619992" w14:textId="77777777" w:rsidR="00CF33E2" w:rsidRPr="00A87CE8" w:rsidRDefault="00CF33E2" w:rsidP="00CF33E2">
      <w:pPr>
        <w:jc w:val="both"/>
        <w:rPr>
          <w:rFonts w:ascii="KievitPro-Regular" w:hAnsi="KievitPro-Regular" w:cs="Arial"/>
          <w:sz w:val="20"/>
          <w:szCs w:val="20"/>
          <w:lang w:val="it-CH"/>
        </w:rPr>
      </w:pPr>
      <w:r w:rsidRPr="00A87CE8">
        <w:rPr>
          <w:rFonts w:ascii="KievitPro-Regular" w:hAnsi="KievitPro-Regular" w:cs="Arial"/>
          <w:sz w:val="20"/>
          <w:szCs w:val="20"/>
          <w:lang w:val="it-CH"/>
        </w:rPr>
        <w:t>Per lo svolgimento e la documentazione della valutazione è disponibile la guida «Valutazione del sistema di gestione della qualità».</w:t>
      </w:r>
    </w:p>
    <w:p w14:paraId="164D3668" w14:textId="2477EB44" w:rsidR="00CF33E2" w:rsidRPr="00A87CE8" w:rsidRDefault="00CF33E2" w:rsidP="00CF33E2">
      <w:pPr>
        <w:jc w:val="both"/>
        <w:rPr>
          <w:rFonts w:ascii="KievitPro-Regular" w:hAnsi="KievitPro-Regular" w:cs="Arial"/>
          <w:sz w:val="20"/>
          <w:szCs w:val="20"/>
          <w:lang w:val="it-CH"/>
        </w:rPr>
      </w:pPr>
      <w:r w:rsidRPr="00A87CE8">
        <w:rPr>
          <w:rFonts w:ascii="KievitPro-Regular" w:hAnsi="KievitPro-Regular" w:cs="Arial"/>
          <w:sz w:val="20"/>
          <w:szCs w:val="20"/>
          <w:lang w:val="it-CH"/>
        </w:rPr>
        <w:t>Le competenze organizzative in materia di gestione della qualità sono definite nell'organigramma dell'impresa di revisione.</w:t>
      </w:r>
    </w:p>
    <w:p w14:paraId="59C3A3A1" w14:textId="302B93AF" w:rsidR="0070722E" w:rsidRPr="00A87CE8" w:rsidRDefault="00CF33E2" w:rsidP="0070722E">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Tutti i membri </w:t>
      </w:r>
      <w:proofErr w:type="gramStart"/>
      <w:r w:rsidRPr="00A87CE8">
        <w:rPr>
          <w:rFonts w:ascii="KievitPro-Regular" w:hAnsi="KievitPro-Regular" w:cs="Arial"/>
          <w:sz w:val="20"/>
          <w:szCs w:val="20"/>
          <w:lang w:val="it-CH"/>
        </w:rPr>
        <w:t>del team</w:t>
      </w:r>
      <w:proofErr w:type="gramEnd"/>
      <w:r w:rsidRPr="00A87CE8">
        <w:rPr>
          <w:rFonts w:ascii="KievitPro-Regular" w:hAnsi="KievitPro-Regular" w:cs="Arial"/>
          <w:sz w:val="20"/>
          <w:szCs w:val="20"/>
          <w:lang w:val="it-CH"/>
        </w:rPr>
        <w:t xml:space="preserve"> di revisione sono in possesso dell'abilitazione professionale necessaria per lo svolgimento della loro attività, almeno in qualità di revisore abilitato o perito revisore abilitato.</w:t>
      </w:r>
    </w:p>
    <w:p w14:paraId="33E844C0" w14:textId="7EF2F006" w:rsidR="0070722E" w:rsidRPr="00A87CE8" w:rsidRDefault="006E727B" w:rsidP="000C06F4">
      <w:pPr>
        <w:spacing w:before="120" w:after="120" w:line="278" w:lineRule="auto"/>
        <w:jc w:val="both"/>
        <w:rPr>
          <w:rFonts w:ascii="KievitPro-Regular" w:hAnsi="KievitPro-Regular" w:cs="Arial"/>
          <w:sz w:val="20"/>
          <w:szCs w:val="20"/>
          <w:lang w:val="it-CH"/>
        </w:rPr>
      </w:pPr>
      <w:r w:rsidRPr="00A87CE8">
        <w:rPr>
          <w:rFonts w:ascii="KievitPro-Regular" w:hAnsi="KievitPro-Regular" w:cs="Arial"/>
          <w:i/>
          <w:iCs/>
          <w:sz w:val="20"/>
          <w:szCs w:val="20"/>
          <w:lang w:val="it-CH"/>
        </w:rPr>
        <w:t>Allegato 12.17: Lista di controllo per la valutazione del sistema di gestione della qualità</w:t>
      </w:r>
      <w:r w:rsidRPr="00A87CE8">
        <w:rPr>
          <w:rFonts w:ascii="KievitPro-Regular" w:hAnsi="KievitPro-Regular" w:cs="Arial"/>
          <w:i/>
          <w:iCs/>
          <w:sz w:val="20"/>
          <w:szCs w:val="20"/>
          <w:lang w:val="it-CH"/>
        </w:rPr>
        <w:tab/>
      </w:r>
    </w:p>
    <w:p w14:paraId="54979AA5" w14:textId="63522360" w:rsidR="00FA3DFF" w:rsidRPr="00A87CE8" w:rsidRDefault="000A5F08">
      <w:pPr>
        <w:pStyle w:val="berschrift1"/>
        <w:numPr>
          <w:ilvl w:val="0"/>
          <w:numId w:val="2"/>
        </w:numPr>
        <w:ind w:left="426" w:hanging="426"/>
        <w:rPr>
          <w:rFonts w:ascii="KievitPro-Regular" w:hAnsi="KievitPro-Regular" w:cs="Arial"/>
          <w:b w:val="0"/>
          <w:sz w:val="24"/>
          <w:szCs w:val="32"/>
          <w:lang w:val="it-CH"/>
        </w:rPr>
      </w:pPr>
      <w:bookmarkStart w:id="48" w:name="_Toc242259028"/>
      <w:bookmarkStart w:id="49" w:name="_Toc242261435"/>
      <w:r w:rsidRPr="00A87CE8">
        <w:rPr>
          <w:rFonts w:ascii="KievitPro-Regular" w:hAnsi="KievitPro-Regular" w:cs="Arial"/>
          <w:sz w:val="24"/>
          <w:szCs w:val="32"/>
          <w:lang w:val="it-CH"/>
        </w:rPr>
        <w:t>Documentazione del sistema di gestione della qualità</w:t>
      </w:r>
      <w:bookmarkEnd w:id="48"/>
      <w:bookmarkEnd w:id="49"/>
    </w:p>
    <w:p w14:paraId="35ADAF38" w14:textId="7902885E" w:rsidR="00FA3DFF" w:rsidRPr="00A87CE8" w:rsidRDefault="00FA3DFF" w:rsidP="00FA3DFF">
      <w:pPr>
        <w:jc w:val="both"/>
        <w:rPr>
          <w:rFonts w:ascii="KievitPro-Regular" w:hAnsi="KievitPro-Regular" w:cs="Arial"/>
          <w:sz w:val="20"/>
          <w:szCs w:val="20"/>
          <w:lang w:val="it-CH"/>
        </w:rPr>
      </w:pPr>
      <w:r w:rsidRPr="00A87CE8">
        <w:rPr>
          <w:rFonts w:ascii="KievitPro-Regular" w:hAnsi="KievitPro-Regular" w:cs="Arial"/>
          <w:sz w:val="20"/>
          <w:szCs w:val="20"/>
          <w:lang w:val="it-CH"/>
        </w:rPr>
        <w:t xml:space="preserve">A seconda dell'entità e della complessità delle nostre attività, conserviamo la documentazione necessaria come prova dell'efficacia del nostro sistema di gestione della qualità per un periodo di almeno </w:t>
      </w:r>
      <w:proofErr w:type="gramStart"/>
      <w:r w:rsidRPr="00A87CE8">
        <w:rPr>
          <w:rFonts w:ascii="KievitPro-Regular" w:hAnsi="KievitPro-Regular" w:cs="Arial"/>
          <w:sz w:val="20"/>
          <w:szCs w:val="20"/>
          <w:lang w:val="it-CH"/>
        </w:rPr>
        <w:t>10</w:t>
      </w:r>
      <w:proofErr w:type="gramEnd"/>
      <w:r w:rsidRPr="00A87CE8">
        <w:rPr>
          <w:rFonts w:ascii="KievitPro-Regular" w:hAnsi="KievitPro-Regular" w:cs="Arial"/>
          <w:sz w:val="20"/>
          <w:szCs w:val="20"/>
          <w:lang w:val="it-CH"/>
        </w:rPr>
        <w:t xml:space="preserve"> anni. Ne fanno parte in particolare la documentazione relativa al riesame (rapporti di riesame e liste di controllo), datata e firmata dai responsabili, la documentazione relativa al controllo della qualità relativo al mandato, nonché eventuali ricorsi, contestazioni e le relative prese di posizione dell'impresa di revisione.</w:t>
      </w:r>
    </w:p>
    <w:p w14:paraId="6327CB1D" w14:textId="77777777" w:rsidR="00FA3DFF" w:rsidRPr="00A87CE8" w:rsidRDefault="00FA3DFF" w:rsidP="00FA3DFF">
      <w:pPr>
        <w:jc w:val="both"/>
        <w:rPr>
          <w:rFonts w:ascii="KievitPro-Regular" w:hAnsi="KievitPro-Regular" w:cs="Arial"/>
          <w:sz w:val="20"/>
          <w:szCs w:val="20"/>
          <w:lang w:val="it-CH"/>
        </w:rPr>
      </w:pPr>
      <w:r w:rsidRPr="00A87CE8">
        <w:rPr>
          <w:rFonts w:ascii="KievitPro-Regular" w:hAnsi="KievitPro-Regular" w:cs="Arial"/>
          <w:sz w:val="20"/>
          <w:szCs w:val="20"/>
          <w:lang w:val="it-CH"/>
        </w:rPr>
        <w:t>Al fine di garantire la tracciabilità, tutte le attività di revisione vengono documentate in modo sistematico, uniforme ed esaustivo.</w:t>
      </w:r>
    </w:p>
    <w:p w14:paraId="05A8F7A5" w14:textId="3EC7F50D" w:rsidR="009067B6" w:rsidRPr="00A87CE8" w:rsidRDefault="00FA3DFF" w:rsidP="00053AF4">
      <w:pPr>
        <w:jc w:val="both"/>
        <w:rPr>
          <w:rFonts w:ascii="KievitPro-Regular" w:hAnsi="KievitPro-Regular" w:cs="Arial"/>
          <w:sz w:val="20"/>
          <w:szCs w:val="20"/>
          <w:lang w:val="it-CH"/>
        </w:rPr>
      </w:pPr>
      <w:r w:rsidRPr="00A87CE8">
        <w:rPr>
          <w:rFonts w:ascii="KievitPro-Regular" w:hAnsi="KievitPro-Regular" w:cs="Arial"/>
          <w:sz w:val="20"/>
          <w:szCs w:val="20"/>
          <w:lang w:val="it-CH"/>
        </w:rPr>
        <w:t>I fascicoli relativi ai mandati vengono conservati per il termine per conservare i documenti previsto dalla legge, che è in linea di principio di dieci anni, e successivamente distrutti nel rispetto delle norme vigenti.</w:t>
      </w:r>
    </w:p>
    <w:p w14:paraId="012FF8DB" w14:textId="77777777" w:rsidR="00CF43CC" w:rsidRPr="00A87CE8" w:rsidRDefault="00CF43CC">
      <w:pPr>
        <w:spacing w:after="0" w:line="240" w:lineRule="auto"/>
        <w:rPr>
          <w:rFonts w:ascii="KievitPro-Regular" w:hAnsi="KievitPro-Regular" w:cs="Arial"/>
          <w:b/>
          <w:smallCaps/>
          <w:spacing w:val="5"/>
          <w:sz w:val="24"/>
          <w:szCs w:val="32"/>
          <w:lang w:val="it-CH" w:bidi="ar-SA"/>
        </w:rPr>
      </w:pPr>
      <w:r w:rsidRPr="00A87CE8">
        <w:rPr>
          <w:rFonts w:ascii="KievitPro-Regular" w:hAnsi="KievitPro-Regular" w:cs="Arial"/>
          <w:b/>
          <w:sz w:val="24"/>
          <w:szCs w:val="32"/>
          <w:lang w:val="it-CH"/>
        </w:rPr>
        <w:br w:type="page"/>
      </w:r>
    </w:p>
    <w:p w14:paraId="3644D49F" w14:textId="329E625B" w:rsidR="00B46153" w:rsidRPr="00A87CE8" w:rsidRDefault="00B46153">
      <w:pPr>
        <w:pStyle w:val="berschrift1"/>
        <w:numPr>
          <w:ilvl w:val="0"/>
          <w:numId w:val="2"/>
        </w:numPr>
        <w:ind w:left="426" w:hanging="426"/>
        <w:rPr>
          <w:rFonts w:ascii="KievitPro-Regular" w:hAnsi="KievitPro-Regular" w:cs="Arial"/>
          <w:b w:val="0"/>
          <w:sz w:val="24"/>
          <w:szCs w:val="32"/>
          <w:lang w:val="it-CH"/>
        </w:rPr>
      </w:pPr>
      <w:bookmarkStart w:id="50" w:name="_Toc242259029"/>
      <w:bookmarkStart w:id="51" w:name="_Toc242261436"/>
      <w:r w:rsidRPr="00A87CE8">
        <w:rPr>
          <w:rFonts w:ascii="KievitPro-Regular" w:hAnsi="KievitPro-Regular" w:cs="Arial"/>
          <w:sz w:val="24"/>
          <w:szCs w:val="32"/>
          <w:lang w:val="it-CH"/>
        </w:rPr>
        <w:lastRenderedPageBreak/>
        <w:t>Panoramica degli strumenti di lavoro e dei modelli</w:t>
      </w:r>
      <w:bookmarkEnd w:id="50"/>
      <w:bookmarkEnd w:id="51"/>
    </w:p>
    <w:p w14:paraId="4A58EA0F"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Lista di controllo «Valutazione dei rischi dello studio e relative misure specifiche»</w:t>
      </w:r>
    </w:p>
    <w:p w14:paraId="50181E6F"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Dichiarazione annuale di conformità ai requisiti di indipendenza</w:t>
      </w:r>
    </w:p>
    <w:p w14:paraId="4854721F"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Dichiarazione di riservatezza relativa al segreto professionale (per i collaboratori)</w:t>
      </w:r>
    </w:p>
    <w:p w14:paraId="6AAAFB62"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Rispetto delle linee guida comportamentali in materia di IT (consenso)</w:t>
      </w:r>
    </w:p>
    <w:p w14:paraId="3C7ABC90"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Lista di controllo per la valutazione dell'accettazione del mandato</w:t>
      </w:r>
    </w:p>
    <w:p w14:paraId="4BA0B19C"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Lista di controllo per la valutazione della continuazione dei mandati</w:t>
      </w:r>
    </w:p>
    <w:p w14:paraId="6ECA8A95"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Modello di conferma di mandato in caso di doppio mandato</w:t>
      </w:r>
    </w:p>
    <w:p w14:paraId="259D1C51" w14:textId="2843BB48" w:rsidR="00BD7A1D" w:rsidRPr="00A87CE8" w:rsidRDefault="00BD7A1D">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Regolamento sulla collaborazione in caso di doppio mandato</w:t>
      </w:r>
    </w:p>
    <w:p w14:paraId="6B3358F5"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Lista di controllo per le dimissioni dal mandato</w:t>
      </w:r>
    </w:p>
    <w:p w14:paraId="5075D027" w14:textId="77777777" w:rsidR="00701CA3" w:rsidRPr="00A87CE8" w:rsidRDefault="00701CA3" w:rsidP="00701CA3">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Modello di lista di controllo per i mandati di revisione</w:t>
      </w:r>
    </w:p>
    <w:p w14:paraId="43956E62" w14:textId="77777777" w:rsidR="00701CA3" w:rsidRPr="00A87CE8" w:rsidRDefault="00701CA3" w:rsidP="00701CA3">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Lista di controllo per la sorveglianza e l’esame</w:t>
      </w:r>
    </w:p>
    <w:p w14:paraId="52F4DEE4" w14:textId="77777777" w:rsidR="00701CA3" w:rsidRPr="00A87CE8" w:rsidRDefault="00701CA3" w:rsidP="00701CA3">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Lista di controllo per la valutazione della necessità di un controllo della qualità relativo al mandato</w:t>
      </w:r>
    </w:p>
    <w:p w14:paraId="2BE89F53"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Valutazione periodica dei dipendenti</w:t>
      </w:r>
    </w:p>
    <w:p w14:paraId="1634F16C" w14:textId="77777777"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Modello di verifica del perfezionamento a livello di impresa</w:t>
      </w:r>
    </w:p>
    <w:p w14:paraId="2B3ACB57" w14:textId="08A7D815" w:rsidR="006E727B"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Lista di controllo per la documentazione delle attività di riesame.</w:t>
      </w:r>
    </w:p>
    <w:p w14:paraId="400D4314" w14:textId="2A194D23" w:rsidR="00873CAD" w:rsidRPr="00A87CE8" w:rsidRDefault="00873CAD">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Esempio di rapporto di riesame</w:t>
      </w:r>
    </w:p>
    <w:p w14:paraId="079B88B1" w14:textId="3FA154B0" w:rsidR="009067B6" w:rsidRPr="00A87CE8" w:rsidRDefault="006E727B">
      <w:pPr>
        <w:pStyle w:val="Listenabsatz"/>
        <w:numPr>
          <w:ilvl w:val="1"/>
          <w:numId w:val="2"/>
        </w:numPr>
        <w:spacing w:before="120" w:after="120"/>
        <w:contextualSpacing w:val="0"/>
        <w:jc w:val="both"/>
        <w:rPr>
          <w:rFonts w:ascii="KievitPro-Regular" w:hAnsi="KievitPro-Regular" w:cs="Arial"/>
          <w:sz w:val="20"/>
          <w:szCs w:val="20"/>
          <w:lang w:val="it-CH"/>
        </w:rPr>
      </w:pPr>
      <w:r w:rsidRPr="00A87CE8">
        <w:rPr>
          <w:rFonts w:ascii="KievitPro-Regular" w:hAnsi="KievitPro-Regular" w:cs="Arial"/>
          <w:sz w:val="20"/>
          <w:szCs w:val="20"/>
          <w:lang w:val="it-CH"/>
        </w:rPr>
        <w:t>Lista di controllo per la valutazione del sistema di gestione della qualità</w:t>
      </w:r>
    </w:p>
    <w:p w14:paraId="10BC3194" w14:textId="77777777" w:rsidR="009067B6" w:rsidRPr="00A87CE8" w:rsidRDefault="009067B6" w:rsidP="00053AF4">
      <w:pPr>
        <w:jc w:val="both"/>
        <w:rPr>
          <w:rFonts w:ascii="KievitPro-Regular" w:hAnsi="KievitPro-Regular" w:cs="Arial"/>
          <w:sz w:val="20"/>
          <w:szCs w:val="20"/>
          <w:lang w:val="it-CH"/>
        </w:rPr>
      </w:pPr>
    </w:p>
    <w:p w14:paraId="4848047D" w14:textId="77777777" w:rsidR="009067B6" w:rsidRPr="00A87CE8" w:rsidRDefault="009067B6" w:rsidP="00053AF4">
      <w:pPr>
        <w:jc w:val="both"/>
        <w:rPr>
          <w:rFonts w:ascii="KievitPro-Regular" w:hAnsi="KievitPro-Regular" w:cs="Arial"/>
          <w:sz w:val="20"/>
          <w:szCs w:val="20"/>
          <w:lang w:val="it-CH"/>
        </w:rPr>
      </w:pPr>
    </w:p>
    <w:p w14:paraId="7E992FC5" w14:textId="77777777" w:rsidR="00E45224" w:rsidRPr="00A87CE8" w:rsidRDefault="00E45224">
      <w:pPr>
        <w:spacing w:after="0" w:line="240" w:lineRule="auto"/>
        <w:rPr>
          <w:rFonts w:ascii="KievitPro-Regular" w:hAnsi="KievitPro-Regular" w:cs="Arial"/>
          <w:b/>
          <w:smallCaps/>
          <w:spacing w:val="5"/>
          <w:sz w:val="24"/>
          <w:szCs w:val="32"/>
          <w:lang w:val="it-CH" w:bidi="ar-SA"/>
        </w:rPr>
      </w:pPr>
      <w:r w:rsidRPr="00A87CE8">
        <w:rPr>
          <w:rFonts w:ascii="KievitPro-Regular" w:hAnsi="KievitPro-Regular" w:cs="Arial"/>
          <w:b/>
          <w:sz w:val="24"/>
          <w:szCs w:val="32"/>
          <w:lang w:val="it-CH"/>
        </w:rPr>
        <w:br w:type="page"/>
      </w:r>
    </w:p>
    <w:p w14:paraId="47F16291" w14:textId="0F182680" w:rsidR="00456421" w:rsidRPr="00A87CE8" w:rsidRDefault="00456421">
      <w:pPr>
        <w:pStyle w:val="berschrift1"/>
        <w:numPr>
          <w:ilvl w:val="0"/>
          <w:numId w:val="2"/>
        </w:numPr>
        <w:ind w:left="426" w:hanging="426"/>
        <w:rPr>
          <w:rFonts w:ascii="KievitPro-Regular" w:hAnsi="KievitPro-Regular" w:cs="Arial"/>
          <w:b w:val="0"/>
          <w:sz w:val="24"/>
          <w:szCs w:val="32"/>
          <w:lang w:val="it-CH"/>
        </w:rPr>
      </w:pPr>
      <w:bookmarkStart w:id="52" w:name="_Toc242259030"/>
      <w:bookmarkStart w:id="53" w:name="_Toc242261437"/>
      <w:r w:rsidRPr="00A87CE8">
        <w:rPr>
          <w:rFonts w:ascii="KievitPro-Regular" w:hAnsi="KievitPro-Regular" w:cs="Arial"/>
          <w:sz w:val="24"/>
          <w:szCs w:val="32"/>
          <w:lang w:val="it-CH"/>
        </w:rPr>
        <w:lastRenderedPageBreak/>
        <w:t>Organigramma</w:t>
      </w:r>
      <w:bookmarkEnd w:id="52"/>
      <w:bookmarkEnd w:id="53"/>
    </w:p>
    <w:p w14:paraId="69BC807C" w14:textId="7B822428" w:rsidR="009067B6" w:rsidRPr="00A87CE8" w:rsidRDefault="00042A38" w:rsidP="00042A38">
      <w:pPr>
        <w:jc w:val="both"/>
        <w:rPr>
          <w:rFonts w:ascii="KievitPro-Regular" w:hAnsi="KievitPro-Regular" w:cs="Arial"/>
          <w:sz w:val="20"/>
          <w:szCs w:val="20"/>
          <w:lang w:val="it-CH"/>
        </w:rPr>
      </w:pPr>
      <w:r w:rsidRPr="00A87CE8">
        <w:rPr>
          <w:rFonts w:ascii="KievitPro-Regular" w:hAnsi="KievitPro-Regular"/>
          <w:sz w:val="24"/>
          <w:szCs w:val="24"/>
          <w:lang w:val="it-CH" w:eastAsia="de-CH" w:bidi="ar-SA"/>
        </w:rPr>
        <w:drawing>
          <wp:inline distT="0" distB="0" distL="0" distR="0" wp14:anchorId="4AB2156E" wp14:editId="0ED9E8BC">
            <wp:extent cx="6119495" cy="4312697"/>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m Muster  QS-Handbuch 1.1.2019.png"/>
                    <pic:cNvPicPr/>
                  </pic:nvPicPr>
                  <pic:blipFill>
                    <a:blip r:embed="rId9">
                      <a:extLst>
                        <a:ext uri="{28A0092B-C50C-407E-A947-70E740481C1C}">
                          <a14:useLocalDpi xmlns:a14="http://schemas.microsoft.com/office/drawing/2010/main" val="0"/>
                        </a:ext>
                      </a:extLst>
                    </a:blip>
                    <a:stretch>
                      <a:fillRect/>
                    </a:stretch>
                  </pic:blipFill>
                  <pic:spPr>
                    <a:xfrm>
                      <a:off x="0" y="0"/>
                      <a:ext cx="6119495" cy="4312697"/>
                    </a:xfrm>
                    <a:prstGeom prst="rect">
                      <a:avLst/>
                    </a:prstGeom>
                  </pic:spPr>
                </pic:pic>
              </a:graphicData>
            </a:graphic>
          </wp:inline>
        </w:drawing>
      </w:r>
    </w:p>
    <w:p w14:paraId="517F3457" w14:textId="77777777" w:rsidR="009067B6" w:rsidRPr="00A87CE8" w:rsidRDefault="009067B6" w:rsidP="00053AF4">
      <w:pPr>
        <w:jc w:val="both"/>
        <w:rPr>
          <w:rFonts w:ascii="KievitPro-Regular" w:hAnsi="KievitPro-Regular" w:cs="Arial"/>
          <w:sz w:val="20"/>
          <w:szCs w:val="20"/>
          <w:lang w:val="it-CH"/>
        </w:rPr>
      </w:pPr>
    </w:p>
    <w:p w14:paraId="1BAF886D" w14:textId="77777777" w:rsidR="009067B6" w:rsidRPr="00A87CE8" w:rsidRDefault="009067B6" w:rsidP="00053AF4">
      <w:pPr>
        <w:jc w:val="both"/>
        <w:rPr>
          <w:rFonts w:ascii="KievitPro-Regular" w:hAnsi="KievitPro-Regular" w:cs="Arial"/>
          <w:sz w:val="20"/>
          <w:szCs w:val="20"/>
          <w:lang w:val="it-CH"/>
        </w:rPr>
      </w:pPr>
    </w:p>
    <w:p w14:paraId="1122EC75" w14:textId="77777777" w:rsidR="009067B6" w:rsidRPr="00A87CE8" w:rsidRDefault="009067B6" w:rsidP="00053AF4">
      <w:pPr>
        <w:jc w:val="both"/>
        <w:rPr>
          <w:rFonts w:ascii="KievitPro-Regular" w:hAnsi="KievitPro-Regular" w:cs="Arial"/>
          <w:sz w:val="20"/>
          <w:szCs w:val="20"/>
          <w:lang w:val="it-CH"/>
        </w:rPr>
      </w:pPr>
    </w:p>
    <w:p w14:paraId="41273A69" w14:textId="77777777" w:rsidR="009067B6" w:rsidRPr="00A87CE8" w:rsidRDefault="009067B6" w:rsidP="00053AF4">
      <w:pPr>
        <w:jc w:val="both"/>
        <w:rPr>
          <w:rFonts w:ascii="KievitPro-Regular" w:hAnsi="KievitPro-Regular" w:cs="Arial"/>
          <w:sz w:val="20"/>
          <w:szCs w:val="20"/>
          <w:lang w:val="it-CH"/>
        </w:rPr>
      </w:pPr>
    </w:p>
    <w:p w14:paraId="14D0118D" w14:textId="77777777" w:rsidR="009067B6" w:rsidRPr="00A87CE8" w:rsidRDefault="009067B6" w:rsidP="00053AF4">
      <w:pPr>
        <w:jc w:val="both"/>
        <w:rPr>
          <w:rFonts w:ascii="KievitPro-Regular" w:hAnsi="KievitPro-Regular" w:cs="Arial"/>
          <w:sz w:val="20"/>
          <w:szCs w:val="20"/>
          <w:lang w:val="it-CH"/>
        </w:rPr>
      </w:pPr>
    </w:p>
    <w:p w14:paraId="2107685B" w14:textId="77777777" w:rsidR="009067B6" w:rsidRPr="00A87CE8" w:rsidRDefault="009067B6" w:rsidP="00053AF4">
      <w:pPr>
        <w:jc w:val="both"/>
        <w:rPr>
          <w:rFonts w:ascii="KievitPro-Regular" w:hAnsi="KievitPro-Regular" w:cs="Arial"/>
          <w:sz w:val="20"/>
          <w:szCs w:val="20"/>
          <w:lang w:val="it-CH"/>
        </w:rPr>
      </w:pPr>
    </w:p>
    <w:p w14:paraId="5AAD83D6" w14:textId="77777777" w:rsidR="009067B6" w:rsidRPr="00A87CE8" w:rsidRDefault="009067B6" w:rsidP="00053AF4">
      <w:pPr>
        <w:jc w:val="both"/>
        <w:rPr>
          <w:rFonts w:ascii="Arial" w:hAnsi="Arial" w:cs="Arial"/>
          <w:sz w:val="20"/>
          <w:szCs w:val="20"/>
          <w:lang w:val="it-CH"/>
        </w:rPr>
      </w:pPr>
    </w:p>
    <w:p w14:paraId="1EA0FE43" w14:textId="77777777" w:rsidR="009067B6" w:rsidRPr="00A87CE8" w:rsidRDefault="009067B6" w:rsidP="00053AF4">
      <w:pPr>
        <w:jc w:val="both"/>
        <w:rPr>
          <w:rFonts w:ascii="Arial" w:hAnsi="Arial" w:cs="Arial"/>
          <w:sz w:val="20"/>
          <w:szCs w:val="20"/>
          <w:lang w:val="it-CH"/>
        </w:rPr>
      </w:pPr>
    </w:p>
    <w:p w14:paraId="3D952D26" w14:textId="77777777" w:rsidR="009067B6" w:rsidRPr="00A87CE8" w:rsidRDefault="009067B6" w:rsidP="00053AF4">
      <w:pPr>
        <w:jc w:val="both"/>
        <w:rPr>
          <w:rFonts w:ascii="Arial" w:hAnsi="Arial" w:cs="Arial"/>
          <w:sz w:val="20"/>
          <w:szCs w:val="20"/>
          <w:lang w:val="it-CH"/>
        </w:rPr>
      </w:pPr>
    </w:p>
    <w:p w14:paraId="3FCF2BC5" w14:textId="77777777" w:rsidR="009067B6" w:rsidRPr="00A87CE8" w:rsidRDefault="009067B6" w:rsidP="00053AF4">
      <w:pPr>
        <w:jc w:val="both"/>
        <w:rPr>
          <w:rFonts w:ascii="Arial" w:hAnsi="Arial" w:cs="Arial"/>
          <w:sz w:val="20"/>
          <w:szCs w:val="20"/>
          <w:lang w:val="it-CH"/>
        </w:rPr>
      </w:pPr>
    </w:p>
    <w:p w14:paraId="5ECF3C8D" w14:textId="77777777" w:rsidR="009067B6" w:rsidRPr="00A87CE8" w:rsidRDefault="009067B6" w:rsidP="00053AF4">
      <w:pPr>
        <w:jc w:val="both"/>
        <w:rPr>
          <w:rFonts w:ascii="Arial" w:hAnsi="Arial" w:cs="Arial"/>
          <w:sz w:val="20"/>
          <w:szCs w:val="20"/>
          <w:lang w:val="it-CH"/>
        </w:rPr>
      </w:pPr>
    </w:p>
    <w:p w14:paraId="6E1700A7" w14:textId="77777777" w:rsidR="00345C23" w:rsidRPr="00A87CE8" w:rsidRDefault="00345C23" w:rsidP="002C6557">
      <w:pPr>
        <w:pStyle w:val="berschrift1"/>
        <w:rPr>
          <w:rFonts w:cs="Arial"/>
          <w:b w:val="0"/>
          <w:sz w:val="24"/>
          <w:szCs w:val="32"/>
          <w:lang w:val="it-CH"/>
        </w:rPr>
      </w:pPr>
      <w:bookmarkStart w:id="54" w:name="gototop"/>
      <w:bookmarkStart w:id="55" w:name="Transactions"/>
      <w:bookmarkEnd w:id="54"/>
      <w:bookmarkEnd w:id="55"/>
    </w:p>
    <w:sectPr w:rsidR="00345C23" w:rsidRPr="00A87CE8" w:rsidSect="00A472C8">
      <w:headerReference w:type="default" r:id="rId10"/>
      <w:footerReference w:type="default" r:id="rId11"/>
      <w:headerReference w:type="first" r:id="rId12"/>
      <w:pgSz w:w="11906" w:h="16838"/>
      <w:pgMar w:top="1418" w:right="851" w:bottom="567" w:left="1418" w:header="709" w:footer="9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C624E" w14:textId="77777777" w:rsidR="005E03D5" w:rsidRDefault="005E03D5">
      <w:r>
        <w:separator/>
      </w:r>
    </w:p>
  </w:endnote>
  <w:endnote w:type="continuationSeparator" w:id="0">
    <w:p w14:paraId="3817E330" w14:textId="77777777" w:rsidR="005E03D5" w:rsidRDefault="005E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LT 85 Heavy">
    <w:altName w:val="Tw Cen MT Condensed Extra Bold"/>
    <w:charset w:val="00"/>
    <w:family w:val="swiss"/>
    <w:pitch w:val="variable"/>
    <w:sig w:usb0="80000003" w:usb1="00000042"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ievitPro-Regular">
    <w:panose1 w:val="020B0504030101020102"/>
    <w:charset w:val="00"/>
    <w:family w:val="swiss"/>
    <w:notTrueType/>
    <w:pitch w:val="variable"/>
    <w:sig w:usb0="A00002FF" w:usb1="4000205B"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44C9" w14:textId="053A94BC" w:rsidR="002E24D9" w:rsidRPr="00A472C8" w:rsidRDefault="005E03D5" w:rsidP="00A472C8">
    <w:pPr>
      <w:pStyle w:val="Fuzeile"/>
    </w:pPr>
    <w:sdt>
      <w:sdtPr>
        <w:id w:val="-1901358237"/>
        <w:docPartObj>
          <w:docPartGallery w:val="Page Numbers (Bottom of Page)"/>
          <w:docPartUnique/>
        </w:docPartObj>
      </w:sdtPr>
      <w:sdtEndPr>
        <w:rPr>
          <w:rFonts w:ascii="KievitPro-Regular" w:hAnsi="KievitPro-Regular"/>
          <w:noProof/>
        </w:rPr>
      </w:sdtEndPr>
      <w:sdtContent>
        <w:r w:rsidR="00A472C8" w:rsidRPr="007370C2">
          <w:rPr>
            <w:rFonts w:ascii="KievitPro-Regular" w:hAnsi="KievitPro-Regular"/>
            <w:noProof/>
          </w:rPr>
          <w:fldChar w:fldCharType="begin"/>
        </w:r>
        <w:r w:rsidR="00A472C8" w:rsidRPr="007370C2">
          <w:rPr>
            <w:rFonts w:ascii="KievitPro-Regular" w:hAnsi="KievitPro-Regular"/>
            <w:noProof/>
          </w:rPr>
          <w:instrText>PAGE  \* Arabic  \* MERGEFORMAT</w:instrText>
        </w:r>
        <w:r w:rsidR="00A472C8" w:rsidRPr="007370C2">
          <w:rPr>
            <w:rFonts w:ascii="KievitPro-Regular" w:hAnsi="KievitPro-Regular"/>
            <w:noProof/>
          </w:rPr>
          <w:fldChar w:fldCharType="separate"/>
        </w:r>
        <w:r w:rsidR="00A472C8">
          <w:rPr>
            <w:rFonts w:ascii="KievitPro-Regular" w:hAnsi="KievitPro-Regular"/>
            <w:noProof/>
          </w:rPr>
          <w:t>2</w:t>
        </w:r>
        <w:r w:rsidR="00A472C8" w:rsidRPr="007370C2">
          <w:rPr>
            <w:rFonts w:ascii="KievitPro-Regular" w:hAnsi="KievitPro-Regular"/>
            <w:noProof/>
          </w:rPr>
          <w:fldChar w:fldCharType="end"/>
        </w:r>
        <w:r w:rsidR="00A472C8" w:rsidRPr="007370C2">
          <w:rPr>
            <w:rFonts w:ascii="KievitPro-Regular" w:hAnsi="KievitPro-Regular"/>
            <w:noProof/>
          </w:rPr>
          <w:t xml:space="preserve"> / </w:t>
        </w:r>
        <w:r w:rsidR="00A472C8" w:rsidRPr="007370C2">
          <w:rPr>
            <w:rFonts w:ascii="KievitPro-Regular" w:hAnsi="KievitPro-Regular"/>
            <w:noProof/>
          </w:rPr>
          <w:fldChar w:fldCharType="begin"/>
        </w:r>
        <w:r w:rsidR="00A472C8" w:rsidRPr="007370C2">
          <w:rPr>
            <w:rFonts w:ascii="KievitPro-Regular" w:hAnsi="KievitPro-Regular"/>
            <w:noProof/>
          </w:rPr>
          <w:instrText>NUMPAGES  \* Arabic  \* MERGEFORMAT</w:instrText>
        </w:r>
        <w:r w:rsidR="00A472C8" w:rsidRPr="007370C2">
          <w:rPr>
            <w:rFonts w:ascii="KievitPro-Regular" w:hAnsi="KievitPro-Regular"/>
            <w:noProof/>
          </w:rPr>
          <w:fldChar w:fldCharType="separate"/>
        </w:r>
        <w:r w:rsidR="00A472C8">
          <w:rPr>
            <w:rFonts w:ascii="KievitPro-Regular" w:hAnsi="KievitPro-Regular"/>
            <w:noProof/>
          </w:rPr>
          <w:t>25</w:t>
        </w:r>
        <w:r w:rsidR="00A472C8" w:rsidRPr="007370C2">
          <w:rPr>
            <w:rFonts w:ascii="KievitPro-Regular" w:hAnsi="KievitPro-Regular"/>
            <w:noProof/>
          </w:rPr>
          <w:fldChar w:fldCharType="end"/>
        </w:r>
        <w:r w:rsidR="00A472C8" w:rsidRPr="007370C2">
          <w:rPr>
            <w:rFonts w:ascii="KievitPro-Regular" w:hAnsi="KievitPro-Regular"/>
          </w:rPr>
          <w:t xml:space="preserve"> </w:t>
        </w:r>
        <w:r w:rsidR="00A472C8">
          <w:rPr>
            <w:rFonts w:ascii="KievitPro-Regular" w:hAnsi="KievitPro-Regular"/>
          </w:rPr>
          <w:tab/>
        </w:r>
        <w:r w:rsidR="00A472C8">
          <w:rPr>
            <w:rFonts w:ascii="KievitPro-Regular" w:hAnsi="KievitPro-Regular"/>
          </w:rPr>
          <w:tab/>
          <w:t>www.fiduciarisuisse.ch</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46ECA" w14:textId="77777777" w:rsidR="005E03D5" w:rsidRDefault="005E03D5">
      <w:r>
        <w:separator/>
      </w:r>
    </w:p>
  </w:footnote>
  <w:footnote w:type="continuationSeparator" w:id="0">
    <w:p w14:paraId="5E1FC345" w14:textId="77777777" w:rsidR="005E03D5" w:rsidRDefault="005E03D5">
      <w:r>
        <w:continuationSeparator/>
      </w:r>
    </w:p>
  </w:footnote>
  <w:footnote w:id="1">
    <w:p w14:paraId="76C58C82" w14:textId="7F1D02A0" w:rsidR="002E24D9" w:rsidRPr="002A76D8" w:rsidRDefault="002E24D9">
      <w:pPr>
        <w:pStyle w:val="Funotentext"/>
        <w:rPr>
          <w:rFonts w:ascii="Corbel" w:hAnsi="Corbel"/>
          <w:i/>
          <w:iCs/>
          <w:sz w:val="18"/>
          <w:szCs w:val="18"/>
          <w:lang w:val="de-CH"/>
        </w:rPr>
      </w:pPr>
      <w:r w:rsidRPr="002A76D8">
        <w:rPr>
          <w:rStyle w:val="Funotenzeichen"/>
          <w:rFonts w:ascii="Corbel" w:hAnsi="Corbel"/>
          <w:i/>
          <w:iCs/>
          <w:sz w:val="18"/>
          <w:szCs w:val="18"/>
        </w:rPr>
        <w:footnoteRef/>
      </w:r>
      <w:r w:rsidRPr="002A76D8">
        <w:rPr>
          <w:rFonts w:ascii="Corbel" w:hAnsi="Corbel"/>
          <w:i/>
          <w:iCs/>
          <w:sz w:val="18"/>
          <w:szCs w:val="18"/>
          <w:lang w:val="de-CH"/>
        </w:rPr>
        <w:t xml:space="preserve">Le </w:t>
      </w:r>
      <w:r w:rsidR="00887708">
        <w:rPr>
          <w:rFonts w:ascii="Corbel" w:hAnsi="Corbel"/>
          <w:i/>
          <w:iCs/>
          <w:sz w:val="18"/>
          <w:szCs w:val="18"/>
          <w:lang w:val="de-CH"/>
        </w:rPr>
        <w:t>IGQ</w:t>
      </w:r>
      <w:r w:rsidRPr="002A76D8">
        <w:rPr>
          <w:rFonts w:ascii="Corbel" w:hAnsi="Corbel"/>
          <w:i/>
          <w:iCs/>
          <w:sz w:val="18"/>
          <w:szCs w:val="18"/>
          <w:lang w:val="de-CH"/>
        </w:rPr>
        <w:t xml:space="preserve">M </w:t>
      </w:r>
      <w:proofErr w:type="spellStart"/>
      <w:r w:rsidRPr="002A76D8">
        <w:rPr>
          <w:rFonts w:ascii="Corbel" w:hAnsi="Corbel"/>
          <w:i/>
          <w:iCs/>
          <w:sz w:val="18"/>
          <w:szCs w:val="18"/>
          <w:lang w:val="de-CH"/>
        </w:rPr>
        <w:t>possono</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essere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applicate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dalle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imprese</w:t>
      </w:r>
      <w:proofErr w:type="spellEnd"/>
      <w:r w:rsidRPr="002A76D8">
        <w:rPr>
          <w:rFonts w:ascii="Corbel" w:hAnsi="Corbel"/>
          <w:i/>
          <w:iCs/>
          <w:sz w:val="18"/>
          <w:szCs w:val="18"/>
          <w:lang w:val="de-CH"/>
        </w:rPr>
        <w:t xml:space="preserve"> di </w:t>
      </w:r>
      <w:proofErr w:type="spellStart"/>
      <w:r w:rsidRPr="002A76D8">
        <w:rPr>
          <w:rFonts w:ascii="Corbel" w:hAnsi="Corbel"/>
          <w:i/>
          <w:iCs/>
          <w:sz w:val="18"/>
          <w:szCs w:val="18"/>
          <w:lang w:val="de-CH"/>
        </w:rPr>
        <w:t>revisione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che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effettuano</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esclusivamente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revisioni</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limitate</w:t>
      </w:r>
      <w:proofErr w:type="spellEnd"/>
      <w:r w:rsidRPr="002A76D8">
        <w:rPr>
          <w:rFonts w:ascii="Corbel" w:hAnsi="Corbel"/>
          <w:i/>
          <w:iCs/>
          <w:sz w:val="18"/>
          <w:szCs w:val="18"/>
          <w:lang w:val="de-CH"/>
        </w:rPr>
        <w:t xml:space="preserve">. Le </w:t>
      </w:r>
      <w:proofErr w:type="spellStart"/>
      <w:r w:rsidRPr="002A76D8">
        <w:rPr>
          <w:rFonts w:ascii="Corbel" w:hAnsi="Corbel"/>
          <w:i/>
          <w:iCs/>
          <w:sz w:val="18"/>
          <w:szCs w:val="18"/>
          <w:lang w:val="de-CH"/>
        </w:rPr>
        <w:t>imprese</w:t>
      </w:r>
      <w:proofErr w:type="spellEnd"/>
      <w:r w:rsidRPr="002A76D8">
        <w:rPr>
          <w:rFonts w:ascii="Corbel" w:hAnsi="Corbel"/>
          <w:i/>
          <w:iCs/>
          <w:sz w:val="18"/>
          <w:szCs w:val="18"/>
          <w:lang w:val="de-CH"/>
        </w:rPr>
        <w:t xml:space="preserve"> di </w:t>
      </w:r>
      <w:proofErr w:type="spellStart"/>
      <w:r w:rsidRPr="002A76D8">
        <w:rPr>
          <w:rFonts w:ascii="Corbel" w:hAnsi="Corbel"/>
          <w:i/>
          <w:iCs/>
          <w:sz w:val="18"/>
          <w:szCs w:val="18"/>
          <w:lang w:val="de-CH"/>
        </w:rPr>
        <w:t>revisione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che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effettuano</w:t>
      </w:r>
      <w:proofErr w:type="spellEnd"/>
      <w:r w:rsidRPr="002A76D8">
        <w:rPr>
          <w:rFonts w:ascii="Corbel" w:hAnsi="Corbel"/>
          <w:i/>
          <w:iCs/>
          <w:sz w:val="18"/>
          <w:szCs w:val="18"/>
          <w:lang w:val="de-CH"/>
        </w:rPr>
        <w:t xml:space="preserve">, ad </w:t>
      </w:r>
      <w:proofErr w:type="spellStart"/>
      <w:r w:rsidRPr="002A76D8">
        <w:rPr>
          <w:rFonts w:ascii="Corbel" w:hAnsi="Corbel"/>
          <w:i/>
          <w:iCs/>
          <w:sz w:val="18"/>
          <w:szCs w:val="18"/>
          <w:lang w:val="de-CH"/>
        </w:rPr>
        <w:t>esempio</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revisioni</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ordinarie</w:t>
      </w:r>
      <w:proofErr w:type="spellEnd"/>
      <w:r w:rsidRPr="002A76D8">
        <w:rPr>
          <w:rFonts w:ascii="Corbel" w:hAnsi="Corbel"/>
          <w:i/>
          <w:iCs/>
          <w:sz w:val="18"/>
          <w:szCs w:val="18"/>
          <w:lang w:val="de-CH"/>
        </w:rPr>
        <w:t xml:space="preserve"> o </w:t>
      </w:r>
      <w:proofErr w:type="spellStart"/>
      <w:r w:rsidRPr="002A76D8">
        <w:rPr>
          <w:rFonts w:ascii="Corbel" w:hAnsi="Corbel"/>
          <w:i/>
          <w:iCs/>
          <w:sz w:val="18"/>
          <w:szCs w:val="18"/>
          <w:lang w:val="de-CH"/>
        </w:rPr>
        <w:t>verifiche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speciali</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devono</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applicare</w:t>
      </w:r>
      <w:proofErr w:type="spellEnd"/>
      <w:r w:rsidRPr="002A76D8">
        <w:rPr>
          <w:rFonts w:ascii="Corbel" w:hAnsi="Corbel"/>
          <w:i/>
          <w:iCs/>
          <w:sz w:val="18"/>
          <w:szCs w:val="18"/>
          <w:lang w:val="de-CH"/>
        </w:rPr>
        <w:t xml:space="preserve"> le norme ISQM-CH 1, ISQM-CH 2 e ISA-CH 220. Per </w:t>
      </w:r>
      <w:proofErr w:type="spellStart"/>
      <w:r w:rsidRPr="002A76D8">
        <w:rPr>
          <w:rFonts w:ascii="Corbel" w:hAnsi="Corbel"/>
          <w:i/>
          <w:iCs/>
          <w:sz w:val="18"/>
          <w:szCs w:val="18"/>
          <w:lang w:val="de-CH"/>
        </w:rPr>
        <w:t>ulteriori</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requisiti</w:t>
      </w:r>
      <w:proofErr w:type="spellEnd"/>
      <w:r w:rsidRPr="002A76D8">
        <w:rPr>
          <w:rFonts w:ascii="Corbel" w:hAnsi="Corbel"/>
          <w:i/>
          <w:iCs/>
          <w:sz w:val="18"/>
          <w:szCs w:val="18"/>
          <w:lang w:val="de-CH"/>
        </w:rPr>
        <w:t xml:space="preserve"> di </w:t>
      </w:r>
      <w:proofErr w:type="spellStart"/>
      <w:r w:rsidRPr="002A76D8">
        <w:rPr>
          <w:rFonts w:ascii="Corbel" w:hAnsi="Corbel"/>
          <w:i/>
          <w:iCs/>
          <w:sz w:val="18"/>
          <w:szCs w:val="18"/>
          <w:lang w:val="de-CH"/>
        </w:rPr>
        <w:t>applicazione</w:t>
      </w:r>
      <w:proofErr w:type="spellEnd"/>
      <w:r w:rsidRPr="002A76D8">
        <w:rPr>
          <w:rFonts w:ascii="Corbel" w:hAnsi="Corbel"/>
          <w:i/>
          <w:iCs/>
          <w:sz w:val="18"/>
          <w:szCs w:val="18"/>
          <w:lang w:val="de-CH"/>
        </w:rPr>
        <w:t xml:space="preserve"> si </w:t>
      </w:r>
      <w:proofErr w:type="spellStart"/>
      <w:r w:rsidRPr="002A76D8">
        <w:rPr>
          <w:rFonts w:ascii="Corbel" w:hAnsi="Corbel"/>
          <w:i/>
          <w:iCs/>
          <w:sz w:val="18"/>
          <w:szCs w:val="18"/>
          <w:lang w:val="de-CH"/>
        </w:rPr>
        <w:t>rinvia</w:t>
      </w:r>
      <w:proofErr w:type="spellEnd"/>
      <w:r w:rsidRPr="002A76D8">
        <w:rPr>
          <w:rFonts w:ascii="Corbel" w:hAnsi="Corbel"/>
          <w:i/>
          <w:iCs/>
          <w:sz w:val="18"/>
          <w:szCs w:val="18"/>
          <w:lang w:val="de-CH"/>
        </w:rPr>
        <w:t xml:space="preserve"> alla </w:t>
      </w:r>
      <w:proofErr w:type="spellStart"/>
      <w:r w:rsidRPr="002A76D8">
        <w:rPr>
          <w:rFonts w:ascii="Corbel" w:hAnsi="Corbel"/>
          <w:i/>
          <w:iCs/>
          <w:sz w:val="18"/>
          <w:szCs w:val="18"/>
          <w:lang w:val="de-CH"/>
        </w:rPr>
        <w:t>circolare</w:t>
      </w:r>
      <w:proofErr w:type="spellEnd"/>
      <w:r w:rsidRPr="002A76D8">
        <w:rPr>
          <w:rFonts w:ascii="Corbel" w:hAnsi="Corbel"/>
          <w:i/>
          <w:iCs/>
          <w:sz w:val="18"/>
          <w:szCs w:val="18"/>
          <w:lang w:val="de-CH"/>
        </w:rPr>
        <w:t xml:space="preserve"> ASR </w:t>
      </w:r>
      <w:proofErr w:type="spellStart"/>
      <w:r w:rsidRPr="002A76D8">
        <w:rPr>
          <w:rFonts w:ascii="Corbel" w:hAnsi="Corbel"/>
          <w:i/>
          <w:iCs/>
          <w:sz w:val="18"/>
          <w:szCs w:val="18"/>
          <w:lang w:val="de-CH"/>
        </w:rPr>
        <w:t>Circ</w:t>
      </w:r>
      <w:proofErr w:type="spellEnd"/>
      <w:r w:rsidRPr="002A76D8">
        <w:rPr>
          <w:rFonts w:ascii="Corbel" w:hAnsi="Corbel"/>
          <w:i/>
          <w:iCs/>
          <w:sz w:val="18"/>
          <w:szCs w:val="18"/>
          <w:lang w:val="de-CH"/>
        </w:rPr>
        <w:t xml:space="preserve">. 1/2014, n. </w:t>
      </w:r>
      <w:proofErr w:type="spellStart"/>
      <w:r w:rsidRPr="002A76D8">
        <w:rPr>
          <w:rFonts w:ascii="Corbel" w:hAnsi="Corbel"/>
          <w:i/>
          <w:iCs/>
          <w:sz w:val="18"/>
          <w:szCs w:val="18"/>
          <w:lang w:val="de-CH"/>
        </w:rPr>
        <w:t>marg</w:t>
      </w:r>
      <w:proofErr w:type="spellEnd"/>
      <w:r w:rsidRPr="002A76D8">
        <w:rPr>
          <w:rFonts w:ascii="Corbel" w:hAnsi="Corbel"/>
          <w:i/>
          <w:iCs/>
          <w:sz w:val="18"/>
          <w:szCs w:val="18"/>
          <w:lang w:val="de-CH"/>
        </w:rPr>
        <w:t xml:space="preserve">. 8. Nota: EXPERTsuisse </w:t>
      </w:r>
      <w:proofErr w:type="spellStart"/>
      <w:r w:rsidRPr="002A76D8">
        <w:rPr>
          <w:rFonts w:ascii="Corbel" w:hAnsi="Corbel"/>
          <w:i/>
          <w:iCs/>
          <w:sz w:val="18"/>
          <w:szCs w:val="18"/>
          <w:lang w:val="de-CH"/>
        </w:rPr>
        <w:t>richiede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inoltre</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obbligatoriamente</w:t>
      </w:r>
      <w:proofErr w:type="spellEnd"/>
      <w:r w:rsidRPr="002A76D8">
        <w:rPr>
          <w:rFonts w:ascii="Corbel" w:hAnsi="Corbel"/>
          <w:i/>
          <w:iCs/>
          <w:sz w:val="18"/>
          <w:szCs w:val="18"/>
          <w:lang w:val="de-CH"/>
        </w:rPr>
        <w:t xml:space="preserve"> ai </w:t>
      </w:r>
      <w:proofErr w:type="spellStart"/>
      <w:r w:rsidRPr="002A76D8">
        <w:rPr>
          <w:rFonts w:ascii="Corbel" w:hAnsi="Corbel"/>
          <w:i/>
          <w:iCs/>
          <w:sz w:val="18"/>
          <w:szCs w:val="18"/>
          <w:lang w:val="de-CH"/>
        </w:rPr>
        <w:t>propri</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membri</w:t>
      </w:r>
      <w:proofErr w:type="spellEnd"/>
      <w:r w:rsidRPr="002A76D8">
        <w:rPr>
          <w:rFonts w:ascii="Corbel" w:hAnsi="Corbel"/>
          <w:i/>
          <w:iCs/>
          <w:sz w:val="18"/>
          <w:szCs w:val="18"/>
          <w:lang w:val="de-CH"/>
        </w:rPr>
        <w:t xml:space="preserve"> </w:t>
      </w:r>
      <w:proofErr w:type="spellStart"/>
      <w:r w:rsidRPr="002A76D8">
        <w:rPr>
          <w:rFonts w:ascii="Corbel" w:hAnsi="Corbel"/>
          <w:i/>
          <w:iCs/>
          <w:sz w:val="18"/>
          <w:szCs w:val="18"/>
          <w:lang w:val="de-CH"/>
        </w:rPr>
        <w:t>l'applicazione</w:t>
      </w:r>
      <w:proofErr w:type="spellEnd"/>
      <w:r w:rsidRPr="002A76D8">
        <w:rPr>
          <w:rFonts w:ascii="Corbel" w:hAnsi="Corbel"/>
          <w:i/>
          <w:iCs/>
          <w:sz w:val="18"/>
          <w:szCs w:val="18"/>
          <w:lang w:val="de-CH"/>
        </w:rPr>
        <w:t xml:space="preserve"> delle norme ISQM-CH 1, ISQM-CH 2 e ISA-CH 220.</w:t>
      </w:r>
    </w:p>
  </w:footnote>
  <w:footnote w:id="2">
    <w:p w14:paraId="09686A5E" w14:textId="49F8D6C3" w:rsidR="00A23C6C" w:rsidRPr="00A23C6C" w:rsidRDefault="00A23C6C">
      <w:pPr>
        <w:pStyle w:val="Funotentext"/>
        <w:rPr>
          <w:lang w:val="de-CH"/>
        </w:rPr>
      </w:pPr>
      <w:r w:rsidRPr="00887708">
        <w:rPr>
          <w:rStyle w:val="Funotenzeichen"/>
          <w:rFonts w:ascii="Corbel" w:hAnsi="Corbel"/>
          <w:sz w:val="18"/>
          <w:szCs w:val="18"/>
        </w:rPr>
        <w:footnoteRef/>
      </w:r>
      <w:r w:rsidRPr="00887708">
        <w:rPr>
          <w:rFonts w:ascii="Corbel" w:hAnsi="Corbel"/>
          <w:i/>
          <w:iCs/>
          <w:sz w:val="18"/>
          <w:szCs w:val="18"/>
          <w:lang w:val="de-CH"/>
        </w:rPr>
        <w:t>L’ASR ritiene che l'Alternativa 2 non sia (più) al passo con i tempi. Qualora si decidesse comunque di mantenere questa alternativa, è indispensabile che i dati, una volta stampati, non possano più essere modificati, né ristampati né archiviati. Inoltre, i documenti stampati devono recare la data su tutte le pagine e devono essere vidimati dal revisore capo. L’ASR raccomanda tuttavia una soluzione esclusivamente elettronica.</w:t>
      </w:r>
    </w:p>
  </w:footnote>
  <w:footnote w:id="3">
    <w:p w14:paraId="18AD4FEC" w14:textId="77777777" w:rsidR="004D1BCD" w:rsidRPr="00887708" w:rsidRDefault="004D1BCD" w:rsidP="004D1BCD">
      <w:pPr>
        <w:pStyle w:val="Funotentext"/>
        <w:rPr>
          <w:rFonts w:ascii="Corbel" w:hAnsi="Corbel"/>
          <w:i/>
          <w:iCs/>
          <w:sz w:val="18"/>
          <w:szCs w:val="18"/>
          <w:lang w:val="de-CH"/>
        </w:rPr>
      </w:pPr>
      <w:r w:rsidRPr="00887708">
        <w:rPr>
          <w:rStyle w:val="Funotenzeichen"/>
          <w:rFonts w:ascii="Corbel" w:hAnsi="Corbel"/>
          <w:i/>
          <w:iCs/>
          <w:sz w:val="18"/>
          <w:szCs w:val="18"/>
        </w:rPr>
        <w:footnoteRef/>
      </w:r>
      <w:r w:rsidRPr="00887708">
        <w:rPr>
          <w:rFonts w:ascii="Corbel" w:hAnsi="Corbel"/>
          <w:i/>
          <w:iCs/>
          <w:sz w:val="18"/>
          <w:szCs w:val="18"/>
          <w:lang w:val="de-CH"/>
        </w:rPr>
        <w:t>Nota: le imprese di revisione che non fanno parte né di EXPERTsuisse né di FIDUCIARI|SUISSE devono garantire, conformemente alle disposizioni dell'ASR, che vengano soddisfatti i requisiti di perfezionamento di una delle due associazioni.</w:t>
      </w:r>
    </w:p>
  </w:footnote>
  <w:footnote w:id="4">
    <w:p w14:paraId="4BDFC63C" w14:textId="77777777" w:rsidR="004D1BCD" w:rsidRPr="00200D2B" w:rsidRDefault="004D1BCD" w:rsidP="004D1BCD">
      <w:pPr>
        <w:pStyle w:val="Funotentext"/>
        <w:rPr>
          <w:sz w:val="18"/>
          <w:szCs w:val="18"/>
          <w:lang w:val="de-CH"/>
        </w:rPr>
      </w:pPr>
      <w:r w:rsidRPr="00887708">
        <w:rPr>
          <w:rStyle w:val="Funotenzeichen"/>
          <w:rFonts w:ascii="Corbel" w:hAnsi="Corbel"/>
          <w:i/>
          <w:iCs/>
          <w:sz w:val="18"/>
          <w:szCs w:val="18"/>
        </w:rPr>
        <w:footnoteRef/>
      </w:r>
      <w:r w:rsidRPr="00887708">
        <w:rPr>
          <w:rFonts w:ascii="Corbel" w:hAnsi="Corbel"/>
          <w:i/>
          <w:iCs/>
          <w:sz w:val="18"/>
          <w:szCs w:val="18"/>
          <w:lang w:val="de-CH"/>
        </w:rPr>
        <w:t>Nota: l'adesione di imprese di revisione o di persone fisiche a un'associazione professionale non esonera l'impresa di revisione dall'obbligo di attuare un sistema di controllo interno e di documentare il perfezionamento.</w:t>
      </w:r>
    </w:p>
  </w:footnote>
  <w:footnote w:id="5">
    <w:p w14:paraId="46404B01" w14:textId="3B987D22" w:rsidR="004409DF" w:rsidRPr="004409DF" w:rsidRDefault="004409DF">
      <w:pPr>
        <w:pStyle w:val="Funotentext"/>
        <w:rPr>
          <w:lang w:val="de-CH"/>
        </w:rPr>
      </w:pPr>
      <w:r>
        <w:rPr>
          <w:rStyle w:val="Funotenzeichen"/>
        </w:rPr>
        <w:footnoteRef/>
      </w:r>
      <w:r w:rsidRPr="004409DF">
        <w:rPr>
          <w:lang w:val="de-CH"/>
        </w:rPr>
        <w:t>Un ciclo triennale di questo tipo è considerato una best practice anche nel settore delle PMI (si veda EXPERTsuisse, Schweizer Leitfaden zur Qualitätssicherung in der Wirtschaftsprüfung, Umsetzung von ISQC-CH 1 in KMU, edizione 2024, punto 6.1; disponibile in lingua tedesca).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CAF7" w14:textId="1FD6461E" w:rsidR="002E24D9" w:rsidRPr="00554C4C" w:rsidRDefault="00B33103">
    <w:pPr>
      <w:pStyle w:val="Kopfzeile"/>
      <w:rPr>
        <w:lang w:val="de-CH"/>
      </w:rPr>
    </w:pPr>
    <w:r>
      <w:rPr>
        <w:noProof/>
        <w:lang w:eastAsia="de-CH"/>
      </w:rPr>
      <w:drawing>
        <wp:anchor distT="0" distB="0" distL="114300" distR="114300" simplePos="0" relativeHeight="251664384" behindDoc="1" locked="0" layoutInCell="1" allowOverlap="1" wp14:anchorId="7A4CBBDF" wp14:editId="2DE8F7B1">
          <wp:simplePos x="0" y="0"/>
          <wp:positionH relativeFrom="column">
            <wp:posOffset>-946150</wp:posOffset>
          </wp:positionH>
          <wp:positionV relativeFrom="paragraph">
            <wp:posOffset>-457835</wp:posOffset>
          </wp:positionV>
          <wp:extent cx="7612142" cy="713105"/>
          <wp:effectExtent l="0" t="0" r="8255" b="0"/>
          <wp:wrapNone/>
          <wp:docPr id="2093686283" name="Grafik 2093686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12142" cy="713105"/>
                  </a:xfrm>
                  <a:prstGeom prst="rect">
                    <a:avLst/>
                  </a:prstGeom>
                </pic:spPr>
              </pic:pic>
            </a:graphicData>
          </a:graphic>
          <wp14:sizeRelH relativeFrom="margin">
            <wp14:pctWidth>0</wp14:pctWidth>
          </wp14:sizeRelH>
        </wp:anchor>
      </w:drawing>
    </w:r>
    <w:r>
      <w:rPr>
        <w:noProof/>
        <w:lang w:eastAsia="de-CH"/>
      </w:rPr>
      <w:drawing>
        <wp:anchor distT="0" distB="0" distL="114300" distR="114300" simplePos="0" relativeHeight="251662336" behindDoc="1" locked="0" layoutInCell="1" allowOverlap="1" wp14:anchorId="7F5DEAF6" wp14:editId="34BF0958">
          <wp:simplePos x="0" y="0"/>
          <wp:positionH relativeFrom="column">
            <wp:posOffset>-944880</wp:posOffset>
          </wp:positionH>
          <wp:positionV relativeFrom="paragraph">
            <wp:posOffset>-9735820</wp:posOffset>
          </wp:positionV>
          <wp:extent cx="7720092" cy="713105"/>
          <wp:effectExtent l="0" t="0" r="0" b="0"/>
          <wp:wrapNone/>
          <wp:docPr id="1524708639" name="Grafik 1524708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0092" cy="713105"/>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59AA" w14:textId="06BE18B5" w:rsidR="00A472C8" w:rsidRDefault="00B33103">
    <w:pPr>
      <w:pStyle w:val="Kopfzeile"/>
    </w:pPr>
    <w:r>
      <w:rPr>
        <w:noProof/>
        <w:lang w:eastAsia="de-CH"/>
      </w:rPr>
      <w:drawing>
        <wp:anchor distT="0" distB="0" distL="114300" distR="114300" simplePos="0" relativeHeight="251660288" behindDoc="1" locked="0" layoutInCell="1" allowOverlap="1" wp14:anchorId="45C686BC" wp14:editId="6E44DCC2">
          <wp:simplePos x="0" y="0"/>
          <wp:positionH relativeFrom="column">
            <wp:posOffset>-932180</wp:posOffset>
          </wp:positionH>
          <wp:positionV relativeFrom="paragraph">
            <wp:posOffset>-443828</wp:posOffset>
          </wp:positionV>
          <wp:extent cx="7612142" cy="713105"/>
          <wp:effectExtent l="0" t="0" r="825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12142" cy="71310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5162"/>
    <w:multiLevelType w:val="multilevel"/>
    <w:tmpl w:val="A7BA2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EF20B42"/>
    <w:multiLevelType w:val="multilevel"/>
    <w:tmpl w:val="C9FA2F0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56F7C68"/>
    <w:multiLevelType w:val="hybridMultilevel"/>
    <w:tmpl w:val="F21E04B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2DD16AE0"/>
    <w:multiLevelType w:val="hybridMultilevel"/>
    <w:tmpl w:val="3EA23A1E"/>
    <w:lvl w:ilvl="0" w:tplc="C3844D42">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2FC857AD"/>
    <w:multiLevelType w:val="hybridMultilevel"/>
    <w:tmpl w:val="EE607496"/>
    <w:lvl w:ilvl="0" w:tplc="7DA47534">
      <w:start w:val="1"/>
      <w:numFmt w:val="decimal"/>
      <w:pStyle w:val="berschrift2"/>
      <w:lvlText w:val="2.%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3F38059F"/>
    <w:multiLevelType w:val="multilevel"/>
    <w:tmpl w:val="987EA8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65152C5D"/>
    <w:multiLevelType w:val="hybridMultilevel"/>
    <w:tmpl w:val="D71E58E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69BA653B"/>
    <w:multiLevelType w:val="hybridMultilevel"/>
    <w:tmpl w:val="8D60185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907687312">
    <w:abstractNumId w:val="4"/>
  </w:num>
  <w:num w:numId="2" w16cid:durableId="289675814">
    <w:abstractNumId w:val="1"/>
  </w:num>
  <w:num w:numId="3" w16cid:durableId="1354452233">
    <w:abstractNumId w:val="3"/>
  </w:num>
  <w:num w:numId="4" w16cid:durableId="2136481826">
    <w:abstractNumId w:val="7"/>
  </w:num>
  <w:num w:numId="5" w16cid:durableId="919025694">
    <w:abstractNumId w:val="2"/>
  </w:num>
  <w:num w:numId="6" w16cid:durableId="1837382830">
    <w:abstractNumId w:val="0"/>
  </w:num>
  <w:num w:numId="7" w16cid:durableId="2019699537">
    <w:abstractNumId w:val="5"/>
  </w:num>
  <w:num w:numId="8" w16cid:durableId="184175549">
    <w:abstractNumId w:val="4"/>
  </w:num>
  <w:num w:numId="9" w16cid:durableId="219293703">
    <w:abstractNumId w:val="6"/>
  </w:num>
  <w:num w:numId="10" w16cid:durableId="1389569024">
    <w:abstractNumId w:val="4"/>
  </w:num>
  <w:num w:numId="11" w16cid:durableId="98453498">
    <w:abstractNumId w:val="4"/>
  </w:num>
  <w:num w:numId="12" w16cid:durableId="1246378625">
    <w:abstractNumId w:val="4"/>
  </w:num>
  <w:num w:numId="13" w16cid:durableId="1697389546">
    <w:abstractNumId w:val="4"/>
  </w:num>
  <w:num w:numId="14" w16cid:durableId="1524981415">
    <w:abstractNumId w:val="4"/>
  </w:num>
  <w:num w:numId="15" w16cid:durableId="2134128246">
    <w:abstractNumId w:val="4"/>
  </w:num>
  <w:num w:numId="16" w16cid:durableId="970482392">
    <w:abstractNumId w:val="4"/>
  </w:num>
  <w:num w:numId="17" w16cid:durableId="1289437852">
    <w:abstractNumId w:val="4"/>
  </w:num>
  <w:num w:numId="18" w16cid:durableId="1485733040">
    <w:abstractNumId w:val="4"/>
  </w:num>
  <w:num w:numId="19" w16cid:durableId="197606175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de-CH" w:vendorID="64" w:dllVersion="6" w:nlCheck="1" w:checkStyle="0"/>
  <w:activeWritingStyle w:appName="MSWord" w:lang="en-US" w:vendorID="64" w:dllVersion="6" w:nlCheck="1" w:checkStyle="1"/>
  <w:activeWritingStyle w:appName="MSWord" w:lang="de-DE" w:vendorID="64" w:dllVersion="6" w:nlCheck="1" w:checkStyle="1"/>
  <w:activeWritingStyle w:appName="MSWord" w:lang="de-AT" w:vendorID="64" w:dllVersion="6" w:nlCheck="1" w:checkStyle="1"/>
  <w:activeWritingStyle w:appName="MSWord" w:lang="fr-CH" w:vendorID="64" w:dllVersion="6" w:nlCheck="1" w:checkStyle="1"/>
  <w:activeWritingStyle w:appName="MSWord" w:lang="de-CH"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de-CH" w:vendorID="64" w:dllVersion="0" w:nlCheck="1" w:checkStyle="0"/>
  <w:activeWritingStyle w:appName="MSWord" w:lang="de-DE" w:vendorID="64" w:dllVersion="0" w:nlCheck="1" w:checkStyle="0"/>
  <w:activeWritingStyle w:appName="MSWord" w:lang="en-US" w:vendorID="64" w:dllVersion="0" w:nlCheck="1" w:checkStyle="0"/>
  <w:activeWritingStyle w:appName="MSWord" w:lang="it-CH" w:vendorID="64" w:dllVersion="0" w:nlCheck="1" w:checkStyle="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autoHyphenation/>
  <w:hyphenationZone w:val="17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0CE"/>
    <w:rsid w:val="00001F84"/>
    <w:rsid w:val="00003653"/>
    <w:rsid w:val="00004254"/>
    <w:rsid w:val="00004A96"/>
    <w:rsid w:val="00010850"/>
    <w:rsid w:val="00011458"/>
    <w:rsid w:val="00011B15"/>
    <w:rsid w:val="0001222F"/>
    <w:rsid w:val="00012A6F"/>
    <w:rsid w:val="00012B75"/>
    <w:rsid w:val="00013FBA"/>
    <w:rsid w:val="0002456B"/>
    <w:rsid w:val="000246ED"/>
    <w:rsid w:val="00024F59"/>
    <w:rsid w:val="00030BBC"/>
    <w:rsid w:val="000313CC"/>
    <w:rsid w:val="00034102"/>
    <w:rsid w:val="00034D71"/>
    <w:rsid w:val="00035464"/>
    <w:rsid w:val="000357B8"/>
    <w:rsid w:val="00036477"/>
    <w:rsid w:val="00036B61"/>
    <w:rsid w:val="00037257"/>
    <w:rsid w:val="00041410"/>
    <w:rsid w:val="00042A38"/>
    <w:rsid w:val="00043CB5"/>
    <w:rsid w:val="00044428"/>
    <w:rsid w:val="00050452"/>
    <w:rsid w:val="00053495"/>
    <w:rsid w:val="00053AF4"/>
    <w:rsid w:val="00053B10"/>
    <w:rsid w:val="00055D15"/>
    <w:rsid w:val="000600FF"/>
    <w:rsid w:val="0006218B"/>
    <w:rsid w:val="0006383D"/>
    <w:rsid w:val="00064D88"/>
    <w:rsid w:val="00071A5F"/>
    <w:rsid w:val="0007233F"/>
    <w:rsid w:val="00075825"/>
    <w:rsid w:val="000769F0"/>
    <w:rsid w:val="0007725C"/>
    <w:rsid w:val="00077629"/>
    <w:rsid w:val="00077C7C"/>
    <w:rsid w:val="00080F06"/>
    <w:rsid w:val="00086D22"/>
    <w:rsid w:val="000915D9"/>
    <w:rsid w:val="000A19BC"/>
    <w:rsid w:val="000A1A28"/>
    <w:rsid w:val="000A5F08"/>
    <w:rsid w:val="000B3524"/>
    <w:rsid w:val="000B3975"/>
    <w:rsid w:val="000B3F77"/>
    <w:rsid w:val="000C06F4"/>
    <w:rsid w:val="000C1766"/>
    <w:rsid w:val="000C2C63"/>
    <w:rsid w:val="000C455B"/>
    <w:rsid w:val="000D4375"/>
    <w:rsid w:val="000D6A0C"/>
    <w:rsid w:val="000E1E2C"/>
    <w:rsid w:val="000E356B"/>
    <w:rsid w:val="000E38BE"/>
    <w:rsid w:val="000E3E5D"/>
    <w:rsid w:val="000E49A2"/>
    <w:rsid w:val="000F1686"/>
    <w:rsid w:val="000F1A81"/>
    <w:rsid w:val="000F31AE"/>
    <w:rsid w:val="000F44FC"/>
    <w:rsid w:val="000F7292"/>
    <w:rsid w:val="00100676"/>
    <w:rsid w:val="001037D9"/>
    <w:rsid w:val="00103F2C"/>
    <w:rsid w:val="001046DD"/>
    <w:rsid w:val="00104CC8"/>
    <w:rsid w:val="00107783"/>
    <w:rsid w:val="0011032F"/>
    <w:rsid w:val="00111626"/>
    <w:rsid w:val="00111D5F"/>
    <w:rsid w:val="00114073"/>
    <w:rsid w:val="001165FD"/>
    <w:rsid w:val="00120F65"/>
    <w:rsid w:val="00121C33"/>
    <w:rsid w:val="0012235F"/>
    <w:rsid w:val="00123A2E"/>
    <w:rsid w:val="0012517B"/>
    <w:rsid w:val="00127762"/>
    <w:rsid w:val="00127E5B"/>
    <w:rsid w:val="00127FBF"/>
    <w:rsid w:val="0013015C"/>
    <w:rsid w:val="00130730"/>
    <w:rsid w:val="00130CD9"/>
    <w:rsid w:val="00131778"/>
    <w:rsid w:val="00131D14"/>
    <w:rsid w:val="00131D60"/>
    <w:rsid w:val="00136B39"/>
    <w:rsid w:val="0014014D"/>
    <w:rsid w:val="00141F43"/>
    <w:rsid w:val="00145484"/>
    <w:rsid w:val="00151137"/>
    <w:rsid w:val="00151ABB"/>
    <w:rsid w:val="001540B8"/>
    <w:rsid w:val="00160062"/>
    <w:rsid w:val="00160E34"/>
    <w:rsid w:val="001612A1"/>
    <w:rsid w:val="001617BB"/>
    <w:rsid w:val="001619F6"/>
    <w:rsid w:val="00164244"/>
    <w:rsid w:val="00167E2F"/>
    <w:rsid w:val="001706E0"/>
    <w:rsid w:val="0017227C"/>
    <w:rsid w:val="00172D4C"/>
    <w:rsid w:val="001737AB"/>
    <w:rsid w:val="00174AAA"/>
    <w:rsid w:val="00175F64"/>
    <w:rsid w:val="00180747"/>
    <w:rsid w:val="00181C82"/>
    <w:rsid w:val="0018765E"/>
    <w:rsid w:val="00193352"/>
    <w:rsid w:val="001A0E52"/>
    <w:rsid w:val="001A2C84"/>
    <w:rsid w:val="001A522D"/>
    <w:rsid w:val="001A74E7"/>
    <w:rsid w:val="001A78EB"/>
    <w:rsid w:val="001B299A"/>
    <w:rsid w:val="001B2BAA"/>
    <w:rsid w:val="001B3A4F"/>
    <w:rsid w:val="001B4555"/>
    <w:rsid w:val="001C4F1D"/>
    <w:rsid w:val="001C77DE"/>
    <w:rsid w:val="001C7C41"/>
    <w:rsid w:val="001D10C9"/>
    <w:rsid w:val="001D3B67"/>
    <w:rsid w:val="001D3D6C"/>
    <w:rsid w:val="001E210F"/>
    <w:rsid w:val="001E2CB4"/>
    <w:rsid w:val="001E4645"/>
    <w:rsid w:val="001E61F8"/>
    <w:rsid w:val="001F00CB"/>
    <w:rsid w:val="001F1773"/>
    <w:rsid w:val="001F3300"/>
    <w:rsid w:val="00200D2B"/>
    <w:rsid w:val="00201339"/>
    <w:rsid w:val="00202A33"/>
    <w:rsid w:val="00203F7F"/>
    <w:rsid w:val="00205157"/>
    <w:rsid w:val="00207272"/>
    <w:rsid w:val="00210617"/>
    <w:rsid w:val="00210F6F"/>
    <w:rsid w:val="002162AC"/>
    <w:rsid w:val="00216B1C"/>
    <w:rsid w:val="00220FE2"/>
    <w:rsid w:val="002215CD"/>
    <w:rsid w:val="00225975"/>
    <w:rsid w:val="00225A22"/>
    <w:rsid w:val="002272B7"/>
    <w:rsid w:val="00227F52"/>
    <w:rsid w:val="00231F06"/>
    <w:rsid w:val="002333DF"/>
    <w:rsid w:val="002340D2"/>
    <w:rsid w:val="00235779"/>
    <w:rsid w:val="00236176"/>
    <w:rsid w:val="00236478"/>
    <w:rsid w:val="00237890"/>
    <w:rsid w:val="00241921"/>
    <w:rsid w:val="00241D4F"/>
    <w:rsid w:val="00243BE1"/>
    <w:rsid w:val="00244D9F"/>
    <w:rsid w:val="0024634A"/>
    <w:rsid w:val="002502FB"/>
    <w:rsid w:val="00254E6E"/>
    <w:rsid w:val="00254FD2"/>
    <w:rsid w:val="00256F3B"/>
    <w:rsid w:val="00257C65"/>
    <w:rsid w:val="00261A11"/>
    <w:rsid w:val="0026266E"/>
    <w:rsid w:val="00263202"/>
    <w:rsid w:val="00263320"/>
    <w:rsid w:val="00265966"/>
    <w:rsid w:val="00266A71"/>
    <w:rsid w:val="00270C62"/>
    <w:rsid w:val="002714E2"/>
    <w:rsid w:val="00271A7F"/>
    <w:rsid w:val="00273D3B"/>
    <w:rsid w:val="00276807"/>
    <w:rsid w:val="00277696"/>
    <w:rsid w:val="00277826"/>
    <w:rsid w:val="0027792B"/>
    <w:rsid w:val="002801C9"/>
    <w:rsid w:val="002857E6"/>
    <w:rsid w:val="00285D45"/>
    <w:rsid w:val="00287DAF"/>
    <w:rsid w:val="00287E82"/>
    <w:rsid w:val="00290AC2"/>
    <w:rsid w:val="00291666"/>
    <w:rsid w:val="00291B48"/>
    <w:rsid w:val="00292196"/>
    <w:rsid w:val="0029229C"/>
    <w:rsid w:val="00293DAF"/>
    <w:rsid w:val="00296638"/>
    <w:rsid w:val="002979DB"/>
    <w:rsid w:val="002A02CE"/>
    <w:rsid w:val="002A0BBB"/>
    <w:rsid w:val="002A3F5D"/>
    <w:rsid w:val="002A4A97"/>
    <w:rsid w:val="002A5F49"/>
    <w:rsid w:val="002A62E0"/>
    <w:rsid w:val="002A67EC"/>
    <w:rsid w:val="002A76D8"/>
    <w:rsid w:val="002B1063"/>
    <w:rsid w:val="002C06D7"/>
    <w:rsid w:val="002C1722"/>
    <w:rsid w:val="002C2A1E"/>
    <w:rsid w:val="002C4F0B"/>
    <w:rsid w:val="002C5ADC"/>
    <w:rsid w:val="002C6557"/>
    <w:rsid w:val="002C6689"/>
    <w:rsid w:val="002D22EC"/>
    <w:rsid w:val="002D23E2"/>
    <w:rsid w:val="002D24DA"/>
    <w:rsid w:val="002D30B1"/>
    <w:rsid w:val="002D68B2"/>
    <w:rsid w:val="002E11D6"/>
    <w:rsid w:val="002E249B"/>
    <w:rsid w:val="002E24D9"/>
    <w:rsid w:val="002E4DC8"/>
    <w:rsid w:val="002E5296"/>
    <w:rsid w:val="002E6619"/>
    <w:rsid w:val="002E75AE"/>
    <w:rsid w:val="002F00D2"/>
    <w:rsid w:val="002F11F5"/>
    <w:rsid w:val="002F7CD2"/>
    <w:rsid w:val="003011B7"/>
    <w:rsid w:val="00301634"/>
    <w:rsid w:val="003017B8"/>
    <w:rsid w:val="00301C70"/>
    <w:rsid w:val="00304F10"/>
    <w:rsid w:val="00306495"/>
    <w:rsid w:val="00310393"/>
    <w:rsid w:val="00310C0A"/>
    <w:rsid w:val="00312F75"/>
    <w:rsid w:val="003147F5"/>
    <w:rsid w:val="00315449"/>
    <w:rsid w:val="0031585C"/>
    <w:rsid w:val="00315B12"/>
    <w:rsid w:val="00315F2E"/>
    <w:rsid w:val="00316A16"/>
    <w:rsid w:val="00317B98"/>
    <w:rsid w:val="003222A7"/>
    <w:rsid w:val="0032312D"/>
    <w:rsid w:val="003245C4"/>
    <w:rsid w:val="00324C51"/>
    <w:rsid w:val="00330089"/>
    <w:rsid w:val="003306C0"/>
    <w:rsid w:val="00330F59"/>
    <w:rsid w:val="0033135B"/>
    <w:rsid w:val="00331DBF"/>
    <w:rsid w:val="003373A3"/>
    <w:rsid w:val="00337EC7"/>
    <w:rsid w:val="003408BB"/>
    <w:rsid w:val="00340918"/>
    <w:rsid w:val="0034096B"/>
    <w:rsid w:val="00343EFA"/>
    <w:rsid w:val="003457E1"/>
    <w:rsid w:val="00345C23"/>
    <w:rsid w:val="003466AF"/>
    <w:rsid w:val="0035232B"/>
    <w:rsid w:val="00353414"/>
    <w:rsid w:val="0035498D"/>
    <w:rsid w:val="00354AA1"/>
    <w:rsid w:val="00356129"/>
    <w:rsid w:val="00362649"/>
    <w:rsid w:val="003638E7"/>
    <w:rsid w:val="00367AD1"/>
    <w:rsid w:val="00371F84"/>
    <w:rsid w:val="00372349"/>
    <w:rsid w:val="0037417B"/>
    <w:rsid w:val="00374B19"/>
    <w:rsid w:val="003755DD"/>
    <w:rsid w:val="0037671D"/>
    <w:rsid w:val="003774EF"/>
    <w:rsid w:val="00383620"/>
    <w:rsid w:val="00387052"/>
    <w:rsid w:val="0038771E"/>
    <w:rsid w:val="00391751"/>
    <w:rsid w:val="0039229C"/>
    <w:rsid w:val="003949D8"/>
    <w:rsid w:val="00395461"/>
    <w:rsid w:val="003A0FEA"/>
    <w:rsid w:val="003A171C"/>
    <w:rsid w:val="003A1AE8"/>
    <w:rsid w:val="003A25C3"/>
    <w:rsid w:val="003A2AC0"/>
    <w:rsid w:val="003A361B"/>
    <w:rsid w:val="003A43EA"/>
    <w:rsid w:val="003B031D"/>
    <w:rsid w:val="003B171C"/>
    <w:rsid w:val="003B2843"/>
    <w:rsid w:val="003B2BED"/>
    <w:rsid w:val="003B3A0C"/>
    <w:rsid w:val="003B41A6"/>
    <w:rsid w:val="003B6A1A"/>
    <w:rsid w:val="003C236E"/>
    <w:rsid w:val="003C35A5"/>
    <w:rsid w:val="003C3AD9"/>
    <w:rsid w:val="003C55FA"/>
    <w:rsid w:val="003C71A8"/>
    <w:rsid w:val="003C7391"/>
    <w:rsid w:val="003C7463"/>
    <w:rsid w:val="003C7A86"/>
    <w:rsid w:val="003C7D88"/>
    <w:rsid w:val="003D1A6E"/>
    <w:rsid w:val="003D1F34"/>
    <w:rsid w:val="003D23ED"/>
    <w:rsid w:val="003D2571"/>
    <w:rsid w:val="003D3BF9"/>
    <w:rsid w:val="003D3C77"/>
    <w:rsid w:val="003D3DE3"/>
    <w:rsid w:val="003D630C"/>
    <w:rsid w:val="003D78E0"/>
    <w:rsid w:val="003E0A4F"/>
    <w:rsid w:val="003E0A76"/>
    <w:rsid w:val="003E3AE3"/>
    <w:rsid w:val="003E74ED"/>
    <w:rsid w:val="003F0011"/>
    <w:rsid w:val="003F021F"/>
    <w:rsid w:val="003F08E5"/>
    <w:rsid w:val="003F1BE2"/>
    <w:rsid w:val="003F285E"/>
    <w:rsid w:val="003F32EC"/>
    <w:rsid w:val="003F61CF"/>
    <w:rsid w:val="004014F3"/>
    <w:rsid w:val="00402C6D"/>
    <w:rsid w:val="00403332"/>
    <w:rsid w:val="004049EF"/>
    <w:rsid w:val="00405293"/>
    <w:rsid w:val="004073F4"/>
    <w:rsid w:val="00410858"/>
    <w:rsid w:val="00414FFF"/>
    <w:rsid w:val="00416305"/>
    <w:rsid w:val="00416D02"/>
    <w:rsid w:val="00420C5F"/>
    <w:rsid w:val="00421811"/>
    <w:rsid w:val="00425217"/>
    <w:rsid w:val="004257C6"/>
    <w:rsid w:val="004261DF"/>
    <w:rsid w:val="004279E8"/>
    <w:rsid w:val="00431E5F"/>
    <w:rsid w:val="00436718"/>
    <w:rsid w:val="00440007"/>
    <w:rsid w:val="004409DF"/>
    <w:rsid w:val="00442748"/>
    <w:rsid w:val="00446A01"/>
    <w:rsid w:val="00447261"/>
    <w:rsid w:val="00450240"/>
    <w:rsid w:val="00456421"/>
    <w:rsid w:val="00456EA8"/>
    <w:rsid w:val="0046216D"/>
    <w:rsid w:val="00462F4F"/>
    <w:rsid w:val="00464174"/>
    <w:rsid w:val="0046587F"/>
    <w:rsid w:val="00466A4F"/>
    <w:rsid w:val="00467A05"/>
    <w:rsid w:val="00467BFD"/>
    <w:rsid w:val="00467D34"/>
    <w:rsid w:val="004704E0"/>
    <w:rsid w:val="00474050"/>
    <w:rsid w:val="00475D2A"/>
    <w:rsid w:val="00476509"/>
    <w:rsid w:val="004766C7"/>
    <w:rsid w:val="00476AC0"/>
    <w:rsid w:val="00476BB9"/>
    <w:rsid w:val="004804A3"/>
    <w:rsid w:val="00481024"/>
    <w:rsid w:val="00482D14"/>
    <w:rsid w:val="00483825"/>
    <w:rsid w:val="004841AF"/>
    <w:rsid w:val="0048465E"/>
    <w:rsid w:val="00485C14"/>
    <w:rsid w:val="00490941"/>
    <w:rsid w:val="004960F1"/>
    <w:rsid w:val="004974A3"/>
    <w:rsid w:val="00497A02"/>
    <w:rsid w:val="004A11A8"/>
    <w:rsid w:val="004A1521"/>
    <w:rsid w:val="004A3D51"/>
    <w:rsid w:val="004A4988"/>
    <w:rsid w:val="004A5E4D"/>
    <w:rsid w:val="004A69DE"/>
    <w:rsid w:val="004A74F2"/>
    <w:rsid w:val="004A7939"/>
    <w:rsid w:val="004B0523"/>
    <w:rsid w:val="004B0DC3"/>
    <w:rsid w:val="004B3AE2"/>
    <w:rsid w:val="004C0570"/>
    <w:rsid w:val="004C0A09"/>
    <w:rsid w:val="004C1832"/>
    <w:rsid w:val="004C1F1C"/>
    <w:rsid w:val="004C651E"/>
    <w:rsid w:val="004D0D9A"/>
    <w:rsid w:val="004D1A07"/>
    <w:rsid w:val="004D1BCD"/>
    <w:rsid w:val="004D3509"/>
    <w:rsid w:val="004D3EE1"/>
    <w:rsid w:val="004E23B0"/>
    <w:rsid w:val="004E2B80"/>
    <w:rsid w:val="004E36B9"/>
    <w:rsid w:val="004E5E22"/>
    <w:rsid w:val="004E6603"/>
    <w:rsid w:val="004E69E8"/>
    <w:rsid w:val="004F3524"/>
    <w:rsid w:val="004F6331"/>
    <w:rsid w:val="00503605"/>
    <w:rsid w:val="00504E58"/>
    <w:rsid w:val="00504E95"/>
    <w:rsid w:val="00506737"/>
    <w:rsid w:val="00507065"/>
    <w:rsid w:val="00507A10"/>
    <w:rsid w:val="005117BF"/>
    <w:rsid w:val="00512AD1"/>
    <w:rsid w:val="00513044"/>
    <w:rsid w:val="00515BB8"/>
    <w:rsid w:val="00520039"/>
    <w:rsid w:val="00520976"/>
    <w:rsid w:val="00520C6B"/>
    <w:rsid w:val="00522C28"/>
    <w:rsid w:val="00522C76"/>
    <w:rsid w:val="00526D64"/>
    <w:rsid w:val="00527CF8"/>
    <w:rsid w:val="00527DA5"/>
    <w:rsid w:val="00532CFF"/>
    <w:rsid w:val="00534566"/>
    <w:rsid w:val="00535747"/>
    <w:rsid w:val="005367DA"/>
    <w:rsid w:val="00537858"/>
    <w:rsid w:val="00537995"/>
    <w:rsid w:val="0054201D"/>
    <w:rsid w:val="0054247A"/>
    <w:rsid w:val="00543FD7"/>
    <w:rsid w:val="005467A2"/>
    <w:rsid w:val="00551E9E"/>
    <w:rsid w:val="00554016"/>
    <w:rsid w:val="00554C4C"/>
    <w:rsid w:val="00555719"/>
    <w:rsid w:val="0055675D"/>
    <w:rsid w:val="00557B45"/>
    <w:rsid w:val="005609DD"/>
    <w:rsid w:val="00560C18"/>
    <w:rsid w:val="0056171D"/>
    <w:rsid w:val="00563C12"/>
    <w:rsid w:val="00565902"/>
    <w:rsid w:val="005668E7"/>
    <w:rsid w:val="0057040A"/>
    <w:rsid w:val="00571298"/>
    <w:rsid w:val="00572625"/>
    <w:rsid w:val="00573AD0"/>
    <w:rsid w:val="00577CBB"/>
    <w:rsid w:val="005821B4"/>
    <w:rsid w:val="00582C87"/>
    <w:rsid w:val="00582F69"/>
    <w:rsid w:val="005832FB"/>
    <w:rsid w:val="005836F2"/>
    <w:rsid w:val="005837D1"/>
    <w:rsid w:val="00586C50"/>
    <w:rsid w:val="00586FEF"/>
    <w:rsid w:val="00590EFE"/>
    <w:rsid w:val="005913B8"/>
    <w:rsid w:val="00593F04"/>
    <w:rsid w:val="005946F0"/>
    <w:rsid w:val="005A2741"/>
    <w:rsid w:val="005A2756"/>
    <w:rsid w:val="005A660C"/>
    <w:rsid w:val="005A72DA"/>
    <w:rsid w:val="005A739C"/>
    <w:rsid w:val="005B34C9"/>
    <w:rsid w:val="005B3F3A"/>
    <w:rsid w:val="005B64ED"/>
    <w:rsid w:val="005B6B19"/>
    <w:rsid w:val="005B6E88"/>
    <w:rsid w:val="005C180D"/>
    <w:rsid w:val="005C1F01"/>
    <w:rsid w:val="005C3930"/>
    <w:rsid w:val="005C4161"/>
    <w:rsid w:val="005C5983"/>
    <w:rsid w:val="005D1818"/>
    <w:rsid w:val="005D1C76"/>
    <w:rsid w:val="005D240D"/>
    <w:rsid w:val="005D26EA"/>
    <w:rsid w:val="005D3374"/>
    <w:rsid w:val="005D510E"/>
    <w:rsid w:val="005E03D5"/>
    <w:rsid w:val="005E1D4E"/>
    <w:rsid w:val="005E2AE1"/>
    <w:rsid w:val="005E454B"/>
    <w:rsid w:val="005E5F4A"/>
    <w:rsid w:val="005E70EB"/>
    <w:rsid w:val="005E74E7"/>
    <w:rsid w:val="005E7A15"/>
    <w:rsid w:val="005E7ED1"/>
    <w:rsid w:val="005F37B3"/>
    <w:rsid w:val="005F554B"/>
    <w:rsid w:val="005F6E32"/>
    <w:rsid w:val="005F772C"/>
    <w:rsid w:val="00600EB8"/>
    <w:rsid w:val="00604B62"/>
    <w:rsid w:val="00622615"/>
    <w:rsid w:val="00622646"/>
    <w:rsid w:val="00631B46"/>
    <w:rsid w:val="006321EC"/>
    <w:rsid w:val="0063368C"/>
    <w:rsid w:val="006340B6"/>
    <w:rsid w:val="00634321"/>
    <w:rsid w:val="0063605D"/>
    <w:rsid w:val="00636BB1"/>
    <w:rsid w:val="006374B2"/>
    <w:rsid w:val="006412DE"/>
    <w:rsid w:val="00641DB4"/>
    <w:rsid w:val="00641FFA"/>
    <w:rsid w:val="006435DC"/>
    <w:rsid w:val="00646002"/>
    <w:rsid w:val="006501EE"/>
    <w:rsid w:val="00650448"/>
    <w:rsid w:val="00650F22"/>
    <w:rsid w:val="00653D29"/>
    <w:rsid w:val="00654A4C"/>
    <w:rsid w:val="0065754D"/>
    <w:rsid w:val="00662F18"/>
    <w:rsid w:val="006633C4"/>
    <w:rsid w:val="00666AD4"/>
    <w:rsid w:val="00667507"/>
    <w:rsid w:val="00670E00"/>
    <w:rsid w:val="006737F9"/>
    <w:rsid w:val="0067493E"/>
    <w:rsid w:val="00675AD5"/>
    <w:rsid w:val="006762DC"/>
    <w:rsid w:val="00677CE1"/>
    <w:rsid w:val="00682374"/>
    <w:rsid w:val="00683D2F"/>
    <w:rsid w:val="00683DDF"/>
    <w:rsid w:val="00685E19"/>
    <w:rsid w:val="00687DF0"/>
    <w:rsid w:val="006904D4"/>
    <w:rsid w:val="00690BEB"/>
    <w:rsid w:val="00690C8A"/>
    <w:rsid w:val="00690DC1"/>
    <w:rsid w:val="006928F7"/>
    <w:rsid w:val="006971DF"/>
    <w:rsid w:val="006A02A5"/>
    <w:rsid w:val="006A10BC"/>
    <w:rsid w:val="006A1D56"/>
    <w:rsid w:val="006A221F"/>
    <w:rsid w:val="006A3AD1"/>
    <w:rsid w:val="006A3F3C"/>
    <w:rsid w:val="006A4800"/>
    <w:rsid w:val="006A58B9"/>
    <w:rsid w:val="006A6723"/>
    <w:rsid w:val="006B202B"/>
    <w:rsid w:val="006B2523"/>
    <w:rsid w:val="006B2F23"/>
    <w:rsid w:val="006B51FD"/>
    <w:rsid w:val="006B7F13"/>
    <w:rsid w:val="006C1D43"/>
    <w:rsid w:val="006C256E"/>
    <w:rsid w:val="006C2968"/>
    <w:rsid w:val="006C4E25"/>
    <w:rsid w:val="006C5B2F"/>
    <w:rsid w:val="006C75E4"/>
    <w:rsid w:val="006C7B64"/>
    <w:rsid w:val="006D228E"/>
    <w:rsid w:val="006D2937"/>
    <w:rsid w:val="006D3A72"/>
    <w:rsid w:val="006D4C29"/>
    <w:rsid w:val="006D4D72"/>
    <w:rsid w:val="006D6EDD"/>
    <w:rsid w:val="006D7592"/>
    <w:rsid w:val="006E0C1A"/>
    <w:rsid w:val="006E1E62"/>
    <w:rsid w:val="006E2093"/>
    <w:rsid w:val="006E2385"/>
    <w:rsid w:val="006E3A15"/>
    <w:rsid w:val="006E4F5E"/>
    <w:rsid w:val="006E727B"/>
    <w:rsid w:val="006F1F38"/>
    <w:rsid w:val="006F24A4"/>
    <w:rsid w:val="006F2541"/>
    <w:rsid w:val="006F27A1"/>
    <w:rsid w:val="006F2A8A"/>
    <w:rsid w:val="006F3B8E"/>
    <w:rsid w:val="006F49B4"/>
    <w:rsid w:val="006F53AE"/>
    <w:rsid w:val="0070017F"/>
    <w:rsid w:val="007005F1"/>
    <w:rsid w:val="00700D1A"/>
    <w:rsid w:val="00701AA6"/>
    <w:rsid w:val="00701CA3"/>
    <w:rsid w:val="0070314B"/>
    <w:rsid w:val="0070722E"/>
    <w:rsid w:val="0071106F"/>
    <w:rsid w:val="00716964"/>
    <w:rsid w:val="00716E95"/>
    <w:rsid w:val="0072149F"/>
    <w:rsid w:val="007249A3"/>
    <w:rsid w:val="00724A2D"/>
    <w:rsid w:val="00726372"/>
    <w:rsid w:val="007354A6"/>
    <w:rsid w:val="00736F64"/>
    <w:rsid w:val="00737E91"/>
    <w:rsid w:val="00737EDF"/>
    <w:rsid w:val="00740858"/>
    <w:rsid w:val="00740B50"/>
    <w:rsid w:val="00742E72"/>
    <w:rsid w:val="00747239"/>
    <w:rsid w:val="00747931"/>
    <w:rsid w:val="00750CCD"/>
    <w:rsid w:val="0075335E"/>
    <w:rsid w:val="00753AA0"/>
    <w:rsid w:val="007544DC"/>
    <w:rsid w:val="007560A0"/>
    <w:rsid w:val="00756487"/>
    <w:rsid w:val="007572E1"/>
    <w:rsid w:val="007579D1"/>
    <w:rsid w:val="007600F1"/>
    <w:rsid w:val="00762A5C"/>
    <w:rsid w:val="007633DD"/>
    <w:rsid w:val="00763648"/>
    <w:rsid w:val="007642BA"/>
    <w:rsid w:val="00764E82"/>
    <w:rsid w:val="007651EC"/>
    <w:rsid w:val="00767D90"/>
    <w:rsid w:val="007703AD"/>
    <w:rsid w:val="007707AB"/>
    <w:rsid w:val="00772D35"/>
    <w:rsid w:val="00773735"/>
    <w:rsid w:val="007738E6"/>
    <w:rsid w:val="0077451B"/>
    <w:rsid w:val="00775052"/>
    <w:rsid w:val="007755B9"/>
    <w:rsid w:val="00775F28"/>
    <w:rsid w:val="00776A92"/>
    <w:rsid w:val="00781137"/>
    <w:rsid w:val="007821B5"/>
    <w:rsid w:val="00783548"/>
    <w:rsid w:val="00784835"/>
    <w:rsid w:val="00786DDD"/>
    <w:rsid w:val="00786EA6"/>
    <w:rsid w:val="00787449"/>
    <w:rsid w:val="007874D8"/>
    <w:rsid w:val="0079021B"/>
    <w:rsid w:val="00790AA0"/>
    <w:rsid w:val="00791131"/>
    <w:rsid w:val="007922EA"/>
    <w:rsid w:val="0079301E"/>
    <w:rsid w:val="00793A44"/>
    <w:rsid w:val="0079629B"/>
    <w:rsid w:val="0079664B"/>
    <w:rsid w:val="0079725C"/>
    <w:rsid w:val="007A2165"/>
    <w:rsid w:val="007A38A7"/>
    <w:rsid w:val="007A4EFF"/>
    <w:rsid w:val="007A513C"/>
    <w:rsid w:val="007A7887"/>
    <w:rsid w:val="007A7C30"/>
    <w:rsid w:val="007B18CA"/>
    <w:rsid w:val="007B2B74"/>
    <w:rsid w:val="007B2C55"/>
    <w:rsid w:val="007B4F0D"/>
    <w:rsid w:val="007C173E"/>
    <w:rsid w:val="007C25DE"/>
    <w:rsid w:val="007C477E"/>
    <w:rsid w:val="007C4EF6"/>
    <w:rsid w:val="007D0825"/>
    <w:rsid w:val="007D282A"/>
    <w:rsid w:val="007D4F22"/>
    <w:rsid w:val="007D4FD6"/>
    <w:rsid w:val="007D5A4D"/>
    <w:rsid w:val="007D7BB0"/>
    <w:rsid w:val="007E3E10"/>
    <w:rsid w:val="007E6680"/>
    <w:rsid w:val="007E7063"/>
    <w:rsid w:val="007E708B"/>
    <w:rsid w:val="007E7EAA"/>
    <w:rsid w:val="007F0AA8"/>
    <w:rsid w:val="007F0CBA"/>
    <w:rsid w:val="007F0D2D"/>
    <w:rsid w:val="007F1A1C"/>
    <w:rsid w:val="007F299C"/>
    <w:rsid w:val="008012C8"/>
    <w:rsid w:val="008031DE"/>
    <w:rsid w:val="00805416"/>
    <w:rsid w:val="00806BC1"/>
    <w:rsid w:val="00807422"/>
    <w:rsid w:val="008075EC"/>
    <w:rsid w:val="00807717"/>
    <w:rsid w:val="00811BDD"/>
    <w:rsid w:val="00812B8C"/>
    <w:rsid w:val="008144A4"/>
    <w:rsid w:val="00814548"/>
    <w:rsid w:val="00814B3E"/>
    <w:rsid w:val="00816C88"/>
    <w:rsid w:val="0081795D"/>
    <w:rsid w:val="0082098F"/>
    <w:rsid w:val="00821A8A"/>
    <w:rsid w:val="0082239D"/>
    <w:rsid w:val="00824A42"/>
    <w:rsid w:val="008259F1"/>
    <w:rsid w:val="008263E8"/>
    <w:rsid w:val="0082764C"/>
    <w:rsid w:val="00831A3E"/>
    <w:rsid w:val="00833BD2"/>
    <w:rsid w:val="00840CF9"/>
    <w:rsid w:val="008413C3"/>
    <w:rsid w:val="00843224"/>
    <w:rsid w:val="008434AB"/>
    <w:rsid w:val="0084441F"/>
    <w:rsid w:val="00846BFB"/>
    <w:rsid w:val="00847ABB"/>
    <w:rsid w:val="008537A1"/>
    <w:rsid w:val="00856F03"/>
    <w:rsid w:val="00857701"/>
    <w:rsid w:val="00864CC4"/>
    <w:rsid w:val="00865E37"/>
    <w:rsid w:val="00871A58"/>
    <w:rsid w:val="00872E5B"/>
    <w:rsid w:val="00872F27"/>
    <w:rsid w:val="00873CAD"/>
    <w:rsid w:val="00875134"/>
    <w:rsid w:val="00875527"/>
    <w:rsid w:val="00877CA6"/>
    <w:rsid w:val="00882843"/>
    <w:rsid w:val="00882E18"/>
    <w:rsid w:val="00884190"/>
    <w:rsid w:val="00884C22"/>
    <w:rsid w:val="00887602"/>
    <w:rsid w:val="00887708"/>
    <w:rsid w:val="00887881"/>
    <w:rsid w:val="00892AB1"/>
    <w:rsid w:val="00892AF3"/>
    <w:rsid w:val="00895EB9"/>
    <w:rsid w:val="00896E63"/>
    <w:rsid w:val="008A48F9"/>
    <w:rsid w:val="008A6506"/>
    <w:rsid w:val="008A6650"/>
    <w:rsid w:val="008A6FF0"/>
    <w:rsid w:val="008A7C2A"/>
    <w:rsid w:val="008B0460"/>
    <w:rsid w:val="008B32E4"/>
    <w:rsid w:val="008C0CD6"/>
    <w:rsid w:val="008C17FA"/>
    <w:rsid w:val="008C2EBD"/>
    <w:rsid w:val="008C42AD"/>
    <w:rsid w:val="008C5388"/>
    <w:rsid w:val="008C5DDF"/>
    <w:rsid w:val="008C6269"/>
    <w:rsid w:val="008D1D40"/>
    <w:rsid w:val="008D27A5"/>
    <w:rsid w:val="008D7BB1"/>
    <w:rsid w:val="008E08C1"/>
    <w:rsid w:val="008E0A66"/>
    <w:rsid w:val="008E0C35"/>
    <w:rsid w:val="008E138A"/>
    <w:rsid w:val="008E19F4"/>
    <w:rsid w:val="008E411D"/>
    <w:rsid w:val="008E5B1C"/>
    <w:rsid w:val="008E6FC8"/>
    <w:rsid w:val="008F0910"/>
    <w:rsid w:val="008F0AD3"/>
    <w:rsid w:val="008F2282"/>
    <w:rsid w:val="008F2C7A"/>
    <w:rsid w:val="008F5459"/>
    <w:rsid w:val="008F778A"/>
    <w:rsid w:val="008F7E74"/>
    <w:rsid w:val="00901918"/>
    <w:rsid w:val="009042A7"/>
    <w:rsid w:val="00904826"/>
    <w:rsid w:val="00904F8A"/>
    <w:rsid w:val="009067B6"/>
    <w:rsid w:val="00906AF6"/>
    <w:rsid w:val="0091496A"/>
    <w:rsid w:val="00915015"/>
    <w:rsid w:val="0091741A"/>
    <w:rsid w:val="0092115C"/>
    <w:rsid w:val="009319A0"/>
    <w:rsid w:val="00933096"/>
    <w:rsid w:val="00934F1C"/>
    <w:rsid w:val="009355F3"/>
    <w:rsid w:val="009361F1"/>
    <w:rsid w:val="009377B3"/>
    <w:rsid w:val="00940FC2"/>
    <w:rsid w:val="00941E51"/>
    <w:rsid w:val="00943197"/>
    <w:rsid w:val="009435E5"/>
    <w:rsid w:val="00944204"/>
    <w:rsid w:val="00945682"/>
    <w:rsid w:val="00950A5D"/>
    <w:rsid w:val="00950B81"/>
    <w:rsid w:val="009519A2"/>
    <w:rsid w:val="00953C14"/>
    <w:rsid w:val="009545F1"/>
    <w:rsid w:val="009546F0"/>
    <w:rsid w:val="0095487F"/>
    <w:rsid w:val="00956D9B"/>
    <w:rsid w:val="00956EB5"/>
    <w:rsid w:val="009604F0"/>
    <w:rsid w:val="009605BD"/>
    <w:rsid w:val="00961511"/>
    <w:rsid w:val="00962D05"/>
    <w:rsid w:val="00964326"/>
    <w:rsid w:val="00965A32"/>
    <w:rsid w:val="00965BD4"/>
    <w:rsid w:val="00966000"/>
    <w:rsid w:val="00967F6C"/>
    <w:rsid w:val="00970942"/>
    <w:rsid w:val="00971063"/>
    <w:rsid w:val="00975210"/>
    <w:rsid w:val="00975A2C"/>
    <w:rsid w:val="00976684"/>
    <w:rsid w:val="00976E5D"/>
    <w:rsid w:val="00977F13"/>
    <w:rsid w:val="0098054E"/>
    <w:rsid w:val="00981D73"/>
    <w:rsid w:val="00983A82"/>
    <w:rsid w:val="00984F3A"/>
    <w:rsid w:val="00987E37"/>
    <w:rsid w:val="009900B7"/>
    <w:rsid w:val="00990EC3"/>
    <w:rsid w:val="00992017"/>
    <w:rsid w:val="0099468E"/>
    <w:rsid w:val="00994987"/>
    <w:rsid w:val="00996011"/>
    <w:rsid w:val="009A0A05"/>
    <w:rsid w:val="009A2E92"/>
    <w:rsid w:val="009A3BD5"/>
    <w:rsid w:val="009A3FB5"/>
    <w:rsid w:val="009A46AC"/>
    <w:rsid w:val="009A4764"/>
    <w:rsid w:val="009A693A"/>
    <w:rsid w:val="009A76D4"/>
    <w:rsid w:val="009B1B54"/>
    <w:rsid w:val="009B370B"/>
    <w:rsid w:val="009B6D0F"/>
    <w:rsid w:val="009B6E13"/>
    <w:rsid w:val="009C2326"/>
    <w:rsid w:val="009C3F6B"/>
    <w:rsid w:val="009D04A1"/>
    <w:rsid w:val="009D07D8"/>
    <w:rsid w:val="009D3F9C"/>
    <w:rsid w:val="009D44FC"/>
    <w:rsid w:val="009D4905"/>
    <w:rsid w:val="009D54EB"/>
    <w:rsid w:val="009E3C93"/>
    <w:rsid w:val="009E5730"/>
    <w:rsid w:val="009E6139"/>
    <w:rsid w:val="009E7DC5"/>
    <w:rsid w:val="009F1891"/>
    <w:rsid w:val="009F317C"/>
    <w:rsid w:val="009F47D1"/>
    <w:rsid w:val="009F7631"/>
    <w:rsid w:val="00A05C39"/>
    <w:rsid w:val="00A06A54"/>
    <w:rsid w:val="00A06B25"/>
    <w:rsid w:val="00A06E3E"/>
    <w:rsid w:val="00A076A5"/>
    <w:rsid w:val="00A201A9"/>
    <w:rsid w:val="00A20B1E"/>
    <w:rsid w:val="00A23C6C"/>
    <w:rsid w:val="00A24128"/>
    <w:rsid w:val="00A30783"/>
    <w:rsid w:val="00A30855"/>
    <w:rsid w:val="00A30DAF"/>
    <w:rsid w:val="00A32617"/>
    <w:rsid w:val="00A35963"/>
    <w:rsid w:val="00A37A8B"/>
    <w:rsid w:val="00A40E56"/>
    <w:rsid w:val="00A42548"/>
    <w:rsid w:val="00A42BCE"/>
    <w:rsid w:val="00A4351C"/>
    <w:rsid w:val="00A4549C"/>
    <w:rsid w:val="00A45954"/>
    <w:rsid w:val="00A45D3E"/>
    <w:rsid w:val="00A472C8"/>
    <w:rsid w:val="00A47E54"/>
    <w:rsid w:val="00A5074E"/>
    <w:rsid w:val="00A53022"/>
    <w:rsid w:val="00A542E9"/>
    <w:rsid w:val="00A55712"/>
    <w:rsid w:val="00A56148"/>
    <w:rsid w:val="00A6050A"/>
    <w:rsid w:val="00A623C3"/>
    <w:rsid w:val="00A6257C"/>
    <w:rsid w:val="00A63BA8"/>
    <w:rsid w:val="00A65B66"/>
    <w:rsid w:val="00A66AAE"/>
    <w:rsid w:val="00A66E74"/>
    <w:rsid w:val="00A677DD"/>
    <w:rsid w:val="00A70974"/>
    <w:rsid w:val="00A73DA9"/>
    <w:rsid w:val="00A7516A"/>
    <w:rsid w:val="00A76C68"/>
    <w:rsid w:val="00A773AC"/>
    <w:rsid w:val="00A818C2"/>
    <w:rsid w:val="00A83266"/>
    <w:rsid w:val="00A84888"/>
    <w:rsid w:val="00A8567E"/>
    <w:rsid w:val="00A8631A"/>
    <w:rsid w:val="00A87CE8"/>
    <w:rsid w:val="00A9006B"/>
    <w:rsid w:val="00A90B21"/>
    <w:rsid w:val="00A913DF"/>
    <w:rsid w:val="00A92D98"/>
    <w:rsid w:val="00A93380"/>
    <w:rsid w:val="00A93B8C"/>
    <w:rsid w:val="00A94F37"/>
    <w:rsid w:val="00AA06A0"/>
    <w:rsid w:val="00AA085D"/>
    <w:rsid w:val="00AA0BCF"/>
    <w:rsid w:val="00AA0FCC"/>
    <w:rsid w:val="00AA1778"/>
    <w:rsid w:val="00AA1D5C"/>
    <w:rsid w:val="00AA3C12"/>
    <w:rsid w:val="00AA4A81"/>
    <w:rsid w:val="00AA5E22"/>
    <w:rsid w:val="00AA665E"/>
    <w:rsid w:val="00AA66E9"/>
    <w:rsid w:val="00AA72A9"/>
    <w:rsid w:val="00AB0B6E"/>
    <w:rsid w:val="00AB0D80"/>
    <w:rsid w:val="00AB6FFC"/>
    <w:rsid w:val="00AC1945"/>
    <w:rsid w:val="00AC3BB5"/>
    <w:rsid w:val="00AC4827"/>
    <w:rsid w:val="00AC5692"/>
    <w:rsid w:val="00AC6FAE"/>
    <w:rsid w:val="00AD00E6"/>
    <w:rsid w:val="00AD1FFD"/>
    <w:rsid w:val="00AD25F4"/>
    <w:rsid w:val="00AD2E89"/>
    <w:rsid w:val="00AE11A8"/>
    <w:rsid w:val="00AE74BB"/>
    <w:rsid w:val="00AF32E5"/>
    <w:rsid w:val="00AF62E3"/>
    <w:rsid w:val="00AF65AA"/>
    <w:rsid w:val="00B002F0"/>
    <w:rsid w:val="00B0288C"/>
    <w:rsid w:val="00B03FAA"/>
    <w:rsid w:val="00B04595"/>
    <w:rsid w:val="00B04E18"/>
    <w:rsid w:val="00B05948"/>
    <w:rsid w:val="00B06220"/>
    <w:rsid w:val="00B07410"/>
    <w:rsid w:val="00B105A1"/>
    <w:rsid w:val="00B11A11"/>
    <w:rsid w:val="00B131BF"/>
    <w:rsid w:val="00B1426C"/>
    <w:rsid w:val="00B14A17"/>
    <w:rsid w:val="00B14D5D"/>
    <w:rsid w:val="00B1503C"/>
    <w:rsid w:val="00B1584D"/>
    <w:rsid w:val="00B16518"/>
    <w:rsid w:val="00B167F8"/>
    <w:rsid w:val="00B175FA"/>
    <w:rsid w:val="00B206AB"/>
    <w:rsid w:val="00B208A8"/>
    <w:rsid w:val="00B20B77"/>
    <w:rsid w:val="00B21912"/>
    <w:rsid w:val="00B21D3C"/>
    <w:rsid w:val="00B2318C"/>
    <w:rsid w:val="00B23259"/>
    <w:rsid w:val="00B23E5F"/>
    <w:rsid w:val="00B24DE8"/>
    <w:rsid w:val="00B30006"/>
    <w:rsid w:val="00B33103"/>
    <w:rsid w:val="00B37E91"/>
    <w:rsid w:val="00B40785"/>
    <w:rsid w:val="00B42745"/>
    <w:rsid w:val="00B44C3C"/>
    <w:rsid w:val="00B46153"/>
    <w:rsid w:val="00B51C23"/>
    <w:rsid w:val="00B54351"/>
    <w:rsid w:val="00B55012"/>
    <w:rsid w:val="00B60916"/>
    <w:rsid w:val="00B60E30"/>
    <w:rsid w:val="00B63903"/>
    <w:rsid w:val="00B6423E"/>
    <w:rsid w:val="00B64C97"/>
    <w:rsid w:val="00B65962"/>
    <w:rsid w:val="00B66AEC"/>
    <w:rsid w:val="00B7180D"/>
    <w:rsid w:val="00B72062"/>
    <w:rsid w:val="00B73539"/>
    <w:rsid w:val="00B73EF6"/>
    <w:rsid w:val="00B76E70"/>
    <w:rsid w:val="00B775B9"/>
    <w:rsid w:val="00B82FE3"/>
    <w:rsid w:val="00B835F9"/>
    <w:rsid w:val="00B841E7"/>
    <w:rsid w:val="00B91FC3"/>
    <w:rsid w:val="00B93F48"/>
    <w:rsid w:val="00B95DCB"/>
    <w:rsid w:val="00BA17CC"/>
    <w:rsid w:val="00BA1EA0"/>
    <w:rsid w:val="00BA2F6A"/>
    <w:rsid w:val="00BA3997"/>
    <w:rsid w:val="00BA3C3C"/>
    <w:rsid w:val="00BA3C94"/>
    <w:rsid w:val="00BA5AAA"/>
    <w:rsid w:val="00BB23E5"/>
    <w:rsid w:val="00BB5CDF"/>
    <w:rsid w:val="00BB62AF"/>
    <w:rsid w:val="00BC0D68"/>
    <w:rsid w:val="00BC1BC2"/>
    <w:rsid w:val="00BC2261"/>
    <w:rsid w:val="00BC24B5"/>
    <w:rsid w:val="00BC50FA"/>
    <w:rsid w:val="00BC78AA"/>
    <w:rsid w:val="00BD0152"/>
    <w:rsid w:val="00BD0B4B"/>
    <w:rsid w:val="00BD0E89"/>
    <w:rsid w:val="00BD382F"/>
    <w:rsid w:val="00BD5575"/>
    <w:rsid w:val="00BD7A1D"/>
    <w:rsid w:val="00BE1278"/>
    <w:rsid w:val="00BE3584"/>
    <w:rsid w:val="00BE51E1"/>
    <w:rsid w:val="00BE676C"/>
    <w:rsid w:val="00BF2819"/>
    <w:rsid w:val="00BF3278"/>
    <w:rsid w:val="00BF4DF0"/>
    <w:rsid w:val="00BF4FC3"/>
    <w:rsid w:val="00C0296F"/>
    <w:rsid w:val="00C03CBD"/>
    <w:rsid w:val="00C050B9"/>
    <w:rsid w:val="00C05B1C"/>
    <w:rsid w:val="00C067F5"/>
    <w:rsid w:val="00C17FDE"/>
    <w:rsid w:val="00C22A03"/>
    <w:rsid w:val="00C22E78"/>
    <w:rsid w:val="00C242D7"/>
    <w:rsid w:val="00C25337"/>
    <w:rsid w:val="00C26180"/>
    <w:rsid w:val="00C2618C"/>
    <w:rsid w:val="00C309F6"/>
    <w:rsid w:val="00C30AC2"/>
    <w:rsid w:val="00C321B3"/>
    <w:rsid w:val="00C340BB"/>
    <w:rsid w:val="00C344BB"/>
    <w:rsid w:val="00C3652A"/>
    <w:rsid w:val="00C379F6"/>
    <w:rsid w:val="00C4157B"/>
    <w:rsid w:val="00C416DB"/>
    <w:rsid w:val="00C422DF"/>
    <w:rsid w:val="00C43000"/>
    <w:rsid w:val="00C452A4"/>
    <w:rsid w:val="00C46212"/>
    <w:rsid w:val="00C55CF3"/>
    <w:rsid w:val="00C60E6B"/>
    <w:rsid w:val="00C6576E"/>
    <w:rsid w:val="00C66EAA"/>
    <w:rsid w:val="00C67C33"/>
    <w:rsid w:val="00C7084F"/>
    <w:rsid w:val="00C71678"/>
    <w:rsid w:val="00C73197"/>
    <w:rsid w:val="00C741F7"/>
    <w:rsid w:val="00C750DA"/>
    <w:rsid w:val="00C76687"/>
    <w:rsid w:val="00C76F7E"/>
    <w:rsid w:val="00C7714A"/>
    <w:rsid w:val="00C817DA"/>
    <w:rsid w:val="00C823CC"/>
    <w:rsid w:val="00C86B36"/>
    <w:rsid w:val="00C876F1"/>
    <w:rsid w:val="00C8777B"/>
    <w:rsid w:val="00C90D4D"/>
    <w:rsid w:val="00C916B1"/>
    <w:rsid w:val="00C93302"/>
    <w:rsid w:val="00C93E1D"/>
    <w:rsid w:val="00C95B0B"/>
    <w:rsid w:val="00C95C5E"/>
    <w:rsid w:val="00CA254A"/>
    <w:rsid w:val="00CA361C"/>
    <w:rsid w:val="00CA407A"/>
    <w:rsid w:val="00CA5566"/>
    <w:rsid w:val="00CB0808"/>
    <w:rsid w:val="00CB3282"/>
    <w:rsid w:val="00CB3335"/>
    <w:rsid w:val="00CB3E9B"/>
    <w:rsid w:val="00CB428F"/>
    <w:rsid w:val="00CB4942"/>
    <w:rsid w:val="00CC5B87"/>
    <w:rsid w:val="00CD17CA"/>
    <w:rsid w:val="00CD4776"/>
    <w:rsid w:val="00CE1310"/>
    <w:rsid w:val="00CE1431"/>
    <w:rsid w:val="00CE54AA"/>
    <w:rsid w:val="00CE56B4"/>
    <w:rsid w:val="00CE6FA6"/>
    <w:rsid w:val="00CE70CB"/>
    <w:rsid w:val="00CF1EA9"/>
    <w:rsid w:val="00CF33E2"/>
    <w:rsid w:val="00CF4276"/>
    <w:rsid w:val="00CF43CC"/>
    <w:rsid w:val="00CF5CA6"/>
    <w:rsid w:val="00CF605B"/>
    <w:rsid w:val="00CF6FE4"/>
    <w:rsid w:val="00CF7470"/>
    <w:rsid w:val="00CF76D7"/>
    <w:rsid w:val="00D01196"/>
    <w:rsid w:val="00D01A64"/>
    <w:rsid w:val="00D02309"/>
    <w:rsid w:val="00D03503"/>
    <w:rsid w:val="00D0453F"/>
    <w:rsid w:val="00D06C96"/>
    <w:rsid w:val="00D07082"/>
    <w:rsid w:val="00D070AF"/>
    <w:rsid w:val="00D0792E"/>
    <w:rsid w:val="00D10846"/>
    <w:rsid w:val="00D11161"/>
    <w:rsid w:val="00D11931"/>
    <w:rsid w:val="00D120A5"/>
    <w:rsid w:val="00D12923"/>
    <w:rsid w:val="00D12F3F"/>
    <w:rsid w:val="00D13D49"/>
    <w:rsid w:val="00D1427B"/>
    <w:rsid w:val="00D15E6F"/>
    <w:rsid w:val="00D200B8"/>
    <w:rsid w:val="00D21686"/>
    <w:rsid w:val="00D23DDF"/>
    <w:rsid w:val="00D240C6"/>
    <w:rsid w:val="00D250BF"/>
    <w:rsid w:val="00D25393"/>
    <w:rsid w:val="00D257E8"/>
    <w:rsid w:val="00D25E45"/>
    <w:rsid w:val="00D26373"/>
    <w:rsid w:val="00D26AEC"/>
    <w:rsid w:val="00D300EF"/>
    <w:rsid w:val="00D35095"/>
    <w:rsid w:val="00D3672F"/>
    <w:rsid w:val="00D36860"/>
    <w:rsid w:val="00D36957"/>
    <w:rsid w:val="00D369DF"/>
    <w:rsid w:val="00D36CC9"/>
    <w:rsid w:val="00D36DFD"/>
    <w:rsid w:val="00D413AF"/>
    <w:rsid w:val="00D42735"/>
    <w:rsid w:val="00D45490"/>
    <w:rsid w:val="00D45E0F"/>
    <w:rsid w:val="00D46806"/>
    <w:rsid w:val="00D50EFF"/>
    <w:rsid w:val="00D51586"/>
    <w:rsid w:val="00D545DF"/>
    <w:rsid w:val="00D54ECA"/>
    <w:rsid w:val="00D56B23"/>
    <w:rsid w:val="00D56DC3"/>
    <w:rsid w:val="00D57D2F"/>
    <w:rsid w:val="00D60DEA"/>
    <w:rsid w:val="00D657FC"/>
    <w:rsid w:val="00D65819"/>
    <w:rsid w:val="00D65FD8"/>
    <w:rsid w:val="00D7092C"/>
    <w:rsid w:val="00D7427A"/>
    <w:rsid w:val="00D74FFC"/>
    <w:rsid w:val="00D806C9"/>
    <w:rsid w:val="00D82AE1"/>
    <w:rsid w:val="00D8418F"/>
    <w:rsid w:val="00D84EDD"/>
    <w:rsid w:val="00D85E8B"/>
    <w:rsid w:val="00D86B7F"/>
    <w:rsid w:val="00D87065"/>
    <w:rsid w:val="00D91EFA"/>
    <w:rsid w:val="00D9207C"/>
    <w:rsid w:val="00D95B20"/>
    <w:rsid w:val="00D966CB"/>
    <w:rsid w:val="00DA0868"/>
    <w:rsid w:val="00DA0BED"/>
    <w:rsid w:val="00DA2B39"/>
    <w:rsid w:val="00DA324D"/>
    <w:rsid w:val="00DA47BF"/>
    <w:rsid w:val="00DA5435"/>
    <w:rsid w:val="00DA5945"/>
    <w:rsid w:val="00DA6373"/>
    <w:rsid w:val="00DA76CE"/>
    <w:rsid w:val="00DA7A9B"/>
    <w:rsid w:val="00DB2414"/>
    <w:rsid w:val="00DB275A"/>
    <w:rsid w:val="00DB6209"/>
    <w:rsid w:val="00DB67C5"/>
    <w:rsid w:val="00DC084C"/>
    <w:rsid w:val="00DC19F3"/>
    <w:rsid w:val="00DC1F96"/>
    <w:rsid w:val="00DC3D64"/>
    <w:rsid w:val="00DD0470"/>
    <w:rsid w:val="00DD0B2C"/>
    <w:rsid w:val="00DD170D"/>
    <w:rsid w:val="00DD4387"/>
    <w:rsid w:val="00DD46BF"/>
    <w:rsid w:val="00DD6BC8"/>
    <w:rsid w:val="00DE0AD4"/>
    <w:rsid w:val="00DE0C45"/>
    <w:rsid w:val="00DE484D"/>
    <w:rsid w:val="00DE74F2"/>
    <w:rsid w:val="00DF0CA8"/>
    <w:rsid w:val="00DF253E"/>
    <w:rsid w:val="00DF2B5B"/>
    <w:rsid w:val="00DF60F3"/>
    <w:rsid w:val="00DF6CF9"/>
    <w:rsid w:val="00DF7514"/>
    <w:rsid w:val="00DF76BC"/>
    <w:rsid w:val="00DF7BEF"/>
    <w:rsid w:val="00E00A0F"/>
    <w:rsid w:val="00E0138A"/>
    <w:rsid w:val="00E03DD7"/>
    <w:rsid w:val="00E0758B"/>
    <w:rsid w:val="00E10317"/>
    <w:rsid w:val="00E11F63"/>
    <w:rsid w:val="00E12B57"/>
    <w:rsid w:val="00E13137"/>
    <w:rsid w:val="00E14064"/>
    <w:rsid w:val="00E151C5"/>
    <w:rsid w:val="00E157BF"/>
    <w:rsid w:val="00E1644A"/>
    <w:rsid w:val="00E17358"/>
    <w:rsid w:val="00E174C0"/>
    <w:rsid w:val="00E206A8"/>
    <w:rsid w:val="00E20C23"/>
    <w:rsid w:val="00E22AD3"/>
    <w:rsid w:val="00E22F12"/>
    <w:rsid w:val="00E22F59"/>
    <w:rsid w:val="00E2372D"/>
    <w:rsid w:val="00E24C7B"/>
    <w:rsid w:val="00E2537D"/>
    <w:rsid w:val="00E25972"/>
    <w:rsid w:val="00E25F91"/>
    <w:rsid w:val="00E261B0"/>
    <w:rsid w:val="00E26A9C"/>
    <w:rsid w:val="00E27701"/>
    <w:rsid w:val="00E31D5B"/>
    <w:rsid w:val="00E31D82"/>
    <w:rsid w:val="00E3277D"/>
    <w:rsid w:val="00E32A92"/>
    <w:rsid w:val="00E32FBF"/>
    <w:rsid w:val="00E367CC"/>
    <w:rsid w:val="00E36C7F"/>
    <w:rsid w:val="00E407BD"/>
    <w:rsid w:val="00E40A57"/>
    <w:rsid w:val="00E444F2"/>
    <w:rsid w:val="00E45224"/>
    <w:rsid w:val="00E5179E"/>
    <w:rsid w:val="00E520DC"/>
    <w:rsid w:val="00E52ACB"/>
    <w:rsid w:val="00E534F3"/>
    <w:rsid w:val="00E546F8"/>
    <w:rsid w:val="00E55894"/>
    <w:rsid w:val="00E6130B"/>
    <w:rsid w:val="00E659D4"/>
    <w:rsid w:val="00E66EE4"/>
    <w:rsid w:val="00E70D6D"/>
    <w:rsid w:val="00E71FEC"/>
    <w:rsid w:val="00E751B8"/>
    <w:rsid w:val="00E807E0"/>
    <w:rsid w:val="00E8097A"/>
    <w:rsid w:val="00E818BD"/>
    <w:rsid w:val="00E82B3E"/>
    <w:rsid w:val="00E903FB"/>
    <w:rsid w:val="00E90924"/>
    <w:rsid w:val="00E91070"/>
    <w:rsid w:val="00E92562"/>
    <w:rsid w:val="00E92F6E"/>
    <w:rsid w:val="00E935B2"/>
    <w:rsid w:val="00E96626"/>
    <w:rsid w:val="00EA01BF"/>
    <w:rsid w:val="00EA1505"/>
    <w:rsid w:val="00EA46BB"/>
    <w:rsid w:val="00EA6EAD"/>
    <w:rsid w:val="00EB2189"/>
    <w:rsid w:val="00EB24F3"/>
    <w:rsid w:val="00EB2AA7"/>
    <w:rsid w:val="00EB2ACE"/>
    <w:rsid w:val="00EB45E1"/>
    <w:rsid w:val="00EB57DD"/>
    <w:rsid w:val="00EB6696"/>
    <w:rsid w:val="00EB6BEA"/>
    <w:rsid w:val="00EB7421"/>
    <w:rsid w:val="00EB7820"/>
    <w:rsid w:val="00EC0DD0"/>
    <w:rsid w:val="00EC1544"/>
    <w:rsid w:val="00EC4287"/>
    <w:rsid w:val="00EC4437"/>
    <w:rsid w:val="00EC4C3E"/>
    <w:rsid w:val="00EC4C6A"/>
    <w:rsid w:val="00EC617B"/>
    <w:rsid w:val="00EC703C"/>
    <w:rsid w:val="00ED2B66"/>
    <w:rsid w:val="00ED306F"/>
    <w:rsid w:val="00ED3D43"/>
    <w:rsid w:val="00ED40A8"/>
    <w:rsid w:val="00ED5F94"/>
    <w:rsid w:val="00EE19F3"/>
    <w:rsid w:val="00EE59C3"/>
    <w:rsid w:val="00EF0368"/>
    <w:rsid w:val="00EF0DCD"/>
    <w:rsid w:val="00EF43CF"/>
    <w:rsid w:val="00EF57B0"/>
    <w:rsid w:val="00EF5C0E"/>
    <w:rsid w:val="00EF6C6E"/>
    <w:rsid w:val="00EF7BB2"/>
    <w:rsid w:val="00F01229"/>
    <w:rsid w:val="00F01EF7"/>
    <w:rsid w:val="00F055A7"/>
    <w:rsid w:val="00F06298"/>
    <w:rsid w:val="00F075FE"/>
    <w:rsid w:val="00F07E14"/>
    <w:rsid w:val="00F124E2"/>
    <w:rsid w:val="00F139C1"/>
    <w:rsid w:val="00F149EC"/>
    <w:rsid w:val="00F166CE"/>
    <w:rsid w:val="00F16E7E"/>
    <w:rsid w:val="00F221F4"/>
    <w:rsid w:val="00F23FE0"/>
    <w:rsid w:val="00F24BAA"/>
    <w:rsid w:val="00F24C4F"/>
    <w:rsid w:val="00F320EB"/>
    <w:rsid w:val="00F35BC5"/>
    <w:rsid w:val="00F42A1C"/>
    <w:rsid w:val="00F44A72"/>
    <w:rsid w:val="00F45D30"/>
    <w:rsid w:val="00F47D8C"/>
    <w:rsid w:val="00F54396"/>
    <w:rsid w:val="00F56CC0"/>
    <w:rsid w:val="00F60BE7"/>
    <w:rsid w:val="00F728F6"/>
    <w:rsid w:val="00F770A7"/>
    <w:rsid w:val="00F83A5A"/>
    <w:rsid w:val="00F86C88"/>
    <w:rsid w:val="00F86EA2"/>
    <w:rsid w:val="00F87B2A"/>
    <w:rsid w:val="00F87C2A"/>
    <w:rsid w:val="00F9062B"/>
    <w:rsid w:val="00F91C43"/>
    <w:rsid w:val="00F91FBA"/>
    <w:rsid w:val="00F9224B"/>
    <w:rsid w:val="00F95201"/>
    <w:rsid w:val="00F96979"/>
    <w:rsid w:val="00F978E2"/>
    <w:rsid w:val="00FA034E"/>
    <w:rsid w:val="00FA04F3"/>
    <w:rsid w:val="00FA0895"/>
    <w:rsid w:val="00FA20CE"/>
    <w:rsid w:val="00FA2A93"/>
    <w:rsid w:val="00FA2F00"/>
    <w:rsid w:val="00FA3998"/>
    <w:rsid w:val="00FA3DFF"/>
    <w:rsid w:val="00FA43CF"/>
    <w:rsid w:val="00FA4B6A"/>
    <w:rsid w:val="00FA50DD"/>
    <w:rsid w:val="00FA5376"/>
    <w:rsid w:val="00FA54F7"/>
    <w:rsid w:val="00FA5B57"/>
    <w:rsid w:val="00FB0D92"/>
    <w:rsid w:val="00FB1806"/>
    <w:rsid w:val="00FB252B"/>
    <w:rsid w:val="00FB2F29"/>
    <w:rsid w:val="00FB318C"/>
    <w:rsid w:val="00FB347A"/>
    <w:rsid w:val="00FB360E"/>
    <w:rsid w:val="00FB4243"/>
    <w:rsid w:val="00FC289E"/>
    <w:rsid w:val="00FC2D04"/>
    <w:rsid w:val="00FC3B6B"/>
    <w:rsid w:val="00FC5559"/>
    <w:rsid w:val="00FC5FD6"/>
    <w:rsid w:val="00FC6106"/>
    <w:rsid w:val="00FD261C"/>
    <w:rsid w:val="00FE116C"/>
    <w:rsid w:val="00FE3BCB"/>
    <w:rsid w:val="00FE5626"/>
    <w:rsid w:val="00FE6947"/>
    <w:rsid w:val="00FE696D"/>
    <w:rsid w:val="00FE6A5B"/>
    <w:rsid w:val="00FE7617"/>
    <w:rsid w:val="00FF39B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DD1BF8"/>
  <w15:docId w15:val="{FF34B1A2-061E-4D8B-9EB9-E7526620B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de-CH"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2239D"/>
    <w:pPr>
      <w:spacing w:after="200" w:line="276" w:lineRule="auto"/>
    </w:pPr>
    <w:rPr>
      <w:sz w:val="22"/>
      <w:szCs w:val="22"/>
      <w:lang w:val="en-US" w:eastAsia="en-US" w:bidi="en-US"/>
    </w:rPr>
  </w:style>
  <w:style w:type="paragraph" w:styleId="berschrift1">
    <w:name w:val="heading 1"/>
    <w:basedOn w:val="Standard"/>
    <w:next w:val="Standard"/>
    <w:link w:val="berschrift1Zchn"/>
    <w:uiPriority w:val="9"/>
    <w:qFormat/>
    <w:rsid w:val="00A472C8"/>
    <w:pPr>
      <w:spacing w:before="480" w:after="240" w:line="240" w:lineRule="auto"/>
      <w:contextualSpacing/>
      <w:outlineLvl w:val="0"/>
    </w:pPr>
    <w:rPr>
      <w:rFonts w:ascii="Arial" w:hAnsi="Arial"/>
      <w:b/>
      <w:spacing w:val="5"/>
      <w:sz w:val="28"/>
      <w:szCs w:val="36"/>
      <w:lang w:bidi="ar-SA"/>
    </w:rPr>
  </w:style>
  <w:style w:type="paragraph" w:styleId="berschrift2">
    <w:name w:val="heading 2"/>
    <w:basedOn w:val="Standard"/>
    <w:next w:val="Standard"/>
    <w:link w:val="berschrift2Zchn"/>
    <w:uiPriority w:val="9"/>
    <w:unhideWhenUsed/>
    <w:qFormat/>
    <w:rsid w:val="007D5A4D"/>
    <w:pPr>
      <w:numPr>
        <w:numId w:val="1"/>
      </w:numPr>
      <w:spacing w:before="200" w:after="240" w:line="271" w:lineRule="auto"/>
      <w:outlineLvl w:val="1"/>
    </w:pPr>
    <w:rPr>
      <w:rFonts w:ascii="Avenir LT 85 Heavy" w:hAnsi="Avenir LT 85 Heavy"/>
      <w:smallCaps/>
      <w:sz w:val="24"/>
      <w:szCs w:val="28"/>
      <w:lang w:bidi="ar-SA"/>
    </w:rPr>
  </w:style>
  <w:style w:type="paragraph" w:styleId="berschrift3">
    <w:name w:val="heading 3"/>
    <w:basedOn w:val="Standard"/>
    <w:next w:val="Standard"/>
    <w:link w:val="berschrift3Zchn"/>
    <w:uiPriority w:val="9"/>
    <w:semiHidden/>
    <w:unhideWhenUsed/>
    <w:qFormat/>
    <w:rsid w:val="0082239D"/>
    <w:pPr>
      <w:spacing w:before="200" w:after="0" w:line="271" w:lineRule="auto"/>
      <w:outlineLvl w:val="2"/>
    </w:pPr>
    <w:rPr>
      <w:i/>
      <w:iCs/>
      <w:smallCaps/>
      <w:spacing w:val="5"/>
      <w:sz w:val="26"/>
      <w:szCs w:val="26"/>
      <w:lang w:bidi="ar-SA"/>
    </w:rPr>
  </w:style>
  <w:style w:type="paragraph" w:styleId="berschrift4">
    <w:name w:val="heading 4"/>
    <w:basedOn w:val="Standard"/>
    <w:next w:val="Standard"/>
    <w:link w:val="berschrift4Zchn"/>
    <w:uiPriority w:val="9"/>
    <w:semiHidden/>
    <w:unhideWhenUsed/>
    <w:qFormat/>
    <w:rsid w:val="0082239D"/>
    <w:pPr>
      <w:spacing w:after="0" w:line="271" w:lineRule="auto"/>
      <w:outlineLvl w:val="3"/>
    </w:pPr>
    <w:rPr>
      <w:b/>
      <w:bCs/>
      <w:spacing w:val="5"/>
      <w:sz w:val="24"/>
      <w:szCs w:val="24"/>
      <w:lang w:bidi="ar-SA"/>
    </w:rPr>
  </w:style>
  <w:style w:type="paragraph" w:styleId="berschrift5">
    <w:name w:val="heading 5"/>
    <w:basedOn w:val="Standard"/>
    <w:next w:val="Standard"/>
    <w:link w:val="berschrift5Zchn"/>
    <w:uiPriority w:val="9"/>
    <w:semiHidden/>
    <w:unhideWhenUsed/>
    <w:qFormat/>
    <w:rsid w:val="0082239D"/>
    <w:pPr>
      <w:spacing w:after="0" w:line="271" w:lineRule="auto"/>
      <w:outlineLvl w:val="4"/>
    </w:pPr>
    <w:rPr>
      <w:i/>
      <w:iCs/>
      <w:sz w:val="24"/>
      <w:szCs w:val="24"/>
      <w:lang w:bidi="ar-SA"/>
    </w:rPr>
  </w:style>
  <w:style w:type="paragraph" w:styleId="berschrift6">
    <w:name w:val="heading 6"/>
    <w:basedOn w:val="Standard"/>
    <w:next w:val="Standard"/>
    <w:link w:val="berschrift6Zchn"/>
    <w:uiPriority w:val="9"/>
    <w:semiHidden/>
    <w:unhideWhenUsed/>
    <w:qFormat/>
    <w:rsid w:val="0082239D"/>
    <w:pPr>
      <w:shd w:val="clear" w:color="auto" w:fill="FFFFFF"/>
      <w:spacing w:after="0" w:line="271" w:lineRule="auto"/>
      <w:outlineLvl w:val="5"/>
    </w:pPr>
    <w:rPr>
      <w:b/>
      <w:bCs/>
      <w:color w:val="595959"/>
      <w:spacing w:val="5"/>
      <w:sz w:val="20"/>
      <w:szCs w:val="20"/>
      <w:lang w:bidi="ar-SA"/>
    </w:rPr>
  </w:style>
  <w:style w:type="paragraph" w:styleId="berschrift7">
    <w:name w:val="heading 7"/>
    <w:basedOn w:val="Standard"/>
    <w:next w:val="Standard"/>
    <w:link w:val="berschrift7Zchn"/>
    <w:uiPriority w:val="9"/>
    <w:unhideWhenUsed/>
    <w:qFormat/>
    <w:rsid w:val="0082239D"/>
    <w:pPr>
      <w:spacing w:after="0"/>
      <w:outlineLvl w:val="6"/>
    </w:pPr>
    <w:rPr>
      <w:b/>
      <w:bCs/>
      <w:i/>
      <w:iCs/>
      <w:color w:val="5A5A5A"/>
      <w:sz w:val="20"/>
      <w:szCs w:val="20"/>
      <w:lang w:bidi="ar-SA"/>
    </w:rPr>
  </w:style>
  <w:style w:type="paragraph" w:styleId="berschrift8">
    <w:name w:val="heading 8"/>
    <w:basedOn w:val="Standard"/>
    <w:next w:val="Standard"/>
    <w:link w:val="berschrift8Zchn"/>
    <w:uiPriority w:val="9"/>
    <w:semiHidden/>
    <w:unhideWhenUsed/>
    <w:qFormat/>
    <w:rsid w:val="0082239D"/>
    <w:pPr>
      <w:spacing w:after="0"/>
      <w:outlineLvl w:val="7"/>
    </w:pPr>
    <w:rPr>
      <w:b/>
      <w:bCs/>
      <w:color w:val="7F7F7F"/>
      <w:sz w:val="20"/>
      <w:szCs w:val="20"/>
      <w:lang w:bidi="ar-SA"/>
    </w:rPr>
  </w:style>
  <w:style w:type="paragraph" w:styleId="berschrift9">
    <w:name w:val="heading 9"/>
    <w:basedOn w:val="Standard"/>
    <w:next w:val="Standard"/>
    <w:link w:val="berschrift9Zchn"/>
    <w:uiPriority w:val="9"/>
    <w:semiHidden/>
    <w:unhideWhenUsed/>
    <w:qFormat/>
    <w:rsid w:val="0082239D"/>
    <w:pPr>
      <w:spacing w:after="0" w:line="271" w:lineRule="auto"/>
      <w:outlineLvl w:val="8"/>
    </w:pPr>
    <w:rPr>
      <w:b/>
      <w:bCs/>
      <w:i/>
      <w:iCs/>
      <w:color w:val="7F7F7F"/>
      <w:sz w:val="18"/>
      <w:szCs w:val="18"/>
      <w:lang w:bidi="ar-SA"/>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634321"/>
    <w:rPr>
      <w:color w:val="0000FF"/>
      <w:u w:val="single"/>
    </w:rPr>
  </w:style>
  <w:style w:type="character" w:styleId="BesuchterLink">
    <w:name w:val="FollowedHyperlink"/>
    <w:rsid w:val="00634321"/>
    <w:rPr>
      <w:color w:val="800080"/>
      <w:u w:val="single"/>
    </w:rPr>
  </w:style>
  <w:style w:type="paragraph" w:styleId="Sprechblasentext">
    <w:name w:val="Balloon Text"/>
    <w:basedOn w:val="Standard"/>
    <w:semiHidden/>
    <w:rsid w:val="00990EC3"/>
    <w:rPr>
      <w:rFonts w:ascii="Tahoma" w:hAnsi="Tahoma" w:cs="Tahoma"/>
      <w:sz w:val="16"/>
      <w:szCs w:val="16"/>
    </w:rPr>
  </w:style>
  <w:style w:type="table" w:styleId="Tabellenraster">
    <w:name w:val="Table Grid"/>
    <w:basedOn w:val="NormaleTabelle"/>
    <w:uiPriority w:val="59"/>
    <w:rsid w:val="009E7D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rsid w:val="00A5074E"/>
    <w:pPr>
      <w:tabs>
        <w:tab w:val="center" w:pos="4536"/>
        <w:tab w:val="right" w:pos="9072"/>
      </w:tabs>
    </w:pPr>
    <w:rPr>
      <w:rFonts w:ascii="Arial" w:hAnsi="Arial"/>
      <w:lang w:val="de-DE" w:eastAsia="de-DE" w:bidi="ar-SA"/>
    </w:rPr>
  </w:style>
  <w:style w:type="character" w:styleId="Seitenzahl">
    <w:name w:val="page number"/>
    <w:basedOn w:val="Absatz-Standardschriftart"/>
    <w:rsid w:val="00A5074E"/>
  </w:style>
  <w:style w:type="paragraph" w:styleId="Listenabsatz">
    <w:name w:val="List Paragraph"/>
    <w:basedOn w:val="Standard"/>
    <w:uiPriority w:val="34"/>
    <w:qFormat/>
    <w:rsid w:val="0082239D"/>
    <w:pPr>
      <w:ind w:left="720"/>
      <w:contextualSpacing/>
    </w:pPr>
  </w:style>
  <w:style w:type="paragraph" w:styleId="Kopfzeile">
    <w:name w:val="header"/>
    <w:basedOn w:val="Standard"/>
    <w:link w:val="KopfzeileZchn"/>
    <w:rsid w:val="00036B61"/>
    <w:pPr>
      <w:tabs>
        <w:tab w:val="center" w:pos="4536"/>
        <w:tab w:val="right" w:pos="9072"/>
      </w:tabs>
    </w:pPr>
    <w:rPr>
      <w:rFonts w:ascii="Arial" w:hAnsi="Arial"/>
      <w:lang w:val="de-DE" w:eastAsia="de-DE" w:bidi="ar-SA"/>
    </w:rPr>
  </w:style>
  <w:style w:type="character" w:customStyle="1" w:styleId="KopfzeileZchn">
    <w:name w:val="Kopfzeile Zchn"/>
    <w:link w:val="Kopfzeile"/>
    <w:rsid w:val="00036B61"/>
    <w:rPr>
      <w:rFonts w:ascii="Arial" w:hAnsi="Arial" w:cs="Arial"/>
      <w:sz w:val="22"/>
      <w:szCs w:val="22"/>
      <w:lang w:val="de-DE" w:eastAsia="de-DE"/>
    </w:rPr>
  </w:style>
  <w:style w:type="character" w:customStyle="1" w:styleId="berschrift1Zchn">
    <w:name w:val="Überschrift 1 Zchn"/>
    <w:link w:val="berschrift1"/>
    <w:uiPriority w:val="9"/>
    <w:rsid w:val="00A472C8"/>
    <w:rPr>
      <w:rFonts w:ascii="Arial" w:hAnsi="Arial"/>
      <w:b/>
      <w:spacing w:val="5"/>
      <w:sz w:val="28"/>
      <w:szCs w:val="36"/>
      <w:lang w:val="en-US" w:eastAsia="en-US"/>
    </w:rPr>
  </w:style>
  <w:style w:type="character" w:customStyle="1" w:styleId="berschrift7Zchn">
    <w:name w:val="Überschrift 7 Zchn"/>
    <w:link w:val="berschrift7"/>
    <w:uiPriority w:val="9"/>
    <w:rsid w:val="0082239D"/>
    <w:rPr>
      <w:b/>
      <w:bCs/>
      <w:i/>
      <w:iCs/>
      <w:color w:val="5A5A5A"/>
      <w:sz w:val="20"/>
      <w:szCs w:val="20"/>
    </w:rPr>
  </w:style>
  <w:style w:type="paragraph" w:customStyle="1" w:styleId="Textanfang">
    <w:name w:val="Textanfang"/>
    <w:basedOn w:val="Standard"/>
    <w:next w:val="Standard"/>
    <w:rsid w:val="00383620"/>
    <w:pPr>
      <w:tabs>
        <w:tab w:val="left" w:pos="680"/>
      </w:tabs>
      <w:overflowPunct w:val="0"/>
      <w:autoSpaceDE w:val="0"/>
      <w:autoSpaceDN w:val="0"/>
      <w:adjustRightInd w:val="0"/>
      <w:spacing w:before="120" w:line="312" w:lineRule="auto"/>
      <w:ind w:left="680"/>
      <w:textAlignment w:val="baseline"/>
    </w:pPr>
    <w:rPr>
      <w:szCs w:val="20"/>
      <w:lang w:val="de-CH"/>
    </w:rPr>
  </w:style>
  <w:style w:type="paragraph" w:customStyle="1" w:styleId="Referenz">
    <w:name w:val="Referenz"/>
    <w:basedOn w:val="Standard"/>
    <w:rsid w:val="00383620"/>
    <w:pPr>
      <w:overflowPunct w:val="0"/>
      <w:autoSpaceDE w:val="0"/>
      <w:autoSpaceDN w:val="0"/>
      <w:adjustRightInd w:val="0"/>
      <w:textAlignment w:val="baseline"/>
    </w:pPr>
    <w:rPr>
      <w:sz w:val="18"/>
      <w:szCs w:val="20"/>
      <w:lang w:val="de-CH"/>
    </w:rPr>
  </w:style>
  <w:style w:type="paragraph" w:styleId="Funotentext">
    <w:name w:val="footnote text"/>
    <w:basedOn w:val="Standard"/>
    <w:link w:val="FunotentextZchn"/>
    <w:rsid w:val="00383620"/>
    <w:pPr>
      <w:spacing w:line="264" w:lineRule="auto"/>
    </w:pPr>
    <w:rPr>
      <w:rFonts w:ascii="Arial" w:hAnsi="Arial"/>
      <w:sz w:val="20"/>
      <w:szCs w:val="20"/>
      <w:lang w:eastAsia="de-DE" w:bidi="ar-SA"/>
    </w:rPr>
  </w:style>
  <w:style w:type="character" w:customStyle="1" w:styleId="FunotentextZchn">
    <w:name w:val="Fußnotentext Zchn"/>
    <w:link w:val="Funotentext"/>
    <w:rsid w:val="00383620"/>
    <w:rPr>
      <w:rFonts w:ascii="Arial" w:hAnsi="Arial"/>
      <w:lang w:eastAsia="de-DE"/>
    </w:rPr>
  </w:style>
  <w:style w:type="character" w:styleId="Funotenzeichen">
    <w:name w:val="footnote reference"/>
    <w:rsid w:val="00383620"/>
    <w:rPr>
      <w:vertAlign w:val="superscript"/>
    </w:rPr>
  </w:style>
  <w:style w:type="paragraph" w:customStyle="1" w:styleId="Kopffrage">
    <w:name w:val="Kopffrage"/>
    <w:basedOn w:val="Standard"/>
    <w:rsid w:val="00A35963"/>
    <w:pPr>
      <w:keepNext/>
      <w:keepLines/>
      <w:tabs>
        <w:tab w:val="left" w:pos="374"/>
      </w:tabs>
      <w:overflowPunct w:val="0"/>
      <w:autoSpaceDE w:val="0"/>
      <w:autoSpaceDN w:val="0"/>
      <w:adjustRightInd w:val="0"/>
      <w:spacing w:before="240" w:after="40"/>
      <w:ind w:left="374" w:hanging="374"/>
      <w:textAlignment w:val="baseline"/>
    </w:pPr>
    <w:rPr>
      <w:rFonts w:ascii="Times" w:hAnsi="Times"/>
      <w:sz w:val="18"/>
      <w:szCs w:val="20"/>
    </w:rPr>
  </w:style>
  <w:style w:type="paragraph" w:customStyle="1" w:styleId="Box-Absatz">
    <w:name w:val="Box-Absatz"/>
    <w:basedOn w:val="Standard"/>
    <w:rsid w:val="00A35963"/>
    <w:pPr>
      <w:overflowPunct w:val="0"/>
      <w:autoSpaceDE w:val="0"/>
      <w:autoSpaceDN w:val="0"/>
      <w:adjustRightInd w:val="0"/>
      <w:ind w:left="284" w:right="284"/>
      <w:textAlignment w:val="baseline"/>
    </w:pPr>
    <w:rPr>
      <w:rFonts w:ascii="Times" w:hAnsi="Times"/>
      <w:sz w:val="24"/>
      <w:szCs w:val="20"/>
    </w:rPr>
  </w:style>
  <w:style w:type="paragraph" w:styleId="Textkrper-Zeileneinzug">
    <w:name w:val="Body Text Indent"/>
    <w:basedOn w:val="Standard"/>
    <w:link w:val="Textkrper-ZeileneinzugZchn"/>
    <w:rsid w:val="00A35963"/>
    <w:pPr>
      <w:overflowPunct w:val="0"/>
      <w:autoSpaceDE w:val="0"/>
      <w:autoSpaceDN w:val="0"/>
      <w:adjustRightInd w:val="0"/>
      <w:ind w:left="1134" w:hanging="1134"/>
      <w:textAlignment w:val="baseline"/>
    </w:pPr>
    <w:rPr>
      <w:rFonts w:ascii="Times" w:hAnsi="Times"/>
      <w:b/>
      <w:bCs/>
      <w:sz w:val="20"/>
      <w:szCs w:val="20"/>
      <w:lang w:bidi="ar-SA"/>
    </w:rPr>
  </w:style>
  <w:style w:type="character" w:customStyle="1" w:styleId="Textkrper-ZeileneinzugZchn">
    <w:name w:val="Textkörper-Zeileneinzug Zchn"/>
    <w:link w:val="Textkrper-Zeileneinzug"/>
    <w:rsid w:val="00A35963"/>
    <w:rPr>
      <w:rFonts w:ascii="Times" w:hAnsi="Times"/>
      <w:b/>
      <w:bCs/>
      <w:lang w:eastAsia="en-US"/>
    </w:rPr>
  </w:style>
  <w:style w:type="character" w:styleId="Fett">
    <w:name w:val="Strong"/>
    <w:uiPriority w:val="22"/>
    <w:qFormat/>
    <w:rsid w:val="0082239D"/>
    <w:rPr>
      <w:b/>
      <w:bCs/>
    </w:rPr>
  </w:style>
  <w:style w:type="paragraph" w:styleId="Inhaltsverzeichnisberschrift">
    <w:name w:val="TOC Heading"/>
    <w:basedOn w:val="berschrift1"/>
    <w:next w:val="Standard"/>
    <w:uiPriority w:val="39"/>
    <w:unhideWhenUsed/>
    <w:qFormat/>
    <w:rsid w:val="0082239D"/>
    <w:pPr>
      <w:outlineLvl w:val="9"/>
    </w:pPr>
  </w:style>
  <w:style w:type="paragraph" w:styleId="Verzeichnis1">
    <w:name w:val="toc 1"/>
    <w:basedOn w:val="Standard"/>
    <w:next w:val="Standard"/>
    <w:autoRedefine/>
    <w:uiPriority w:val="39"/>
    <w:qFormat/>
    <w:rsid w:val="004261DF"/>
    <w:pPr>
      <w:spacing w:before="120" w:after="120"/>
    </w:pPr>
    <w:rPr>
      <w:rFonts w:asciiTheme="minorHAnsi" w:hAnsiTheme="minorHAnsi" w:cstheme="minorHAnsi"/>
      <w:b/>
      <w:bCs/>
      <w:caps/>
      <w:sz w:val="20"/>
      <w:szCs w:val="20"/>
    </w:rPr>
  </w:style>
  <w:style w:type="character" w:styleId="Hervorhebung">
    <w:name w:val="Emphasis"/>
    <w:uiPriority w:val="20"/>
    <w:qFormat/>
    <w:rsid w:val="0082239D"/>
    <w:rPr>
      <w:b/>
      <w:bCs/>
      <w:i/>
      <w:iCs/>
      <w:spacing w:val="10"/>
    </w:rPr>
  </w:style>
  <w:style w:type="character" w:customStyle="1" w:styleId="FuzeileZchn">
    <w:name w:val="Fußzeile Zchn"/>
    <w:link w:val="Fuzeile"/>
    <w:uiPriority w:val="99"/>
    <w:rsid w:val="00B54351"/>
    <w:rPr>
      <w:rFonts w:ascii="Arial" w:hAnsi="Arial" w:cs="Arial"/>
      <w:sz w:val="22"/>
      <w:szCs w:val="22"/>
      <w:lang w:val="de-DE" w:eastAsia="de-DE"/>
    </w:rPr>
  </w:style>
  <w:style w:type="paragraph" w:styleId="Verzeichnis2">
    <w:name w:val="toc 2"/>
    <w:basedOn w:val="Standard"/>
    <w:next w:val="Standard"/>
    <w:autoRedefine/>
    <w:uiPriority w:val="39"/>
    <w:unhideWhenUsed/>
    <w:qFormat/>
    <w:rsid w:val="004261DF"/>
    <w:pPr>
      <w:spacing w:after="0"/>
      <w:ind w:left="220"/>
    </w:pPr>
    <w:rPr>
      <w:rFonts w:asciiTheme="minorHAnsi" w:hAnsiTheme="minorHAnsi" w:cstheme="minorHAnsi"/>
      <w:smallCaps/>
      <w:sz w:val="20"/>
      <w:szCs w:val="20"/>
    </w:rPr>
  </w:style>
  <w:style w:type="paragraph" w:styleId="Verzeichnis3">
    <w:name w:val="toc 3"/>
    <w:basedOn w:val="Standard"/>
    <w:next w:val="Standard"/>
    <w:autoRedefine/>
    <w:uiPriority w:val="39"/>
    <w:unhideWhenUsed/>
    <w:qFormat/>
    <w:rsid w:val="00D86B7F"/>
    <w:pPr>
      <w:spacing w:after="0"/>
      <w:ind w:left="440"/>
    </w:pPr>
    <w:rPr>
      <w:rFonts w:asciiTheme="minorHAnsi" w:hAnsiTheme="minorHAnsi" w:cstheme="minorHAnsi"/>
      <w:i/>
      <w:iCs/>
      <w:sz w:val="20"/>
      <w:szCs w:val="20"/>
    </w:rPr>
  </w:style>
  <w:style w:type="paragraph" w:styleId="Untertitel">
    <w:name w:val="Subtitle"/>
    <w:basedOn w:val="Standard"/>
    <w:next w:val="Standard"/>
    <w:link w:val="UntertitelZchn"/>
    <w:uiPriority w:val="11"/>
    <w:qFormat/>
    <w:rsid w:val="0082239D"/>
    <w:rPr>
      <w:i/>
      <w:iCs/>
      <w:smallCaps/>
      <w:spacing w:val="10"/>
      <w:sz w:val="28"/>
      <w:szCs w:val="28"/>
      <w:lang w:bidi="ar-SA"/>
    </w:rPr>
  </w:style>
  <w:style w:type="character" w:customStyle="1" w:styleId="UntertitelZchn">
    <w:name w:val="Untertitel Zchn"/>
    <w:link w:val="Untertitel"/>
    <w:uiPriority w:val="11"/>
    <w:rsid w:val="0082239D"/>
    <w:rPr>
      <w:i/>
      <w:iCs/>
      <w:smallCaps/>
      <w:spacing w:val="10"/>
      <w:sz w:val="28"/>
      <w:szCs w:val="28"/>
    </w:rPr>
  </w:style>
  <w:style w:type="paragraph" w:customStyle="1" w:styleId="Formatvorlageberschrift1LateinAvenirLT35LightRot">
    <w:name w:val="Formatvorlage Überschrift 1 + (Latein) Avenir LT 35 Light Rot"/>
    <w:basedOn w:val="berschrift1"/>
    <w:rsid w:val="003E0A4F"/>
    <w:rPr>
      <w:bCs/>
      <w:sz w:val="24"/>
    </w:rPr>
  </w:style>
  <w:style w:type="paragraph" w:styleId="IntensivesZitat">
    <w:name w:val="Intense Quote"/>
    <w:basedOn w:val="Standard"/>
    <w:next w:val="Standard"/>
    <w:link w:val="IntensivesZitatZchn"/>
    <w:uiPriority w:val="30"/>
    <w:qFormat/>
    <w:rsid w:val="0082239D"/>
    <w:pPr>
      <w:pBdr>
        <w:top w:val="single" w:sz="4" w:space="10" w:color="auto"/>
        <w:bottom w:val="single" w:sz="4" w:space="10" w:color="auto"/>
      </w:pBdr>
      <w:spacing w:before="240" w:after="240" w:line="300" w:lineRule="auto"/>
      <w:ind w:left="1152" w:right="1152"/>
      <w:jc w:val="both"/>
    </w:pPr>
    <w:rPr>
      <w:i/>
      <w:iCs/>
      <w:sz w:val="20"/>
      <w:szCs w:val="20"/>
      <w:lang w:bidi="ar-SA"/>
    </w:rPr>
  </w:style>
  <w:style w:type="character" w:customStyle="1" w:styleId="IntensivesZitatZchn">
    <w:name w:val="Intensives Zitat Zchn"/>
    <w:link w:val="IntensivesZitat"/>
    <w:uiPriority w:val="30"/>
    <w:rsid w:val="0082239D"/>
    <w:rPr>
      <w:i/>
      <w:iCs/>
    </w:rPr>
  </w:style>
  <w:style w:type="character" w:customStyle="1" w:styleId="berschrift2Zchn">
    <w:name w:val="Überschrift 2 Zchn"/>
    <w:link w:val="berschrift2"/>
    <w:uiPriority w:val="9"/>
    <w:rsid w:val="007D5A4D"/>
    <w:rPr>
      <w:rFonts w:ascii="Avenir LT 85 Heavy" w:hAnsi="Avenir LT 85 Heavy"/>
      <w:smallCaps/>
      <w:sz w:val="24"/>
      <w:szCs w:val="28"/>
      <w:lang w:val="en-US" w:eastAsia="en-US"/>
    </w:rPr>
  </w:style>
  <w:style w:type="character" w:customStyle="1" w:styleId="berschrift3Zchn">
    <w:name w:val="Überschrift 3 Zchn"/>
    <w:link w:val="berschrift3"/>
    <w:uiPriority w:val="9"/>
    <w:semiHidden/>
    <w:rsid w:val="0082239D"/>
    <w:rPr>
      <w:i/>
      <w:iCs/>
      <w:smallCaps/>
      <w:spacing w:val="5"/>
      <w:sz w:val="26"/>
      <w:szCs w:val="26"/>
    </w:rPr>
  </w:style>
  <w:style w:type="character" w:customStyle="1" w:styleId="berschrift4Zchn">
    <w:name w:val="Überschrift 4 Zchn"/>
    <w:link w:val="berschrift4"/>
    <w:uiPriority w:val="9"/>
    <w:semiHidden/>
    <w:rsid w:val="0082239D"/>
    <w:rPr>
      <w:b/>
      <w:bCs/>
      <w:spacing w:val="5"/>
      <w:sz w:val="24"/>
      <w:szCs w:val="24"/>
    </w:rPr>
  </w:style>
  <w:style w:type="character" w:customStyle="1" w:styleId="berschrift5Zchn">
    <w:name w:val="Überschrift 5 Zchn"/>
    <w:link w:val="berschrift5"/>
    <w:uiPriority w:val="9"/>
    <w:semiHidden/>
    <w:rsid w:val="0082239D"/>
    <w:rPr>
      <w:i/>
      <w:iCs/>
      <w:sz w:val="24"/>
      <w:szCs w:val="24"/>
    </w:rPr>
  </w:style>
  <w:style w:type="character" w:customStyle="1" w:styleId="berschrift6Zchn">
    <w:name w:val="Überschrift 6 Zchn"/>
    <w:link w:val="berschrift6"/>
    <w:uiPriority w:val="9"/>
    <w:semiHidden/>
    <w:rsid w:val="0082239D"/>
    <w:rPr>
      <w:b/>
      <w:bCs/>
      <w:color w:val="595959"/>
      <w:spacing w:val="5"/>
      <w:shd w:val="clear" w:color="auto" w:fill="FFFFFF"/>
    </w:rPr>
  </w:style>
  <w:style w:type="character" w:customStyle="1" w:styleId="berschrift8Zchn">
    <w:name w:val="Überschrift 8 Zchn"/>
    <w:link w:val="berschrift8"/>
    <w:uiPriority w:val="9"/>
    <w:semiHidden/>
    <w:rsid w:val="0082239D"/>
    <w:rPr>
      <w:b/>
      <w:bCs/>
      <w:color w:val="7F7F7F"/>
      <w:sz w:val="20"/>
      <w:szCs w:val="20"/>
    </w:rPr>
  </w:style>
  <w:style w:type="character" w:customStyle="1" w:styleId="berschrift9Zchn">
    <w:name w:val="Überschrift 9 Zchn"/>
    <w:link w:val="berschrift9"/>
    <w:uiPriority w:val="9"/>
    <w:semiHidden/>
    <w:rsid w:val="0082239D"/>
    <w:rPr>
      <w:b/>
      <w:bCs/>
      <w:i/>
      <w:iCs/>
      <w:color w:val="7F7F7F"/>
      <w:sz w:val="18"/>
      <w:szCs w:val="18"/>
    </w:rPr>
  </w:style>
  <w:style w:type="paragraph" w:styleId="Beschriftung">
    <w:name w:val="caption"/>
    <w:basedOn w:val="Standard"/>
    <w:next w:val="Standard"/>
    <w:uiPriority w:val="35"/>
    <w:semiHidden/>
    <w:unhideWhenUsed/>
    <w:rsid w:val="003E0A4F"/>
    <w:pPr>
      <w:spacing w:line="240" w:lineRule="auto"/>
    </w:pPr>
    <w:rPr>
      <w:b/>
      <w:bCs/>
      <w:color w:val="4F81BD"/>
      <w:sz w:val="18"/>
      <w:szCs w:val="18"/>
    </w:rPr>
  </w:style>
  <w:style w:type="paragraph" w:styleId="Titel">
    <w:name w:val="Title"/>
    <w:basedOn w:val="Standard"/>
    <w:next w:val="Standard"/>
    <w:link w:val="TitelZchn"/>
    <w:uiPriority w:val="10"/>
    <w:qFormat/>
    <w:rsid w:val="0082239D"/>
    <w:pPr>
      <w:spacing w:after="300" w:line="240" w:lineRule="auto"/>
      <w:contextualSpacing/>
    </w:pPr>
    <w:rPr>
      <w:smallCaps/>
      <w:sz w:val="52"/>
      <w:szCs w:val="52"/>
      <w:lang w:bidi="ar-SA"/>
    </w:rPr>
  </w:style>
  <w:style w:type="character" w:customStyle="1" w:styleId="TitelZchn">
    <w:name w:val="Titel Zchn"/>
    <w:link w:val="Titel"/>
    <w:uiPriority w:val="10"/>
    <w:rsid w:val="0082239D"/>
    <w:rPr>
      <w:smallCaps/>
      <w:sz w:val="52"/>
      <w:szCs w:val="52"/>
    </w:rPr>
  </w:style>
  <w:style w:type="paragraph" w:styleId="KeinLeerraum">
    <w:name w:val="No Spacing"/>
    <w:basedOn w:val="Standard"/>
    <w:uiPriority w:val="1"/>
    <w:qFormat/>
    <w:rsid w:val="0082239D"/>
    <w:pPr>
      <w:spacing w:after="0" w:line="240" w:lineRule="auto"/>
    </w:pPr>
  </w:style>
  <w:style w:type="paragraph" w:styleId="Zitat">
    <w:name w:val="Quote"/>
    <w:basedOn w:val="Standard"/>
    <w:next w:val="Standard"/>
    <w:link w:val="ZitatZchn"/>
    <w:uiPriority w:val="29"/>
    <w:qFormat/>
    <w:rsid w:val="0082239D"/>
    <w:rPr>
      <w:i/>
      <w:iCs/>
      <w:sz w:val="20"/>
      <w:szCs w:val="20"/>
      <w:lang w:bidi="ar-SA"/>
    </w:rPr>
  </w:style>
  <w:style w:type="character" w:customStyle="1" w:styleId="ZitatZchn">
    <w:name w:val="Zitat Zchn"/>
    <w:link w:val="Zitat"/>
    <w:uiPriority w:val="29"/>
    <w:rsid w:val="0082239D"/>
    <w:rPr>
      <w:i/>
      <w:iCs/>
    </w:rPr>
  </w:style>
  <w:style w:type="character" w:styleId="SchwacheHervorhebung">
    <w:name w:val="Subtle Emphasis"/>
    <w:uiPriority w:val="19"/>
    <w:qFormat/>
    <w:rsid w:val="0082239D"/>
    <w:rPr>
      <w:i/>
      <w:iCs/>
    </w:rPr>
  </w:style>
  <w:style w:type="character" w:styleId="IntensiveHervorhebung">
    <w:name w:val="Intense Emphasis"/>
    <w:uiPriority w:val="21"/>
    <w:qFormat/>
    <w:rsid w:val="0082239D"/>
    <w:rPr>
      <w:b/>
      <w:bCs/>
      <w:i/>
      <w:iCs/>
    </w:rPr>
  </w:style>
  <w:style w:type="character" w:styleId="SchwacherVerweis">
    <w:name w:val="Subtle Reference"/>
    <w:uiPriority w:val="31"/>
    <w:qFormat/>
    <w:rsid w:val="0082239D"/>
    <w:rPr>
      <w:smallCaps/>
    </w:rPr>
  </w:style>
  <w:style w:type="character" w:styleId="IntensiverVerweis">
    <w:name w:val="Intense Reference"/>
    <w:uiPriority w:val="32"/>
    <w:qFormat/>
    <w:rsid w:val="0082239D"/>
    <w:rPr>
      <w:b/>
      <w:bCs/>
      <w:smallCaps/>
    </w:rPr>
  </w:style>
  <w:style w:type="character" w:styleId="Buchtitel">
    <w:name w:val="Book Title"/>
    <w:uiPriority w:val="33"/>
    <w:qFormat/>
    <w:rsid w:val="0082239D"/>
    <w:rPr>
      <w:i/>
      <w:iCs/>
      <w:smallCaps/>
      <w:spacing w:val="5"/>
    </w:rPr>
  </w:style>
  <w:style w:type="character" w:customStyle="1" w:styleId="st">
    <w:name w:val="st"/>
    <w:basedOn w:val="Absatz-Standardschriftart"/>
    <w:rsid w:val="00572625"/>
  </w:style>
  <w:style w:type="paragraph" w:styleId="StandardWeb">
    <w:name w:val="Normal (Web)"/>
    <w:basedOn w:val="Standard"/>
    <w:uiPriority w:val="99"/>
    <w:unhideWhenUsed/>
    <w:rsid w:val="00034D71"/>
    <w:pPr>
      <w:spacing w:before="100" w:beforeAutospacing="1" w:after="100" w:afterAutospacing="1" w:line="240" w:lineRule="auto"/>
    </w:pPr>
    <w:rPr>
      <w:rFonts w:ascii="Times New Roman" w:hAnsi="Times New Roman"/>
      <w:sz w:val="24"/>
      <w:szCs w:val="24"/>
      <w:lang w:val="de-CH" w:eastAsia="de-CH" w:bidi="ar-SA"/>
    </w:rPr>
  </w:style>
  <w:style w:type="character" w:styleId="Kommentarzeichen">
    <w:name w:val="annotation reference"/>
    <w:rsid w:val="003B6A1A"/>
    <w:rPr>
      <w:sz w:val="16"/>
      <w:szCs w:val="16"/>
    </w:rPr>
  </w:style>
  <w:style w:type="paragraph" w:styleId="Kommentartext">
    <w:name w:val="annotation text"/>
    <w:basedOn w:val="Standard"/>
    <w:link w:val="KommentartextZchn"/>
    <w:rsid w:val="003B6A1A"/>
    <w:rPr>
      <w:sz w:val="20"/>
      <w:szCs w:val="20"/>
    </w:rPr>
  </w:style>
  <w:style w:type="character" w:customStyle="1" w:styleId="KommentartextZchn">
    <w:name w:val="Kommentartext Zchn"/>
    <w:link w:val="Kommentartext"/>
    <w:rsid w:val="003B6A1A"/>
    <w:rPr>
      <w:lang w:val="en-US" w:eastAsia="en-US" w:bidi="en-US"/>
    </w:rPr>
  </w:style>
  <w:style w:type="paragraph" w:styleId="Kommentarthema">
    <w:name w:val="annotation subject"/>
    <w:basedOn w:val="Kommentartext"/>
    <w:next w:val="Kommentartext"/>
    <w:link w:val="KommentarthemaZchn"/>
    <w:rsid w:val="003B6A1A"/>
    <w:rPr>
      <w:b/>
      <w:bCs/>
    </w:rPr>
  </w:style>
  <w:style w:type="character" w:customStyle="1" w:styleId="KommentarthemaZchn">
    <w:name w:val="Kommentarthema Zchn"/>
    <w:link w:val="Kommentarthema"/>
    <w:rsid w:val="003B6A1A"/>
    <w:rPr>
      <w:b/>
      <w:bCs/>
      <w:lang w:val="en-US" w:eastAsia="en-US" w:bidi="en-US"/>
    </w:rPr>
  </w:style>
  <w:style w:type="paragraph" w:customStyle="1" w:styleId="Adresse">
    <w:name w:val="Adresse"/>
    <w:basedOn w:val="Standard"/>
    <w:rsid w:val="007F0CBA"/>
    <w:pPr>
      <w:spacing w:after="0" w:line="240" w:lineRule="auto"/>
      <w:jc w:val="both"/>
    </w:pPr>
    <w:rPr>
      <w:rFonts w:ascii="Arial" w:hAnsi="Arial" w:cs="Arial"/>
      <w:sz w:val="20"/>
      <w:szCs w:val="24"/>
      <w:lang w:val="de-CH" w:eastAsia="de-DE" w:bidi="ar-SA"/>
    </w:rPr>
  </w:style>
  <w:style w:type="paragraph" w:styleId="Datum">
    <w:name w:val="Date"/>
    <w:basedOn w:val="Standard"/>
    <w:next w:val="Standard"/>
    <w:link w:val="DatumZchn"/>
    <w:rsid w:val="007F0CBA"/>
    <w:pPr>
      <w:spacing w:after="0" w:line="240" w:lineRule="auto"/>
      <w:jc w:val="both"/>
    </w:pPr>
    <w:rPr>
      <w:rFonts w:ascii="Arial" w:hAnsi="Arial"/>
      <w:sz w:val="20"/>
      <w:szCs w:val="24"/>
      <w:lang w:val="de-CH" w:eastAsia="de-DE" w:bidi="ar-SA"/>
    </w:rPr>
  </w:style>
  <w:style w:type="character" w:customStyle="1" w:styleId="DatumZchn">
    <w:name w:val="Datum Zchn"/>
    <w:basedOn w:val="Absatz-Standardschriftart"/>
    <w:link w:val="Datum"/>
    <w:rsid w:val="007F0CBA"/>
    <w:rPr>
      <w:rFonts w:ascii="Arial" w:hAnsi="Arial"/>
      <w:szCs w:val="24"/>
      <w:lang w:eastAsia="de-DE"/>
    </w:rPr>
  </w:style>
  <w:style w:type="paragraph" w:customStyle="1" w:styleId="Gruss">
    <w:name w:val="Gruss"/>
    <w:basedOn w:val="Adresse"/>
    <w:rsid w:val="007F0CBA"/>
  </w:style>
  <w:style w:type="paragraph" w:customStyle="1" w:styleId="Firma">
    <w:name w:val="Firma"/>
    <w:basedOn w:val="Adresse"/>
    <w:rsid w:val="007F0CBA"/>
    <w:rPr>
      <w:b/>
    </w:rPr>
  </w:style>
  <w:style w:type="paragraph" w:customStyle="1" w:styleId="Speicherort">
    <w:name w:val="Speicherort"/>
    <w:basedOn w:val="Standard"/>
    <w:rsid w:val="007F0CBA"/>
    <w:pPr>
      <w:spacing w:after="0" w:line="240" w:lineRule="auto"/>
      <w:jc w:val="both"/>
    </w:pPr>
    <w:rPr>
      <w:rFonts w:ascii="Arial" w:hAnsi="Arial" w:cs="Arial"/>
      <w:sz w:val="12"/>
      <w:szCs w:val="24"/>
      <w:lang w:val="de-CH" w:eastAsia="de-DE" w:bidi="ar-SA"/>
    </w:rPr>
  </w:style>
  <w:style w:type="paragraph" w:customStyle="1" w:styleId="Text">
    <w:name w:val="Text"/>
    <w:basedOn w:val="Standard"/>
    <w:rsid w:val="007F0CBA"/>
    <w:pPr>
      <w:spacing w:after="0" w:line="240" w:lineRule="auto"/>
      <w:jc w:val="both"/>
    </w:pPr>
    <w:rPr>
      <w:rFonts w:ascii="Arial" w:hAnsi="Arial" w:cs="Arial"/>
      <w:sz w:val="20"/>
      <w:szCs w:val="24"/>
      <w:lang w:val="de-CH" w:eastAsia="de-DE" w:bidi="ar-SA"/>
    </w:rPr>
  </w:style>
  <w:style w:type="paragraph" w:customStyle="1" w:styleId="Unterschrift1">
    <w:name w:val="Unterschrift1"/>
    <w:basedOn w:val="Standard"/>
    <w:rsid w:val="007F0CBA"/>
    <w:pPr>
      <w:spacing w:after="0" w:line="240" w:lineRule="auto"/>
      <w:jc w:val="both"/>
    </w:pPr>
    <w:rPr>
      <w:rFonts w:ascii="Arial" w:hAnsi="Arial" w:cs="Arial"/>
      <w:sz w:val="16"/>
      <w:szCs w:val="24"/>
      <w:lang w:val="de-CH" w:eastAsia="de-DE" w:bidi="ar-SA"/>
    </w:rPr>
  </w:style>
  <w:style w:type="paragraph" w:customStyle="1" w:styleId="Betreff">
    <w:name w:val="Betreff"/>
    <w:basedOn w:val="Unterschrift1"/>
    <w:rsid w:val="007F0CBA"/>
    <w:rPr>
      <w:b/>
      <w:sz w:val="24"/>
      <w:lang w:val="de-DE"/>
    </w:rPr>
  </w:style>
  <w:style w:type="paragraph" w:styleId="Textkrper">
    <w:name w:val="Body Text"/>
    <w:basedOn w:val="Standard"/>
    <w:link w:val="TextkrperZchn"/>
    <w:rsid w:val="00001F84"/>
    <w:pPr>
      <w:spacing w:after="120"/>
    </w:pPr>
    <w:rPr>
      <w:rFonts w:asciiTheme="majorHAnsi" w:eastAsiaTheme="majorEastAsia" w:hAnsiTheme="majorHAnsi" w:cstheme="majorBidi"/>
    </w:rPr>
  </w:style>
  <w:style w:type="character" w:customStyle="1" w:styleId="TextkrperZchn">
    <w:name w:val="Textkörper Zchn"/>
    <w:basedOn w:val="Absatz-Standardschriftart"/>
    <w:link w:val="Textkrper"/>
    <w:rsid w:val="00001F84"/>
    <w:rPr>
      <w:rFonts w:asciiTheme="majorHAnsi" w:eastAsiaTheme="majorEastAsia" w:hAnsiTheme="majorHAnsi" w:cstheme="majorBidi"/>
      <w:sz w:val="22"/>
      <w:szCs w:val="22"/>
      <w:lang w:val="en-US" w:eastAsia="en-US" w:bidi="en-US"/>
    </w:rPr>
  </w:style>
  <w:style w:type="character" w:styleId="NichtaufgelsteErwhnung">
    <w:name w:val="Unresolved Mention"/>
    <w:basedOn w:val="Absatz-Standardschriftart"/>
    <w:uiPriority w:val="99"/>
    <w:semiHidden/>
    <w:unhideWhenUsed/>
    <w:rsid w:val="005836F2"/>
    <w:rPr>
      <w:color w:val="605E5C"/>
      <w:shd w:val="clear" w:color="auto" w:fill="E1DFDD"/>
    </w:rPr>
  </w:style>
  <w:style w:type="paragraph" w:styleId="berarbeitung">
    <w:name w:val="Revision"/>
    <w:hidden/>
    <w:uiPriority w:val="99"/>
    <w:semiHidden/>
    <w:rsid w:val="00944204"/>
    <w:rPr>
      <w:sz w:val="22"/>
      <w:szCs w:val="22"/>
      <w:lang w:val="en-US" w:eastAsia="en-US" w:bidi="en-US"/>
    </w:rPr>
  </w:style>
  <w:style w:type="paragraph" w:styleId="Verzeichnis4">
    <w:name w:val="toc 4"/>
    <w:basedOn w:val="Standard"/>
    <w:next w:val="Standard"/>
    <w:autoRedefine/>
    <w:unhideWhenUsed/>
    <w:rsid w:val="002A76D8"/>
    <w:pPr>
      <w:spacing w:after="0"/>
      <w:ind w:left="660"/>
    </w:pPr>
    <w:rPr>
      <w:rFonts w:asciiTheme="minorHAnsi" w:hAnsiTheme="minorHAnsi" w:cstheme="minorHAnsi"/>
      <w:sz w:val="18"/>
      <w:szCs w:val="18"/>
    </w:rPr>
  </w:style>
  <w:style w:type="paragraph" w:styleId="Verzeichnis5">
    <w:name w:val="toc 5"/>
    <w:basedOn w:val="Standard"/>
    <w:next w:val="Standard"/>
    <w:autoRedefine/>
    <w:unhideWhenUsed/>
    <w:rsid w:val="002A76D8"/>
    <w:pPr>
      <w:spacing w:after="0"/>
      <w:ind w:left="880"/>
    </w:pPr>
    <w:rPr>
      <w:rFonts w:asciiTheme="minorHAnsi" w:hAnsiTheme="minorHAnsi" w:cstheme="minorHAnsi"/>
      <w:sz w:val="18"/>
      <w:szCs w:val="18"/>
    </w:rPr>
  </w:style>
  <w:style w:type="paragraph" w:styleId="Verzeichnis6">
    <w:name w:val="toc 6"/>
    <w:basedOn w:val="Standard"/>
    <w:next w:val="Standard"/>
    <w:autoRedefine/>
    <w:unhideWhenUsed/>
    <w:rsid w:val="002A76D8"/>
    <w:pPr>
      <w:spacing w:after="0"/>
      <w:ind w:left="1100"/>
    </w:pPr>
    <w:rPr>
      <w:rFonts w:asciiTheme="minorHAnsi" w:hAnsiTheme="minorHAnsi" w:cstheme="minorHAnsi"/>
      <w:sz w:val="18"/>
      <w:szCs w:val="18"/>
    </w:rPr>
  </w:style>
  <w:style w:type="paragraph" w:styleId="Verzeichnis7">
    <w:name w:val="toc 7"/>
    <w:basedOn w:val="Standard"/>
    <w:next w:val="Standard"/>
    <w:autoRedefine/>
    <w:unhideWhenUsed/>
    <w:rsid w:val="002A76D8"/>
    <w:pPr>
      <w:spacing w:after="0"/>
      <w:ind w:left="1320"/>
    </w:pPr>
    <w:rPr>
      <w:rFonts w:asciiTheme="minorHAnsi" w:hAnsiTheme="minorHAnsi" w:cstheme="minorHAnsi"/>
      <w:sz w:val="18"/>
      <w:szCs w:val="18"/>
    </w:rPr>
  </w:style>
  <w:style w:type="paragraph" w:styleId="Verzeichnis8">
    <w:name w:val="toc 8"/>
    <w:basedOn w:val="Standard"/>
    <w:next w:val="Standard"/>
    <w:autoRedefine/>
    <w:unhideWhenUsed/>
    <w:rsid w:val="002A76D8"/>
    <w:pPr>
      <w:spacing w:after="0"/>
      <w:ind w:left="1540"/>
    </w:pPr>
    <w:rPr>
      <w:rFonts w:asciiTheme="minorHAnsi" w:hAnsiTheme="minorHAnsi" w:cstheme="minorHAnsi"/>
      <w:sz w:val="18"/>
      <w:szCs w:val="18"/>
    </w:rPr>
  </w:style>
  <w:style w:type="paragraph" w:styleId="Verzeichnis9">
    <w:name w:val="toc 9"/>
    <w:basedOn w:val="Standard"/>
    <w:next w:val="Standard"/>
    <w:autoRedefine/>
    <w:unhideWhenUsed/>
    <w:rsid w:val="002A76D8"/>
    <w:pPr>
      <w:spacing w:after="0"/>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039">
      <w:bodyDiv w:val="1"/>
      <w:marLeft w:val="0"/>
      <w:marRight w:val="0"/>
      <w:marTop w:val="0"/>
      <w:marBottom w:val="0"/>
      <w:divBdr>
        <w:top w:val="none" w:sz="0" w:space="0" w:color="auto"/>
        <w:left w:val="none" w:sz="0" w:space="0" w:color="auto"/>
        <w:bottom w:val="none" w:sz="0" w:space="0" w:color="auto"/>
        <w:right w:val="none" w:sz="0" w:space="0" w:color="auto"/>
      </w:divBdr>
      <w:divsChild>
        <w:div w:id="510459971">
          <w:marLeft w:val="0"/>
          <w:marRight w:val="0"/>
          <w:marTop w:val="0"/>
          <w:marBottom w:val="0"/>
          <w:divBdr>
            <w:top w:val="none" w:sz="0" w:space="0" w:color="auto"/>
            <w:left w:val="none" w:sz="0" w:space="0" w:color="auto"/>
            <w:bottom w:val="none" w:sz="0" w:space="0" w:color="auto"/>
            <w:right w:val="none" w:sz="0" w:space="0" w:color="auto"/>
          </w:divBdr>
          <w:divsChild>
            <w:div w:id="197788973">
              <w:marLeft w:val="0"/>
              <w:marRight w:val="0"/>
              <w:marTop w:val="0"/>
              <w:marBottom w:val="0"/>
              <w:divBdr>
                <w:top w:val="none" w:sz="0" w:space="0" w:color="auto"/>
                <w:left w:val="none" w:sz="0" w:space="0" w:color="auto"/>
                <w:bottom w:val="none" w:sz="0" w:space="0" w:color="auto"/>
                <w:right w:val="none" w:sz="0" w:space="0" w:color="auto"/>
              </w:divBdr>
              <w:divsChild>
                <w:div w:id="1785885944">
                  <w:marLeft w:val="0"/>
                  <w:marRight w:val="0"/>
                  <w:marTop w:val="0"/>
                  <w:marBottom w:val="0"/>
                  <w:divBdr>
                    <w:top w:val="none" w:sz="0" w:space="0" w:color="auto"/>
                    <w:left w:val="none" w:sz="0" w:space="0" w:color="auto"/>
                    <w:bottom w:val="none" w:sz="0" w:space="0" w:color="auto"/>
                    <w:right w:val="none" w:sz="0" w:space="0" w:color="auto"/>
                  </w:divBdr>
                  <w:divsChild>
                    <w:div w:id="1387753833">
                      <w:marLeft w:val="0"/>
                      <w:marRight w:val="0"/>
                      <w:marTop w:val="0"/>
                      <w:marBottom w:val="0"/>
                      <w:divBdr>
                        <w:top w:val="none" w:sz="0" w:space="0" w:color="auto"/>
                        <w:left w:val="none" w:sz="0" w:space="0" w:color="auto"/>
                        <w:bottom w:val="none" w:sz="0" w:space="0" w:color="auto"/>
                        <w:right w:val="none" w:sz="0" w:space="0" w:color="auto"/>
                      </w:divBdr>
                      <w:divsChild>
                        <w:div w:id="1040281683">
                          <w:marLeft w:val="0"/>
                          <w:marRight w:val="0"/>
                          <w:marTop w:val="0"/>
                          <w:marBottom w:val="0"/>
                          <w:divBdr>
                            <w:top w:val="none" w:sz="0" w:space="0" w:color="auto"/>
                            <w:left w:val="none" w:sz="0" w:space="0" w:color="auto"/>
                            <w:bottom w:val="none" w:sz="0" w:space="0" w:color="auto"/>
                            <w:right w:val="none" w:sz="0" w:space="0" w:color="auto"/>
                          </w:divBdr>
                          <w:divsChild>
                            <w:div w:id="1922565465">
                              <w:marLeft w:val="0"/>
                              <w:marRight w:val="0"/>
                              <w:marTop w:val="0"/>
                              <w:marBottom w:val="0"/>
                              <w:divBdr>
                                <w:top w:val="none" w:sz="0" w:space="0" w:color="auto"/>
                                <w:left w:val="none" w:sz="0" w:space="0" w:color="auto"/>
                                <w:bottom w:val="none" w:sz="0" w:space="0" w:color="auto"/>
                                <w:right w:val="none" w:sz="0" w:space="0" w:color="auto"/>
                              </w:divBdr>
                              <w:divsChild>
                                <w:div w:id="420028511">
                                  <w:marLeft w:val="0"/>
                                  <w:marRight w:val="0"/>
                                  <w:marTop w:val="0"/>
                                  <w:marBottom w:val="0"/>
                                  <w:divBdr>
                                    <w:top w:val="none" w:sz="0" w:space="0" w:color="auto"/>
                                    <w:left w:val="none" w:sz="0" w:space="0" w:color="auto"/>
                                    <w:bottom w:val="none" w:sz="0" w:space="0" w:color="auto"/>
                                    <w:right w:val="none" w:sz="0" w:space="0" w:color="auto"/>
                                  </w:divBdr>
                                  <w:divsChild>
                                    <w:div w:id="1679113744">
                                      <w:marLeft w:val="0"/>
                                      <w:marRight w:val="0"/>
                                      <w:marTop w:val="0"/>
                                      <w:marBottom w:val="0"/>
                                      <w:divBdr>
                                        <w:top w:val="none" w:sz="0" w:space="0" w:color="auto"/>
                                        <w:left w:val="none" w:sz="0" w:space="0" w:color="auto"/>
                                        <w:bottom w:val="none" w:sz="0" w:space="0" w:color="auto"/>
                                        <w:right w:val="none" w:sz="0" w:space="0" w:color="auto"/>
                                      </w:divBdr>
                                      <w:divsChild>
                                        <w:div w:id="1098526048">
                                          <w:marLeft w:val="0"/>
                                          <w:marRight w:val="0"/>
                                          <w:marTop w:val="0"/>
                                          <w:marBottom w:val="0"/>
                                          <w:divBdr>
                                            <w:top w:val="none" w:sz="0" w:space="0" w:color="auto"/>
                                            <w:left w:val="none" w:sz="0" w:space="0" w:color="auto"/>
                                            <w:bottom w:val="none" w:sz="0" w:space="0" w:color="auto"/>
                                            <w:right w:val="none" w:sz="0" w:space="0" w:color="auto"/>
                                          </w:divBdr>
                                          <w:divsChild>
                                            <w:div w:id="71393695">
                                              <w:marLeft w:val="0"/>
                                              <w:marRight w:val="0"/>
                                              <w:marTop w:val="0"/>
                                              <w:marBottom w:val="0"/>
                                              <w:divBdr>
                                                <w:top w:val="none" w:sz="0" w:space="0" w:color="auto"/>
                                                <w:left w:val="none" w:sz="0" w:space="0" w:color="auto"/>
                                                <w:bottom w:val="none" w:sz="0" w:space="0" w:color="auto"/>
                                                <w:right w:val="none" w:sz="0" w:space="0" w:color="auto"/>
                                              </w:divBdr>
                                              <w:divsChild>
                                                <w:div w:id="63368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4193507">
      <w:bodyDiv w:val="1"/>
      <w:marLeft w:val="0"/>
      <w:marRight w:val="0"/>
      <w:marTop w:val="0"/>
      <w:marBottom w:val="0"/>
      <w:divBdr>
        <w:top w:val="none" w:sz="0" w:space="0" w:color="auto"/>
        <w:left w:val="none" w:sz="0" w:space="0" w:color="auto"/>
        <w:bottom w:val="none" w:sz="0" w:space="0" w:color="auto"/>
        <w:right w:val="none" w:sz="0" w:space="0" w:color="auto"/>
      </w:divBdr>
      <w:divsChild>
        <w:div w:id="285047930">
          <w:marLeft w:val="1411"/>
          <w:marRight w:val="0"/>
          <w:marTop w:val="120"/>
          <w:marBottom w:val="0"/>
          <w:divBdr>
            <w:top w:val="none" w:sz="0" w:space="0" w:color="auto"/>
            <w:left w:val="none" w:sz="0" w:space="0" w:color="auto"/>
            <w:bottom w:val="none" w:sz="0" w:space="0" w:color="auto"/>
            <w:right w:val="none" w:sz="0" w:space="0" w:color="auto"/>
          </w:divBdr>
        </w:div>
      </w:divsChild>
    </w:div>
    <w:div w:id="389381430">
      <w:bodyDiv w:val="1"/>
      <w:marLeft w:val="0"/>
      <w:marRight w:val="0"/>
      <w:marTop w:val="0"/>
      <w:marBottom w:val="0"/>
      <w:divBdr>
        <w:top w:val="none" w:sz="0" w:space="0" w:color="auto"/>
        <w:left w:val="none" w:sz="0" w:space="0" w:color="auto"/>
        <w:bottom w:val="none" w:sz="0" w:space="0" w:color="auto"/>
        <w:right w:val="none" w:sz="0" w:space="0" w:color="auto"/>
      </w:divBdr>
    </w:div>
    <w:div w:id="454179943">
      <w:bodyDiv w:val="1"/>
      <w:marLeft w:val="0"/>
      <w:marRight w:val="0"/>
      <w:marTop w:val="0"/>
      <w:marBottom w:val="0"/>
      <w:divBdr>
        <w:top w:val="none" w:sz="0" w:space="0" w:color="auto"/>
        <w:left w:val="none" w:sz="0" w:space="0" w:color="auto"/>
        <w:bottom w:val="none" w:sz="0" w:space="0" w:color="auto"/>
        <w:right w:val="none" w:sz="0" w:space="0" w:color="auto"/>
      </w:divBdr>
    </w:div>
    <w:div w:id="1103720432">
      <w:bodyDiv w:val="1"/>
      <w:marLeft w:val="0"/>
      <w:marRight w:val="0"/>
      <w:marTop w:val="0"/>
      <w:marBottom w:val="0"/>
      <w:divBdr>
        <w:top w:val="none" w:sz="0" w:space="0" w:color="auto"/>
        <w:left w:val="none" w:sz="0" w:space="0" w:color="auto"/>
        <w:bottom w:val="none" w:sz="0" w:space="0" w:color="auto"/>
        <w:right w:val="none" w:sz="0" w:space="0" w:color="auto"/>
      </w:divBdr>
    </w:div>
    <w:div w:id="1118448894">
      <w:bodyDiv w:val="1"/>
      <w:marLeft w:val="0"/>
      <w:marRight w:val="0"/>
      <w:marTop w:val="0"/>
      <w:marBottom w:val="0"/>
      <w:divBdr>
        <w:top w:val="none" w:sz="0" w:space="0" w:color="auto"/>
        <w:left w:val="none" w:sz="0" w:space="0" w:color="auto"/>
        <w:bottom w:val="none" w:sz="0" w:space="0" w:color="auto"/>
        <w:right w:val="none" w:sz="0" w:space="0" w:color="auto"/>
      </w:divBdr>
      <w:divsChild>
        <w:div w:id="188496565">
          <w:marLeft w:val="1411"/>
          <w:marRight w:val="0"/>
          <w:marTop w:val="120"/>
          <w:marBottom w:val="0"/>
          <w:divBdr>
            <w:top w:val="none" w:sz="0" w:space="0" w:color="auto"/>
            <w:left w:val="none" w:sz="0" w:space="0" w:color="auto"/>
            <w:bottom w:val="none" w:sz="0" w:space="0" w:color="auto"/>
            <w:right w:val="none" w:sz="0" w:space="0" w:color="auto"/>
          </w:divBdr>
        </w:div>
      </w:divsChild>
    </w:div>
    <w:div w:id="1131048392">
      <w:bodyDiv w:val="1"/>
      <w:marLeft w:val="0"/>
      <w:marRight w:val="0"/>
      <w:marTop w:val="0"/>
      <w:marBottom w:val="0"/>
      <w:divBdr>
        <w:top w:val="none" w:sz="0" w:space="0" w:color="auto"/>
        <w:left w:val="none" w:sz="0" w:space="0" w:color="auto"/>
        <w:bottom w:val="none" w:sz="0" w:space="0" w:color="auto"/>
        <w:right w:val="none" w:sz="0" w:space="0" w:color="auto"/>
      </w:divBdr>
    </w:div>
    <w:div w:id="1148865109">
      <w:bodyDiv w:val="1"/>
      <w:marLeft w:val="0"/>
      <w:marRight w:val="0"/>
      <w:marTop w:val="0"/>
      <w:marBottom w:val="0"/>
      <w:divBdr>
        <w:top w:val="none" w:sz="0" w:space="0" w:color="auto"/>
        <w:left w:val="none" w:sz="0" w:space="0" w:color="auto"/>
        <w:bottom w:val="none" w:sz="0" w:space="0" w:color="auto"/>
        <w:right w:val="none" w:sz="0" w:space="0" w:color="auto"/>
      </w:divBdr>
      <w:divsChild>
        <w:div w:id="367528302">
          <w:marLeft w:val="0"/>
          <w:marRight w:val="0"/>
          <w:marTop w:val="0"/>
          <w:marBottom w:val="0"/>
          <w:divBdr>
            <w:top w:val="none" w:sz="0" w:space="0" w:color="auto"/>
            <w:left w:val="none" w:sz="0" w:space="0" w:color="auto"/>
            <w:bottom w:val="none" w:sz="0" w:space="0" w:color="auto"/>
            <w:right w:val="none" w:sz="0" w:space="0" w:color="auto"/>
          </w:divBdr>
        </w:div>
      </w:divsChild>
    </w:div>
    <w:div w:id="1692797081">
      <w:bodyDiv w:val="1"/>
      <w:marLeft w:val="0"/>
      <w:marRight w:val="0"/>
      <w:marTop w:val="0"/>
      <w:marBottom w:val="0"/>
      <w:divBdr>
        <w:top w:val="none" w:sz="0" w:space="0" w:color="auto"/>
        <w:left w:val="none" w:sz="0" w:space="0" w:color="auto"/>
        <w:bottom w:val="none" w:sz="0" w:space="0" w:color="auto"/>
        <w:right w:val="none" w:sz="0" w:space="0" w:color="auto"/>
      </w:divBdr>
      <w:divsChild>
        <w:div w:id="341395073">
          <w:marLeft w:val="0"/>
          <w:marRight w:val="0"/>
          <w:marTop w:val="0"/>
          <w:marBottom w:val="0"/>
          <w:divBdr>
            <w:top w:val="none" w:sz="0" w:space="0" w:color="auto"/>
            <w:left w:val="none" w:sz="0" w:space="0" w:color="auto"/>
            <w:bottom w:val="none" w:sz="0" w:space="0" w:color="auto"/>
            <w:right w:val="none" w:sz="0" w:space="0" w:color="auto"/>
          </w:divBdr>
        </w:div>
      </w:divsChild>
    </w:div>
    <w:div w:id="1948004934">
      <w:bodyDiv w:val="1"/>
      <w:marLeft w:val="0"/>
      <w:marRight w:val="0"/>
      <w:marTop w:val="0"/>
      <w:marBottom w:val="0"/>
      <w:divBdr>
        <w:top w:val="none" w:sz="0" w:space="0" w:color="auto"/>
        <w:left w:val="none" w:sz="0" w:space="0" w:color="auto"/>
        <w:bottom w:val="none" w:sz="0" w:space="0" w:color="auto"/>
        <w:right w:val="none" w:sz="0" w:space="0" w:color="auto"/>
      </w:divBdr>
      <w:divsChild>
        <w:div w:id="687563105">
          <w:marLeft w:val="0"/>
          <w:marRight w:val="0"/>
          <w:marTop w:val="0"/>
          <w:marBottom w:val="0"/>
          <w:divBdr>
            <w:top w:val="none" w:sz="0" w:space="0" w:color="auto"/>
            <w:left w:val="none" w:sz="0" w:space="0" w:color="auto"/>
            <w:bottom w:val="none" w:sz="0" w:space="0" w:color="auto"/>
            <w:right w:val="none" w:sz="0" w:space="0" w:color="auto"/>
          </w:divBdr>
        </w:div>
      </w:divsChild>
    </w:div>
    <w:div w:id="1966302975">
      <w:bodyDiv w:val="1"/>
      <w:marLeft w:val="0"/>
      <w:marRight w:val="0"/>
      <w:marTop w:val="0"/>
      <w:marBottom w:val="0"/>
      <w:divBdr>
        <w:top w:val="none" w:sz="0" w:space="0" w:color="auto"/>
        <w:left w:val="none" w:sz="0" w:space="0" w:color="auto"/>
        <w:bottom w:val="none" w:sz="0" w:space="0" w:color="auto"/>
        <w:right w:val="none" w:sz="0" w:space="0" w:color="auto"/>
      </w:divBdr>
      <w:divsChild>
        <w:div w:id="1003361538">
          <w:marLeft w:val="0"/>
          <w:marRight w:val="0"/>
          <w:marTop w:val="0"/>
          <w:marBottom w:val="0"/>
          <w:divBdr>
            <w:top w:val="none" w:sz="0" w:space="0" w:color="auto"/>
            <w:left w:val="none" w:sz="0" w:space="0" w:color="auto"/>
            <w:bottom w:val="none" w:sz="0" w:space="0" w:color="auto"/>
            <w:right w:val="none" w:sz="0" w:space="0" w:color="auto"/>
          </w:divBdr>
        </w:div>
      </w:divsChild>
    </w:div>
    <w:div w:id="20669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BA930E-6F18-4419-90D2-40D060F4B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8008</Words>
  <Characters>50455</Characters>
  <Application>Microsoft Office Word</Application>
  <DocSecurity>0</DocSecurity>
  <Lines>420</Lines>
  <Paragraphs>116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Qualitätssicherung bei Revisionsmandaten</vt:lpstr>
      <vt:lpstr>Qualitätssicherung bei Revisionsmandaten</vt:lpstr>
    </vt:vector>
  </TitlesOfParts>
  <Company/>
  <LinksUpToDate>false</LinksUpToDate>
  <CharactersWithSpaces>58347</CharactersWithSpaces>
  <SharedDoc>false</SharedDoc>
  <HLinks>
    <vt:vector size="42" baseType="variant">
      <vt:variant>
        <vt:i4>1835088</vt:i4>
      </vt:variant>
      <vt:variant>
        <vt:i4>492</vt:i4>
      </vt:variant>
      <vt:variant>
        <vt:i4>0</vt:i4>
      </vt:variant>
      <vt:variant>
        <vt:i4>5</vt:i4>
      </vt:variant>
      <vt:variant>
        <vt:lpwstr>http://www.revisionsaufsichtsbehoerde.ch/</vt:lpwstr>
      </vt:variant>
      <vt:variant>
        <vt:lpwstr/>
      </vt:variant>
      <vt:variant>
        <vt:i4>1245266</vt:i4>
      </vt:variant>
      <vt:variant>
        <vt:i4>489</vt:i4>
      </vt:variant>
      <vt:variant>
        <vt:i4>0</vt:i4>
      </vt:variant>
      <vt:variant>
        <vt:i4>5</vt:i4>
      </vt:variant>
      <vt:variant>
        <vt:lpwstr>http://www.treuhandsuisse.ch/</vt:lpwstr>
      </vt:variant>
      <vt:variant>
        <vt:lpwstr/>
      </vt:variant>
      <vt:variant>
        <vt:i4>1507380</vt:i4>
      </vt:variant>
      <vt:variant>
        <vt:i4>26</vt:i4>
      </vt:variant>
      <vt:variant>
        <vt:i4>0</vt:i4>
      </vt:variant>
      <vt:variant>
        <vt:i4>5</vt:i4>
      </vt:variant>
      <vt:variant>
        <vt:lpwstr/>
      </vt:variant>
      <vt:variant>
        <vt:lpwstr>_Toc359071941</vt:lpwstr>
      </vt:variant>
      <vt:variant>
        <vt:i4>1507380</vt:i4>
      </vt:variant>
      <vt:variant>
        <vt:i4>20</vt:i4>
      </vt:variant>
      <vt:variant>
        <vt:i4>0</vt:i4>
      </vt:variant>
      <vt:variant>
        <vt:i4>5</vt:i4>
      </vt:variant>
      <vt:variant>
        <vt:lpwstr/>
      </vt:variant>
      <vt:variant>
        <vt:lpwstr>_Toc359071940</vt:lpwstr>
      </vt:variant>
      <vt:variant>
        <vt:i4>1048628</vt:i4>
      </vt:variant>
      <vt:variant>
        <vt:i4>14</vt:i4>
      </vt:variant>
      <vt:variant>
        <vt:i4>0</vt:i4>
      </vt:variant>
      <vt:variant>
        <vt:i4>5</vt:i4>
      </vt:variant>
      <vt:variant>
        <vt:lpwstr/>
      </vt:variant>
      <vt:variant>
        <vt:lpwstr>_Toc359071934</vt:lpwstr>
      </vt:variant>
      <vt:variant>
        <vt:i4>1114164</vt:i4>
      </vt:variant>
      <vt:variant>
        <vt:i4>8</vt:i4>
      </vt:variant>
      <vt:variant>
        <vt:i4>0</vt:i4>
      </vt:variant>
      <vt:variant>
        <vt:i4>5</vt:i4>
      </vt:variant>
      <vt:variant>
        <vt:lpwstr/>
      </vt:variant>
      <vt:variant>
        <vt:lpwstr>_Toc359071928</vt:lpwstr>
      </vt:variant>
      <vt:variant>
        <vt:i4>1114164</vt:i4>
      </vt:variant>
      <vt:variant>
        <vt:i4>2</vt:i4>
      </vt:variant>
      <vt:variant>
        <vt:i4>0</vt:i4>
      </vt:variant>
      <vt:variant>
        <vt:i4>5</vt:i4>
      </vt:variant>
      <vt:variant>
        <vt:lpwstr/>
      </vt:variant>
      <vt:variant>
        <vt:lpwstr>_Toc359071926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Qualitätssicherung bei Revisionsmandaten</dc:title>
  <dc:subject/>
  <dc:creator>Besitzer</dc:creator>
  <cp:keywords/>
  <dc:description/>
  <cp:lastModifiedBy>Jacqueline Jones</cp:lastModifiedBy>
  <cp:revision>2</cp:revision>
  <cp:lastPrinted>2013-10-01T07:46:00Z</cp:lastPrinted>
  <dcterms:created xsi:type="dcterms:W3CDTF">2026-10-07T08:35:00Z</dcterms:created>
  <dcterms:modified xsi:type="dcterms:W3CDTF">2026-10-07T08:35:00Z</dcterms:modified>
</cp:coreProperties>
</file>