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24CE2"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510C791B"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668ED626"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10BA6BBD"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5AC3F5C5"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2AB864AE" w14:textId="77777777" w:rsidR="00C927B8" w:rsidRPr="00000C03" w:rsidRDefault="00C927B8" w:rsidP="00C927B8">
      <w:pPr>
        <w:spacing w:after="200" w:line="276" w:lineRule="auto"/>
        <w:jc w:val="left"/>
        <w:rPr>
          <w:rFonts w:ascii="KievitPro-Regular" w:hAnsi="KievitPro-Regular"/>
          <w:snapToGrid/>
          <w:sz w:val="22"/>
          <w:szCs w:val="22"/>
          <w:lang w:val="fr-CH" w:eastAsia="en-US" w:bidi="en-US"/>
        </w:rPr>
      </w:pPr>
    </w:p>
    <w:p w14:paraId="7EFB2014" w14:textId="77777777" w:rsidR="00C927B8" w:rsidRPr="00000C03" w:rsidRDefault="00C927B8" w:rsidP="00C927B8">
      <w:pPr>
        <w:spacing w:after="480" w:line="276" w:lineRule="auto"/>
        <w:jc w:val="center"/>
        <w:rPr>
          <w:rFonts w:ascii="KievitPro-Regular" w:hAnsi="KievitPro-Regular" w:cs="Arial"/>
          <w:b/>
          <w:snapToGrid/>
          <w:sz w:val="52"/>
          <w:szCs w:val="52"/>
          <w:lang w:val="fr-CH" w:eastAsia="en-US" w:bidi="en-US"/>
        </w:rPr>
      </w:pPr>
      <w:r w:rsidRPr="00000C03">
        <w:rPr>
          <w:rFonts w:ascii="KievitPro-Regular" w:hAnsi="KievitPro-Regular" w:cs="Arial"/>
          <w:b/>
          <w:snapToGrid/>
          <w:sz w:val="52"/>
          <w:szCs w:val="52"/>
          <w:lang w:val="fr-CH" w:eastAsia="en-US" w:bidi="en-US"/>
        </w:rPr>
        <w:t>Manuel de gestion de la qualité</w:t>
      </w:r>
    </w:p>
    <w:p w14:paraId="030A9A4D" w14:textId="77777777" w:rsidR="00C927B8" w:rsidRPr="00000C03" w:rsidRDefault="00C927B8" w:rsidP="00C927B8">
      <w:pPr>
        <w:spacing w:after="480" w:line="276" w:lineRule="auto"/>
        <w:jc w:val="center"/>
        <w:rPr>
          <w:rFonts w:ascii="KievitPro-Regular" w:hAnsi="KievitPro-Regular" w:cs="Arial"/>
          <w:b/>
          <w:snapToGrid/>
          <w:sz w:val="52"/>
          <w:szCs w:val="52"/>
          <w:lang w:val="fr-CH" w:eastAsia="en-US" w:bidi="en-US"/>
        </w:rPr>
      </w:pPr>
      <w:r w:rsidRPr="00000C03">
        <w:rPr>
          <w:rFonts w:ascii="KievitPro-Regular" w:hAnsi="KievitPro-Regular" w:cs="Arial"/>
          <w:b/>
          <w:snapToGrid/>
          <w:sz w:val="52"/>
          <w:szCs w:val="52"/>
          <w:lang w:val="fr-CH" w:eastAsia="en-US" w:bidi="en-US"/>
        </w:rPr>
        <w:t>De l’Exemple SA</w:t>
      </w:r>
    </w:p>
    <w:p w14:paraId="48CE3957" w14:textId="77777777" w:rsidR="00C927B8" w:rsidRPr="00000C03" w:rsidRDefault="00C927B8" w:rsidP="00C927B8">
      <w:pPr>
        <w:spacing w:after="480" w:line="276" w:lineRule="auto"/>
        <w:jc w:val="center"/>
        <w:rPr>
          <w:rFonts w:ascii="KievitPro-Regular" w:hAnsi="KievitPro-Regular" w:cs="Arial"/>
          <w:b/>
          <w:snapToGrid/>
          <w:sz w:val="52"/>
          <w:szCs w:val="52"/>
          <w:lang w:val="fr-CH" w:eastAsia="en-US" w:bidi="en-US"/>
        </w:rPr>
      </w:pPr>
      <w:r w:rsidRPr="00000C03">
        <w:rPr>
          <w:rFonts w:ascii="KievitPro-Regular" w:hAnsi="KievitPro-Regular" w:cs="Arial"/>
          <w:b/>
          <w:snapToGrid/>
          <w:sz w:val="52"/>
          <w:szCs w:val="52"/>
          <w:lang w:val="fr-CH" w:eastAsia="en-US" w:bidi="en-US"/>
        </w:rPr>
        <w:t>(Prestations de révision)</w:t>
      </w:r>
    </w:p>
    <w:p w14:paraId="2A7A8F62" w14:textId="77777777" w:rsidR="00C927B8" w:rsidRPr="00000C03" w:rsidRDefault="00C927B8" w:rsidP="00C927B8">
      <w:pPr>
        <w:spacing w:after="480" w:line="276" w:lineRule="auto"/>
        <w:jc w:val="center"/>
        <w:rPr>
          <w:rFonts w:ascii="KievitPro-Regular" w:hAnsi="KievitPro-Regular" w:cs="Arial"/>
          <w:b/>
          <w:snapToGrid/>
          <w:sz w:val="52"/>
          <w:szCs w:val="52"/>
          <w:lang w:val="fr-CH" w:eastAsia="en-US" w:bidi="en-US"/>
        </w:rPr>
      </w:pPr>
      <w:r w:rsidRPr="00000C03">
        <w:rPr>
          <w:rFonts w:ascii="KievitPro-Regular" w:hAnsi="KievitPro-Regular"/>
          <w:noProof/>
          <w:snapToGrid/>
          <w:sz w:val="22"/>
          <w:szCs w:val="22"/>
          <w:lang w:val="fr-CH" w:eastAsia="en-US" w:bidi="en-US"/>
        </w:rPr>
        <w:drawing>
          <wp:anchor distT="0" distB="0" distL="114300" distR="114300" simplePos="0" relativeHeight="251659264" behindDoc="0" locked="0" layoutInCell="1" allowOverlap="1" wp14:anchorId="25DADC9F" wp14:editId="584E9601">
            <wp:simplePos x="0" y="0"/>
            <wp:positionH relativeFrom="column">
              <wp:posOffset>1439009</wp:posOffset>
            </wp:positionH>
            <wp:positionV relativeFrom="paragraph">
              <wp:posOffset>537895</wp:posOffset>
            </wp:positionV>
            <wp:extent cx="3018155" cy="611505"/>
            <wp:effectExtent l="0" t="0" r="0" b="0"/>
            <wp:wrapTopAndBottom/>
            <wp:docPr id="201392291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815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DB65BD" w14:textId="77777777" w:rsidR="00C927B8" w:rsidRPr="00000C03" w:rsidRDefault="00C927B8" w:rsidP="00C927B8">
      <w:pPr>
        <w:spacing w:after="200" w:line="276" w:lineRule="auto"/>
        <w:jc w:val="left"/>
        <w:rPr>
          <w:rFonts w:ascii="KievitPro-Regular" w:hAnsi="KievitPro-Regular" w:cs="Arial"/>
          <w:b/>
          <w:snapToGrid/>
          <w:sz w:val="52"/>
          <w:szCs w:val="52"/>
          <w:lang w:val="fr-CH" w:eastAsia="en-US" w:bidi="en-US"/>
        </w:rPr>
      </w:pPr>
      <w:r w:rsidRPr="00000C03">
        <w:rPr>
          <w:rFonts w:ascii="KievitPro-Regular" w:hAnsi="KievitPro-Regular" w:cs="Arial"/>
          <w:b/>
          <w:smallCaps/>
          <w:snapToGrid/>
          <w:sz w:val="52"/>
          <w:szCs w:val="52"/>
          <w:lang w:val="fr-CH" w:eastAsia="en-US" w:bidi="en-US"/>
        </w:rPr>
        <w:br w:type="page"/>
      </w:r>
    </w:p>
    <w:p w14:paraId="0DDAD3E9" w14:textId="7FDF479F" w:rsidR="00C927B8" w:rsidRPr="00000C03" w:rsidRDefault="00C927B8" w:rsidP="00C927B8">
      <w:pPr>
        <w:spacing w:before="480" w:after="240" w:line="276" w:lineRule="auto"/>
        <w:contextualSpacing/>
        <w:jc w:val="left"/>
        <w:rPr>
          <w:rFonts w:ascii="KievitPro-Regular" w:hAnsi="KievitPro-Regular" w:cs="Arial"/>
          <w:b/>
          <w:bCs/>
          <w:smallCaps/>
          <w:snapToGrid/>
          <w:spacing w:val="5"/>
          <w:sz w:val="28"/>
          <w:szCs w:val="36"/>
          <w:lang w:val="fr-CH" w:eastAsia="en-US"/>
        </w:rPr>
      </w:pPr>
      <w:r w:rsidRPr="00000C03">
        <w:rPr>
          <w:rFonts w:ascii="KievitPro-Regular" w:hAnsi="KievitPro-Regular" w:cs="Arial"/>
          <w:b/>
          <w:bCs/>
          <w:smallCaps/>
          <w:snapToGrid/>
          <w:spacing w:val="5"/>
          <w:sz w:val="28"/>
          <w:szCs w:val="36"/>
          <w:lang w:val="fr-CH" w:eastAsia="en-US"/>
        </w:rPr>
        <w:lastRenderedPageBreak/>
        <w:t xml:space="preserve">Sommaire </w:t>
      </w:r>
    </w:p>
    <w:p w14:paraId="49B53D30" w14:textId="77777777" w:rsidR="008630BE" w:rsidRPr="00000C03" w:rsidRDefault="008630BE" w:rsidP="00C927B8">
      <w:pPr>
        <w:spacing w:before="480" w:after="240" w:line="276" w:lineRule="auto"/>
        <w:contextualSpacing/>
        <w:jc w:val="left"/>
        <w:rPr>
          <w:rFonts w:ascii="KievitPro-Regular" w:hAnsi="KievitPro-Regular" w:cs="Arial"/>
          <w:b/>
          <w:bCs/>
          <w:smallCaps/>
          <w:snapToGrid/>
          <w:spacing w:val="5"/>
          <w:sz w:val="28"/>
          <w:szCs w:val="36"/>
          <w:lang w:val="fr-CH" w:eastAsia="en-US"/>
        </w:rPr>
      </w:pPr>
    </w:p>
    <w:p w14:paraId="2274FA9D" w14:textId="25B00A07" w:rsidR="004624F4" w:rsidRDefault="008630BE">
      <w:pPr>
        <w:pStyle w:val="Verzeichnis1"/>
        <w:rPr>
          <w:rFonts w:asciiTheme="minorHAnsi" w:eastAsiaTheme="minorEastAsia" w:hAnsiTheme="minorHAnsi" w:cstheme="minorBidi"/>
          <w:snapToGrid/>
          <w:kern w:val="2"/>
          <w:sz w:val="24"/>
          <w:szCs w:val="24"/>
          <w:lang w:eastAsia="de-CH"/>
          <w14:ligatures w14:val="standardContextual"/>
        </w:rPr>
      </w:pPr>
      <w:r w:rsidRPr="00000C03">
        <w:rPr>
          <w:rFonts w:ascii="KievitPro-Regular" w:hAnsi="KievitPro-Regular" w:cs="Arial"/>
          <w:iCs/>
          <w:noProof w:val="0"/>
          <w:snapToGrid/>
          <w:sz w:val="28"/>
          <w:lang w:val="fr-CH" w:eastAsia="en-US" w:bidi="en-US"/>
        </w:rPr>
        <w:fldChar w:fldCharType="begin"/>
      </w:r>
      <w:r w:rsidRPr="00000C03">
        <w:rPr>
          <w:rFonts w:ascii="KievitPro-Regular" w:hAnsi="KievitPro-Regular" w:cs="Arial"/>
          <w:iCs/>
          <w:noProof w:val="0"/>
          <w:snapToGrid/>
          <w:sz w:val="28"/>
          <w:lang w:val="fr-CH" w:eastAsia="en-US" w:bidi="en-US"/>
        </w:rPr>
        <w:instrText xml:space="preserve"> TOC \o "1-3" \h \z \u </w:instrText>
      </w:r>
      <w:r w:rsidRPr="00000C03">
        <w:rPr>
          <w:rFonts w:ascii="KievitPro-Regular" w:hAnsi="KievitPro-Regular" w:cs="Arial"/>
          <w:iCs/>
          <w:noProof w:val="0"/>
          <w:snapToGrid/>
          <w:sz w:val="28"/>
          <w:lang w:val="fr-CH" w:eastAsia="en-US" w:bidi="en-US"/>
        </w:rPr>
        <w:fldChar w:fldCharType="separate"/>
      </w:r>
      <w:hyperlink w:anchor="_Toc242109338" w:history="1">
        <w:r w:rsidR="004624F4" w:rsidRPr="00D145CB">
          <w:rPr>
            <w:rStyle w:val="Hyperlink"/>
            <w:rFonts w:ascii="KievitPro-Regular" w:hAnsi="KievitPro-Regular" w:cs="Arial"/>
            <w:b/>
            <w:smallCaps/>
            <w:spacing w:val="5"/>
            <w:lang w:val="fr-CH" w:eastAsia="en-US"/>
          </w:rPr>
          <w:t>Stratégie et principes du système de gestion de la qualité</w:t>
        </w:r>
        <w:r w:rsidR="004624F4">
          <w:rPr>
            <w:webHidden/>
          </w:rPr>
          <w:tab/>
        </w:r>
        <w:r w:rsidR="004624F4">
          <w:rPr>
            <w:webHidden/>
          </w:rPr>
          <w:fldChar w:fldCharType="begin"/>
        </w:r>
        <w:r w:rsidR="004624F4">
          <w:rPr>
            <w:webHidden/>
          </w:rPr>
          <w:instrText xml:space="preserve"> PAGEREF _Toc242109338 \h </w:instrText>
        </w:r>
        <w:r w:rsidR="004624F4">
          <w:rPr>
            <w:webHidden/>
          </w:rPr>
        </w:r>
        <w:r w:rsidR="004624F4">
          <w:rPr>
            <w:webHidden/>
          </w:rPr>
          <w:fldChar w:fldCharType="separate"/>
        </w:r>
        <w:r w:rsidR="004624F4">
          <w:rPr>
            <w:webHidden/>
          </w:rPr>
          <w:t>4</w:t>
        </w:r>
        <w:r w:rsidR="004624F4">
          <w:rPr>
            <w:webHidden/>
          </w:rPr>
          <w:fldChar w:fldCharType="end"/>
        </w:r>
      </w:hyperlink>
    </w:p>
    <w:p w14:paraId="7CBF24EF" w14:textId="7EB02547"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39" w:history="1">
        <w:r w:rsidRPr="00D145CB">
          <w:rPr>
            <w:rStyle w:val="Hyperlink"/>
            <w:rFonts w:ascii="KievitPro-Regular" w:hAnsi="KievitPro-Regular" w:cs="Arial"/>
            <w:b/>
            <w:smallCaps/>
            <w:spacing w:val="5"/>
            <w:lang w:val="fr-CH" w:eastAsia="en-US"/>
          </w:rPr>
          <w:t>Principes fondamentaux</w:t>
        </w:r>
        <w:r>
          <w:rPr>
            <w:webHidden/>
          </w:rPr>
          <w:tab/>
        </w:r>
        <w:r>
          <w:rPr>
            <w:webHidden/>
          </w:rPr>
          <w:fldChar w:fldCharType="begin"/>
        </w:r>
        <w:r>
          <w:rPr>
            <w:webHidden/>
          </w:rPr>
          <w:instrText xml:space="preserve"> PAGEREF _Toc242109339 \h </w:instrText>
        </w:r>
        <w:r>
          <w:rPr>
            <w:webHidden/>
          </w:rPr>
        </w:r>
        <w:r>
          <w:rPr>
            <w:webHidden/>
          </w:rPr>
          <w:fldChar w:fldCharType="separate"/>
        </w:r>
        <w:r>
          <w:rPr>
            <w:webHidden/>
          </w:rPr>
          <w:t>4</w:t>
        </w:r>
        <w:r>
          <w:rPr>
            <w:webHidden/>
          </w:rPr>
          <w:fldChar w:fldCharType="end"/>
        </w:r>
      </w:hyperlink>
    </w:p>
    <w:p w14:paraId="4BF8E51A" w14:textId="12A7D740"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0" w:history="1">
        <w:r w:rsidRPr="00D145CB">
          <w:rPr>
            <w:rStyle w:val="Hyperlink"/>
            <w:rFonts w:ascii="KievitPro-Regular" w:hAnsi="KievitPro-Regular" w:cs="Arial"/>
            <w:b/>
            <w:smallCaps/>
            <w:spacing w:val="5"/>
            <w:lang w:val="fr-CH" w:eastAsia="en-US"/>
          </w:rPr>
          <w:t>Approbation</w:t>
        </w:r>
        <w:r>
          <w:rPr>
            <w:webHidden/>
          </w:rPr>
          <w:tab/>
        </w:r>
        <w:r>
          <w:rPr>
            <w:webHidden/>
          </w:rPr>
          <w:fldChar w:fldCharType="begin"/>
        </w:r>
        <w:r>
          <w:rPr>
            <w:webHidden/>
          </w:rPr>
          <w:instrText xml:space="preserve"> PAGEREF _Toc242109340 \h </w:instrText>
        </w:r>
        <w:r>
          <w:rPr>
            <w:webHidden/>
          </w:rPr>
        </w:r>
        <w:r>
          <w:rPr>
            <w:webHidden/>
          </w:rPr>
          <w:fldChar w:fldCharType="separate"/>
        </w:r>
        <w:r>
          <w:rPr>
            <w:webHidden/>
          </w:rPr>
          <w:t>5</w:t>
        </w:r>
        <w:r>
          <w:rPr>
            <w:webHidden/>
          </w:rPr>
          <w:fldChar w:fldCharType="end"/>
        </w:r>
      </w:hyperlink>
    </w:p>
    <w:p w14:paraId="2679EF16" w14:textId="3ADCF571"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1" w:history="1">
        <w:r w:rsidRPr="00D145CB">
          <w:rPr>
            <w:rStyle w:val="Hyperlink"/>
            <w:rFonts w:ascii="KievitPro-Regular" w:hAnsi="KievitPro-Regular" w:cs="Arial"/>
            <w:b/>
            <w:smallCaps/>
            <w:spacing w:val="5"/>
            <w:lang w:val="fr-CH" w:eastAsia="en-US"/>
          </w:rPr>
          <w:t>1</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Processus d’évaluation des risques du cabinet</w:t>
        </w:r>
        <w:r>
          <w:rPr>
            <w:webHidden/>
          </w:rPr>
          <w:tab/>
        </w:r>
        <w:r>
          <w:rPr>
            <w:webHidden/>
          </w:rPr>
          <w:fldChar w:fldCharType="begin"/>
        </w:r>
        <w:r>
          <w:rPr>
            <w:webHidden/>
          </w:rPr>
          <w:instrText xml:space="preserve"> PAGEREF _Toc242109341 \h </w:instrText>
        </w:r>
        <w:r>
          <w:rPr>
            <w:webHidden/>
          </w:rPr>
        </w:r>
        <w:r>
          <w:rPr>
            <w:webHidden/>
          </w:rPr>
          <w:fldChar w:fldCharType="separate"/>
        </w:r>
        <w:r>
          <w:rPr>
            <w:webHidden/>
          </w:rPr>
          <w:t>6</w:t>
        </w:r>
        <w:r>
          <w:rPr>
            <w:webHidden/>
          </w:rPr>
          <w:fldChar w:fldCharType="end"/>
        </w:r>
      </w:hyperlink>
    </w:p>
    <w:p w14:paraId="2ED5F443" w14:textId="00568C50"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2" w:history="1">
        <w:r w:rsidRPr="00D145CB">
          <w:rPr>
            <w:rStyle w:val="Hyperlink"/>
            <w:rFonts w:ascii="KievitPro-Regular" w:hAnsi="KievitPro-Regular" w:cs="Arial"/>
            <w:b/>
            <w:smallCaps/>
            <w:spacing w:val="5"/>
            <w:lang w:val="fr-CH" w:eastAsia="en-US"/>
          </w:rPr>
          <w:t>2</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Surveillance et gouvernance du système de gestion de la qualité</w:t>
        </w:r>
        <w:r>
          <w:rPr>
            <w:webHidden/>
          </w:rPr>
          <w:tab/>
        </w:r>
        <w:r>
          <w:rPr>
            <w:webHidden/>
          </w:rPr>
          <w:fldChar w:fldCharType="begin"/>
        </w:r>
        <w:r>
          <w:rPr>
            <w:webHidden/>
          </w:rPr>
          <w:instrText xml:space="preserve"> PAGEREF _Toc242109342 \h </w:instrText>
        </w:r>
        <w:r>
          <w:rPr>
            <w:webHidden/>
          </w:rPr>
        </w:r>
        <w:r>
          <w:rPr>
            <w:webHidden/>
          </w:rPr>
          <w:fldChar w:fldCharType="separate"/>
        </w:r>
        <w:r>
          <w:rPr>
            <w:webHidden/>
          </w:rPr>
          <w:t>7</w:t>
        </w:r>
        <w:r>
          <w:rPr>
            <w:webHidden/>
          </w:rPr>
          <w:fldChar w:fldCharType="end"/>
        </w:r>
      </w:hyperlink>
    </w:p>
    <w:p w14:paraId="61087CF0" w14:textId="37EB99F1"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3" w:history="1">
        <w:r w:rsidRPr="00D145CB">
          <w:rPr>
            <w:rStyle w:val="Hyperlink"/>
            <w:rFonts w:ascii="KievitPro-Regular" w:hAnsi="KievitPro-Regular" w:cs="Arial"/>
            <w:b/>
            <w:smallCaps/>
            <w:spacing w:val="5"/>
            <w:lang w:val="fr-CH" w:eastAsia="en-US"/>
          </w:rPr>
          <w:t>3</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exigences déontologiques pertinentes</w:t>
        </w:r>
        <w:r>
          <w:rPr>
            <w:webHidden/>
          </w:rPr>
          <w:tab/>
        </w:r>
        <w:r>
          <w:rPr>
            <w:webHidden/>
          </w:rPr>
          <w:fldChar w:fldCharType="begin"/>
        </w:r>
        <w:r>
          <w:rPr>
            <w:webHidden/>
          </w:rPr>
          <w:instrText xml:space="preserve"> PAGEREF _Toc242109343 \h </w:instrText>
        </w:r>
        <w:r>
          <w:rPr>
            <w:webHidden/>
          </w:rPr>
        </w:r>
        <w:r>
          <w:rPr>
            <w:webHidden/>
          </w:rPr>
          <w:fldChar w:fldCharType="separate"/>
        </w:r>
        <w:r>
          <w:rPr>
            <w:webHidden/>
          </w:rPr>
          <w:t>8</w:t>
        </w:r>
        <w:r>
          <w:rPr>
            <w:webHidden/>
          </w:rPr>
          <w:fldChar w:fldCharType="end"/>
        </w:r>
      </w:hyperlink>
    </w:p>
    <w:p w14:paraId="1DADF1C9" w14:textId="3C00FA46"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4" w:history="1">
        <w:r w:rsidRPr="00D145CB">
          <w:rPr>
            <w:rStyle w:val="Hyperlink"/>
            <w:rFonts w:ascii="KievitPro-Regular" w:hAnsi="KievitPro-Regular" w:cs="Arial"/>
            <w:b/>
            <w:smallCaps/>
            <w:spacing w:val="5"/>
            <w:lang w:val="fr-CH" w:eastAsia="en-US"/>
          </w:rPr>
          <w:t>4</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acceptation et poursuite des relations avec les mandants ainsi que certains mandats</w:t>
        </w:r>
        <w:r>
          <w:rPr>
            <w:webHidden/>
          </w:rPr>
          <w:tab/>
        </w:r>
        <w:r>
          <w:rPr>
            <w:webHidden/>
          </w:rPr>
          <w:fldChar w:fldCharType="begin"/>
        </w:r>
        <w:r>
          <w:rPr>
            <w:webHidden/>
          </w:rPr>
          <w:instrText xml:space="preserve"> PAGEREF _Toc242109344 \h </w:instrText>
        </w:r>
        <w:r>
          <w:rPr>
            <w:webHidden/>
          </w:rPr>
        </w:r>
        <w:r>
          <w:rPr>
            <w:webHidden/>
          </w:rPr>
          <w:fldChar w:fldCharType="separate"/>
        </w:r>
        <w:r>
          <w:rPr>
            <w:webHidden/>
          </w:rPr>
          <w:t>10</w:t>
        </w:r>
        <w:r>
          <w:rPr>
            <w:webHidden/>
          </w:rPr>
          <w:fldChar w:fldCharType="end"/>
        </w:r>
      </w:hyperlink>
    </w:p>
    <w:p w14:paraId="35216364" w14:textId="41C430EA"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5" w:history="1">
        <w:r w:rsidRPr="00D145CB">
          <w:rPr>
            <w:rStyle w:val="Hyperlink"/>
            <w:rFonts w:ascii="KievitPro-Regular" w:hAnsi="KievitPro-Regular" w:cs="Arial"/>
            <w:b/>
            <w:smallCaps/>
            <w:spacing w:val="5"/>
            <w:lang w:val="fr-CH" w:eastAsia="en-US"/>
          </w:rPr>
          <w:t>5</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Ressources</w:t>
        </w:r>
        <w:r>
          <w:rPr>
            <w:webHidden/>
          </w:rPr>
          <w:tab/>
        </w:r>
        <w:r>
          <w:rPr>
            <w:webHidden/>
          </w:rPr>
          <w:fldChar w:fldCharType="begin"/>
        </w:r>
        <w:r>
          <w:rPr>
            <w:webHidden/>
          </w:rPr>
          <w:instrText xml:space="preserve"> PAGEREF _Toc242109345 \h </w:instrText>
        </w:r>
        <w:r>
          <w:rPr>
            <w:webHidden/>
          </w:rPr>
        </w:r>
        <w:r>
          <w:rPr>
            <w:webHidden/>
          </w:rPr>
          <w:fldChar w:fldCharType="separate"/>
        </w:r>
        <w:r>
          <w:rPr>
            <w:webHidden/>
          </w:rPr>
          <w:t>11</w:t>
        </w:r>
        <w:r>
          <w:rPr>
            <w:webHidden/>
          </w:rPr>
          <w:fldChar w:fldCharType="end"/>
        </w:r>
      </w:hyperlink>
    </w:p>
    <w:p w14:paraId="5CEED615" w14:textId="63FBBACB"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46" w:history="1">
        <w:r w:rsidRPr="00D145CB">
          <w:rPr>
            <w:rStyle w:val="Hyperlink"/>
            <w:rFonts w:ascii="KievitPro-Regular" w:hAnsi="KievitPro-Regular" w:cs="Arial"/>
            <w:b/>
            <w:smallCaps/>
            <w:spacing w:val="5"/>
            <w:lang w:val="fr-CH" w:eastAsia="en-US"/>
          </w:rPr>
          <w:t>6</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Exécutions des mandats</w:t>
        </w:r>
        <w:r>
          <w:rPr>
            <w:webHidden/>
          </w:rPr>
          <w:tab/>
        </w:r>
        <w:r>
          <w:rPr>
            <w:webHidden/>
          </w:rPr>
          <w:fldChar w:fldCharType="begin"/>
        </w:r>
        <w:r>
          <w:rPr>
            <w:webHidden/>
          </w:rPr>
          <w:instrText xml:space="preserve"> PAGEREF _Toc242109346 \h </w:instrText>
        </w:r>
        <w:r>
          <w:rPr>
            <w:webHidden/>
          </w:rPr>
        </w:r>
        <w:r>
          <w:rPr>
            <w:webHidden/>
          </w:rPr>
          <w:fldChar w:fldCharType="separate"/>
        </w:r>
        <w:r>
          <w:rPr>
            <w:webHidden/>
          </w:rPr>
          <w:t>13</w:t>
        </w:r>
        <w:r>
          <w:rPr>
            <w:webHidden/>
          </w:rPr>
          <w:fldChar w:fldCharType="end"/>
        </w:r>
      </w:hyperlink>
    </w:p>
    <w:p w14:paraId="5197CCE7" w14:textId="0885BF56"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47" w:history="1">
        <w:r w:rsidRPr="00D145CB">
          <w:rPr>
            <w:rStyle w:val="Hyperlink"/>
            <w:rFonts w:ascii="KievitPro-Regular" w:hAnsi="KievitPro-Regular" w:cs="Arial"/>
            <w:b/>
            <w:smallCaps/>
            <w:lang w:val="fr-CH" w:eastAsia="en-US"/>
          </w:rPr>
          <w:t>6.1</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Dispositions et mesures</w:t>
        </w:r>
        <w:r>
          <w:rPr>
            <w:webHidden/>
          </w:rPr>
          <w:tab/>
        </w:r>
        <w:r>
          <w:rPr>
            <w:webHidden/>
          </w:rPr>
          <w:fldChar w:fldCharType="begin"/>
        </w:r>
        <w:r>
          <w:rPr>
            <w:webHidden/>
          </w:rPr>
          <w:instrText xml:space="preserve"> PAGEREF _Toc242109347 \h </w:instrText>
        </w:r>
        <w:r>
          <w:rPr>
            <w:webHidden/>
          </w:rPr>
        </w:r>
        <w:r>
          <w:rPr>
            <w:webHidden/>
          </w:rPr>
          <w:fldChar w:fldCharType="separate"/>
        </w:r>
        <w:r>
          <w:rPr>
            <w:webHidden/>
          </w:rPr>
          <w:t>13</w:t>
        </w:r>
        <w:r>
          <w:rPr>
            <w:webHidden/>
          </w:rPr>
          <w:fldChar w:fldCharType="end"/>
        </w:r>
      </w:hyperlink>
    </w:p>
    <w:p w14:paraId="479C9BA0" w14:textId="2F2E1FFC"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48" w:history="1">
        <w:r w:rsidRPr="00D145CB">
          <w:rPr>
            <w:rStyle w:val="Hyperlink"/>
            <w:rFonts w:ascii="KievitPro-Regular" w:hAnsi="KievitPro-Regular" w:cs="Arial"/>
            <w:b/>
            <w:smallCaps/>
            <w:lang w:val="fr-CH" w:eastAsia="en-US"/>
          </w:rPr>
          <w:t>6.2</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Qualité constante lors de l’exécution des mandats</w:t>
        </w:r>
        <w:r>
          <w:rPr>
            <w:webHidden/>
          </w:rPr>
          <w:tab/>
        </w:r>
        <w:r>
          <w:rPr>
            <w:webHidden/>
          </w:rPr>
          <w:fldChar w:fldCharType="begin"/>
        </w:r>
        <w:r>
          <w:rPr>
            <w:webHidden/>
          </w:rPr>
          <w:instrText xml:space="preserve"> PAGEREF _Toc242109348 \h </w:instrText>
        </w:r>
        <w:r>
          <w:rPr>
            <w:webHidden/>
          </w:rPr>
        </w:r>
        <w:r>
          <w:rPr>
            <w:webHidden/>
          </w:rPr>
          <w:fldChar w:fldCharType="separate"/>
        </w:r>
        <w:r>
          <w:rPr>
            <w:webHidden/>
          </w:rPr>
          <w:t>14</w:t>
        </w:r>
        <w:r>
          <w:rPr>
            <w:webHidden/>
          </w:rPr>
          <w:fldChar w:fldCharType="end"/>
        </w:r>
      </w:hyperlink>
    </w:p>
    <w:p w14:paraId="5E0B1D91" w14:textId="3537320E"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49" w:history="1">
        <w:r w:rsidRPr="00D145CB">
          <w:rPr>
            <w:rStyle w:val="Hyperlink"/>
            <w:rFonts w:ascii="KievitPro-Regular" w:hAnsi="KievitPro-Regular" w:cs="Arial"/>
            <w:b/>
            <w:smallCaps/>
            <w:lang w:val="fr-CH" w:eastAsia="en-US"/>
          </w:rPr>
          <w:t>6.3</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Surveillance de l’exécution des mandats</w:t>
        </w:r>
        <w:r>
          <w:rPr>
            <w:webHidden/>
          </w:rPr>
          <w:tab/>
        </w:r>
        <w:r>
          <w:rPr>
            <w:webHidden/>
          </w:rPr>
          <w:fldChar w:fldCharType="begin"/>
        </w:r>
        <w:r>
          <w:rPr>
            <w:webHidden/>
          </w:rPr>
          <w:instrText xml:space="preserve"> PAGEREF _Toc242109349 \h </w:instrText>
        </w:r>
        <w:r>
          <w:rPr>
            <w:webHidden/>
          </w:rPr>
        </w:r>
        <w:r>
          <w:rPr>
            <w:webHidden/>
          </w:rPr>
          <w:fldChar w:fldCharType="separate"/>
        </w:r>
        <w:r>
          <w:rPr>
            <w:webHidden/>
          </w:rPr>
          <w:t>14</w:t>
        </w:r>
        <w:r>
          <w:rPr>
            <w:webHidden/>
          </w:rPr>
          <w:fldChar w:fldCharType="end"/>
        </w:r>
      </w:hyperlink>
    </w:p>
    <w:p w14:paraId="6B7A38B6" w14:textId="7F123306"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0" w:history="1">
        <w:r w:rsidRPr="00D145CB">
          <w:rPr>
            <w:rStyle w:val="Hyperlink"/>
            <w:rFonts w:ascii="KievitPro-Regular" w:hAnsi="KievitPro-Regular" w:cs="Arial"/>
            <w:b/>
            <w:smallCaps/>
            <w:lang w:val="fr-CH" w:eastAsia="en-US"/>
          </w:rPr>
          <w:t>6.4</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Revue</w:t>
        </w:r>
        <w:r>
          <w:rPr>
            <w:webHidden/>
          </w:rPr>
          <w:tab/>
        </w:r>
        <w:r>
          <w:rPr>
            <w:webHidden/>
          </w:rPr>
          <w:fldChar w:fldCharType="begin"/>
        </w:r>
        <w:r>
          <w:rPr>
            <w:webHidden/>
          </w:rPr>
          <w:instrText xml:space="preserve"> PAGEREF _Toc242109350 \h </w:instrText>
        </w:r>
        <w:r>
          <w:rPr>
            <w:webHidden/>
          </w:rPr>
        </w:r>
        <w:r>
          <w:rPr>
            <w:webHidden/>
          </w:rPr>
          <w:fldChar w:fldCharType="separate"/>
        </w:r>
        <w:r>
          <w:rPr>
            <w:webHidden/>
          </w:rPr>
          <w:t>15</w:t>
        </w:r>
        <w:r>
          <w:rPr>
            <w:webHidden/>
          </w:rPr>
          <w:fldChar w:fldCharType="end"/>
        </w:r>
      </w:hyperlink>
    </w:p>
    <w:p w14:paraId="4ADE93AE" w14:textId="3FC1AB6B"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1" w:history="1">
        <w:r w:rsidRPr="00D145CB">
          <w:rPr>
            <w:rStyle w:val="Hyperlink"/>
            <w:rFonts w:ascii="KievitPro-Regular" w:hAnsi="KievitPro-Regular" w:cs="Arial"/>
            <w:b/>
            <w:smallCaps/>
            <w:lang w:val="fr-CH" w:eastAsia="en-US"/>
          </w:rPr>
          <w:t>6.5</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Consultation</w:t>
        </w:r>
        <w:r>
          <w:rPr>
            <w:webHidden/>
          </w:rPr>
          <w:tab/>
        </w:r>
        <w:r>
          <w:rPr>
            <w:webHidden/>
          </w:rPr>
          <w:fldChar w:fldCharType="begin"/>
        </w:r>
        <w:r>
          <w:rPr>
            <w:webHidden/>
          </w:rPr>
          <w:instrText xml:space="preserve"> PAGEREF _Toc242109351 \h </w:instrText>
        </w:r>
        <w:r>
          <w:rPr>
            <w:webHidden/>
          </w:rPr>
        </w:r>
        <w:r>
          <w:rPr>
            <w:webHidden/>
          </w:rPr>
          <w:fldChar w:fldCharType="separate"/>
        </w:r>
        <w:r>
          <w:rPr>
            <w:webHidden/>
          </w:rPr>
          <w:t>15</w:t>
        </w:r>
        <w:r>
          <w:rPr>
            <w:webHidden/>
          </w:rPr>
          <w:fldChar w:fldCharType="end"/>
        </w:r>
      </w:hyperlink>
    </w:p>
    <w:p w14:paraId="57D453E6" w14:textId="5F85DD82"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2" w:history="1">
        <w:r w:rsidRPr="00D145CB">
          <w:rPr>
            <w:rStyle w:val="Hyperlink"/>
            <w:rFonts w:ascii="KievitPro-Regular" w:hAnsi="KievitPro-Regular" w:cs="Arial"/>
            <w:b/>
            <w:smallCaps/>
            <w:lang w:val="fr-CH" w:eastAsia="en-US"/>
          </w:rPr>
          <w:t>6.6</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Revue de la qualité de la mission</w:t>
        </w:r>
        <w:r>
          <w:rPr>
            <w:webHidden/>
          </w:rPr>
          <w:tab/>
        </w:r>
        <w:r>
          <w:rPr>
            <w:webHidden/>
          </w:rPr>
          <w:fldChar w:fldCharType="begin"/>
        </w:r>
        <w:r>
          <w:rPr>
            <w:webHidden/>
          </w:rPr>
          <w:instrText xml:space="preserve"> PAGEREF _Toc242109352 \h </w:instrText>
        </w:r>
        <w:r>
          <w:rPr>
            <w:webHidden/>
          </w:rPr>
        </w:r>
        <w:r>
          <w:rPr>
            <w:webHidden/>
          </w:rPr>
          <w:fldChar w:fldCharType="separate"/>
        </w:r>
        <w:r>
          <w:rPr>
            <w:webHidden/>
          </w:rPr>
          <w:t>16</w:t>
        </w:r>
        <w:r>
          <w:rPr>
            <w:webHidden/>
          </w:rPr>
          <w:fldChar w:fldCharType="end"/>
        </w:r>
      </w:hyperlink>
    </w:p>
    <w:p w14:paraId="07A388A8" w14:textId="7D6FD8A6"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3" w:history="1">
        <w:r w:rsidRPr="00D145CB">
          <w:rPr>
            <w:rStyle w:val="Hyperlink"/>
            <w:rFonts w:ascii="KievitPro-Regular" w:hAnsi="KievitPro-Regular" w:cs="Arial"/>
            <w:b/>
            <w:smallCaps/>
            <w:lang w:val="fr-CH" w:eastAsia="en-US"/>
          </w:rPr>
          <w:t>6.7</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Critères d’aptitude du responsable de la revue de la qualité de la mission</w:t>
        </w:r>
        <w:r>
          <w:rPr>
            <w:webHidden/>
          </w:rPr>
          <w:tab/>
        </w:r>
        <w:r>
          <w:rPr>
            <w:webHidden/>
          </w:rPr>
          <w:fldChar w:fldCharType="begin"/>
        </w:r>
        <w:r>
          <w:rPr>
            <w:webHidden/>
          </w:rPr>
          <w:instrText xml:space="preserve"> PAGEREF _Toc242109353 \h </w:instrText>
        </w:r>
        <w:r>
          <w:rPr>
            <w:webHidden/>
          </w:rPr>
        </w:r>
        <w:r>
          <w:rPr>
            <w:webHidden/>
          </w:rPr>
          <w:fldChar w:fldCharType="separate"/>
        </w:r>
        <w:r>
          <w:rPr>
            <w:webHidden/>
          </w:rPr>
          <w:t>17</w:t>
        </w:r>
        <w:r>
          <w:rPr>
            <w:webHidden/>
          </w:rPr>
          <w:fldChar w:fldCharType="end"/>
        </w:r>
      </w:hyperlink>
    </w:p>
    <w:p w14:paraId="27BE504D" w14:textId="4F0C3DBB"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4" w:history="1">
        <w:r w:rsidRPr="00D145CB">
          <w:rPr>
            <w:rStyle w:val="Hyperlink"/>
            <w:rFonts w:ascii="KievitPro-Regular" w:hAnsi="KievitPro-Regular" w:cs="Arial"/>
            <w:b/>
            <w:smallCaps/>
            <w:lang w:val="fr-CH" w:eastAsia="en-US"/>
          </w:rPr>
          <w:t>6.8</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Divergences d’opinion</w:t>
        </w:r>
        <w:r>
          <w:rPr>
            <w:webHidden/>
          </w:rPr>
          <w:tab/>
        </w:r>
        <w:r>
          <w:rPr>
            <w:webHidden/>
          </w:rPr>
          <w:fldChar w:fldCharType="begin"/>
        </w:r>
        <w:r>
          <w:rPr>
            <w:webHidden/>
          </w:rPr>
          <w:instrText xml:space="preserve"> PAGEREF _Toc242109354 \h </w:instrText>
        </w:r>
        <w:r>
          <w:rPr>
            <w:webHidden/>
          </w:rPr>
        </w:r>
        <w:r>
          <w:rPr>
            <w:webHidden/>
          </w:rPr>
          <w:fldChar w:fldCharType="separate"/>
        </w:r>
        <w:r>
          <w:rPr>
            <w:webHidden/>
          </w:rPr>
          <w:t>17</w:t>
        </w:r>
        <w:r>
          <w:rPr>
            <w:webHidden/>
          </w:rPr>
          <w:fldChar w:fldCharType="end"/>
        </w:r>
      </w:hyperlink>
    </w:p>
    <w:p w14:paraId="4B1B6773" w14:textId="27A57B63"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5" w:history="1">
        <w:r w:rsidRPr="00D145CB">
          <w:rPr>
            <w:rStyle w:val="Hyperlink"/>
            <w:rFonts w:ascii="KievitPro-Regular" w:hAnsi="KievitPro-Regular" w:cs="Arial"/>
            <w:b/>
            <w:smallCaps/>
            <w:lang w:val="fr-CH" w:eastAsia="en-US"/>
          </w:rPr>
          <w:t>6.9</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Documentation de la mission</w:t>
        </w:r>
        <w:r>
          <w:rPr>
            <w:webHidden/>
          </w:rPr>
          <w:tab/>
        </w:r>
        <w:r>
          <w:rPr>
            <w:webHidden/>
          </w:rPr>
          <w:fldChar w:fldCharType="begin"/>
        </w:r>
        <w:r>
          <w:rPr>
            <w:webHidden/>
          </w:rPr>
          <w:instrText xml:space="preserve"> PAGEREF _Toc242109355 \h </w:instrText>
        </w:r>
        <w:r>
          <w:rPr>
            <w:webHidden/>
          </w:rPr>
        </w:r>
        <w:r>
          <w:rPr>
            <w:webHidden/>
          </w:rPr>
          <w:fldChar w:fldCharType="separate"/>
        </w:r>
        <w:r>
          <w:rPr>
            <w:webHidden/>
          </w:rPr>
          <w:t>18</w:t>
        </w:r>
        <w:r>
          <w:rPr>
            <w:webHidden/>
          </w:rPr>
          <w:fldChar w:fldCharType="end"/>
        </w:r>
      </w:hyperlink>
    </w:p>
    <w:p w14:paraId="755C7992" w14:textId="1F13D77D" w:rsidR="004624F4" w:rsidRDefault="004624F4">
      <w:pPr>
        <w:pStyle w:val="Verzeichnis2"/>
        <w:rPr>
          <w:rFonts w:asciiTheme="minorHAnsi" w:eastAsiaTheme="minorEastAsia" w:hAnsiTheme="minorHAnsi" w:cstheme="minorBidi"/>
          <w:snapToGrid/>
          <w:kern w:val="2"/>
          <w:sz w:val="24"/>
          <w:szCs w:val="24"/>
          <w:lang w:eastAsia="de-CH"/>
          <w14:ligatures w14:val="standardContextual"/>
        </w:rPr>
      </w:pPr>
      <w:hyperlink w:anchor="_Toc242109356" w:history="1">
        <w:r w:rsidRPr="00D145CB">
          <w:rPr>
            <w:rStyle w:val="Hyperlink"/>
            <w:rFonts w:ascii="KievitPro-Regular" w:hAnsi="KievitPro-Regular" w:cs="Arial"/>
            <w:b/>
            <w:smallCaps/>
            <w:lang w:val="fr-CH" w:eastAsia="en-US"/>
          </w:rPr>
          <w:t>6.10</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lang w:val="fr-CH" w:eastAsia="en-US"/>
          </w:rPr>
          <w:t>Recours à des personnes externes ou à une autre entreprise de révision</w:t>
        </w:r>
        <w:r>
          <w:rPr>
            <w:webHidden/>
          </w:rPr>
          <w:tab/>
        </w:r>
        <w:r>
          <w:rPr>
            <w:webHidden/>
          </w:rPr>
          <w:fldChar w:fldCharType="begin"/>
        </w:r>
        <w:r>
          <w:rPr>
            <w:webHidden/>
          </w:rPr>
          <w:instrText xml:space="preserve"> PAGEREF _Toc242109356 \h </w:instrText>
        </w:r>
        <w:r>
          <w:rPr>
            <w:webHidden/>
          </w:rPr>
        </w:r>
        <w:r>
          <w:rPr>
            <w:webHidden/>
          </w:rPr>
          <w:fldChar w:fldCharType="separate"/>
        </w:r>
        <w:r>
          <w:rPr>
            <w:webHidden/>
          </w:rPr>
          <w:t>19</w:t>
        </w:r>
        <w:r>
          <w:rPr>
            <w:webHidden/>
          </w:rPr>
          <w:fldChar w:fldCharType="end"/>
        </w:r>
      </w:hyperlink>
    </w:p>
    <w:p w14:paraId="77B0CB39" w14:textId="176D21EC"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57" w:history="1">
        <w:r w:rsidRPr="00D145CB">
          <w:rPr>
            <w:rStyle w:val="Hyperlink"/>
            <w:rFonts w:ascii="KievitPro-Regular" w:hAnsi="KievitPro-Regular" w:cs="Arial"/>
            <w:b/>
            <w:smallCaps/>
            <w:spacing w:val="5"/>
            <w:lang w:val="fr-CH" w:eastAsia="en-US"/>
          </w:rPr>
          <w:t>7</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information et communication</w:t>
        </w:r>
        <w:r>
          <w:rPr>
            <w:webHidden/>
          </w:rPr>
          <w:tab/>
        </w:r>
        <w:r>
          <w:rPr>
            <w:webHidden/>
          </w:rPr>
          <w:fldChar w:fldCharType="begin"/>
        </w:r>
        <w:r>
          <w:rPr>
            <w:webHidden/>
          </w:rPr>
          <w:instrText xml:space="preserve"> PAGEREF _Toc242109357 \h </w:instrText>
        </w:r>
        <w:r>
          <w:rPr>
            <w:webHidden/>
          </w:rPr>
        </w:r>
        <w:r>
          <w:rPr>
            <w:webHidden/>
          </w:rPr>
          <w:fldChar w:fldCharType="separate"/>
        </w:r>
        <w:r>
          <w:rPr>
            <w:webHidden/>
          </w:rPr>
          <w:t>20</w:t>
        </w:r>
        <w:r>
          <w:rPr>
            <w:webHidden/>
          </w:rPr>
          <w:fldChar w:fldCharType="end"/>
        </w:r>
      </w:hyperlink>
    </w:p>
    <w:p w14:paraId="54714D35" w14:textId="33595C93"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58" w:history="1">
        <w:r w:rsidRPr="00D145CB">
          <w:rPr>
            <w:rStyle w:val="Hyperlink"/>
            <w:rFonts w:ascii="KievitPro-Regular" w:hAnsi="KievitPro-Regular" w:cs="Arial"/>
            <w:b/>
            <w:smallCaps/>
            <w:spacing w:val="5"/>
            <w:lang w:val="fr-CH" w:eastAsia="en-US"/>
          </w:rPr>
          <w:t>8</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Réponses spécifiques</w:t>
        </w:r>
        <w:r>
          <w:rPr>
            <w:webHidden/>
          </w:rPr>
          <w:tab/>
        </w:r>
        <w:r>
          <w:rPr>
            <w:webHidden/>
          </w:rPr>
          <w:fldChar w:fldCharType="begin"/>
        </w:r>
        <w:r>
          <w:rPr>
            <w:webHidden/>
          </w:rPr>
          <w:instrText xml:space="preserve"> PAGEREF _Toc242109358 \h </w:instrText>
        </w:r>
        <w:r>
          <w:rPr>
            <w:webHidden/>
          </w:rPr>
        </w:r>
        <w:r>
          <w:rPr>
            <w:webHidden/>
          </w:rPr>
          <w:fldChar w:fldCharType="separate"/>
        </w:r>
        <w:r>
          <w:rPr>
            <w:webHidden/>
          </w:rPr>
          <w:t>20</w:t>
        </w:r>
        <w:r>
          <w:rPr>
            <w:webHidden/>
          </w:rPr>
          <w:fldChar w:fldCharType="end"/>
        </w:r>
      </w:hyperlink>
    </w:p>
    <w:p w14:paraId="19ABBBB4" w14:textId="10B346EB"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59" w:history="1">
        <w:r w:rsidRPr="00D145CB">
          <w:rPr>
            <w:rStyle w:val="Hyperlink"/>
            <w:rFonts w:ascii="KievitPro-Regular" w:hAnsi="KievitPro-Regular" w:cs="Arial"/>
            <w:b/>
            <w:smallCaps/>
            <w:spacing w:val="5"/>
            <w:lang w:val="fr-CH" w:eastAsia="en-US"/>
          </w:rPr>
          <w:t>9</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Surveillance interne et prise de mesures correctives</w:t>
        </w:r>
        <w:r>
          <w:rPr>
            <w:webHidden/>
          </w:rPr>
          <w:tab/>
        </w:r>
        <w:r>
          <w:rPr>
            <w:webHidden/>
          </w:rPr>
          <w:fldChar w:fldCharType="begin"/>
        </w:r>
        <w:r>
          <w:rPr>
            <w:webHidden/>
          </w:rPr>
          <w:instrText xml:space="preserve"> PAGEREF _Toc242109359 \h </w:instrText>
        </w:r>
        <w:r>
          <w:rPr>
            <w:webHidden/>
          </w:rPr>
        </w:r>
        <w:r>
          <w:rPr>
            <w:webHidden/>
          </w:rPr>
          <w:fldChar w:fldCharType="separate"/>
        </w:r>
        <w:r>
          <w:rPr>
            <w:webHidden/>
          </w:rPr>
          <w:t>21</w:t>
        </w:r>
        <w:r>
          <w:rPr>
            <w:webHidden/>
          </w:rPr>
          <w:fldChar w:fldCharType="end"/>
        </w:r>
      </w:hyperlink>
    </w:p>
    <w:p w14:paraId="6C4CACDF" w14:textId="480F4208"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60" w:history="1">
        <w:r w:rsidRPr="00D145CB">
          <w:rPr>
            <w:rStyle w:val="Hyperlink"/>
            <w:rFonts w:ascii="KievitPro-Regular" w:hAnsi="KievitPro-Regular" w:cs="Arial"/>
            <w:b/>
            <w:smallCaps/>
            <w:spacing w:val="5"/>
            <w:lang w:val="fr-CH" w:eastAsia="en-US"/>
          </w:rPr>
          <w:t>10</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Evaluation du système de gestion de la qualité</w:t>
        </w:r>
        <w:r>
          <w:rPr>
            <w:webHidden/>
          </w:rPr>
          <w:tab/>
        </w:r>
        <w:r>
          <w:rPr>
            <w:webHidden/>
          </w:rPr>
          <w:fldChar w:fldCharType="begin"/>
        </w:r>
        <w:r>
          <w:rPr>
            <w:webHidden/>
          </w:rPr>
          <w:instrText xml:space="preserve"> PAGEREF _Toc242109360 \h </w:instrText>
        </w:r>
        <w:r>
          <w:rPr>
            <w:webHidden/>
          </w:rPr>
        </w:r>
        <w:r>
          <w:rPr>
            <w:webHidden/>
          </w:rPr>
          <w:fldChar w:fldCharType="separate"/>
        </w:r>
        <w:r>
          <w:rPr>
            <w:webHidden/>
          </w:rPr>
          <w:t>22</w:t>
        </w:r>
        <w:r>
          <w:rPr>
            <w:webHidden/>
          </w:rPr>
          <w:fldChar w:fldCharType="end"/>
        </w:r>
      </w:hyperlink>
    </w:p>
    <w:p w14:paraId="5490E7F6" w14:textId="1BF43139"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61" w:history="1">
        <w:r w:rsidRPr="00D145CB">
          <w:rPr>
            <w:rStyle w:val="Hyperlink"/>
            <w:rFonts w:ascii="KievitPro-Regular" w:hAnsi="KievitPro-Regular" w:cs="Arial"/>
            <w:b/>
            <w:smallCaps/>
            <w:spacing w:val="5"/>
            <w:lang w:val="fr-CH" w:eastAsia="en-US"/>
          </w:rPr>
          <w:t>11</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Documentation du système de gestion de la qualité</w:t>
        </w:r>
        <w:r>
          <w:rPr>
            <w:webHidden/>
          </w:rPr>
          <w:tab/>
        </w:r>
        <w:r>
          <w:rPr>
            <w:webHidden/>
          </w:rPr>
          <w:fldChar w:fldCharType="begin"/>
        </w:r>
        <w:r>
          <w:rPr>
            <w:webHidden/>
          </w:rPr>
          <w:instrText xml:space="preserve"> PAGEREF _Toc242109361 \h </w:instrText>
        </w:r>
        <w:r>
          <w:rPr>
            <w:webHidden/>
          </w:rPr>
        </w:r>
        <w:r>
          <w:rPr>
            <w:webHidden/>
          </w:rPr>
          <w:fldChar w:fldCharType="separate"/>
        </w:r>
        <w:r>
          <w:rPr>
            <w:webHidden/>
          </w:rPr>
          <w:t>23</w:t>
        </w:r>
        <w:r>
          <w:rPr>
            <w:webHidden/>
          </w:rPr>
          <w:fldChar w:fldCharType="end"/>
        </w:r>
      </w:hyperlink>
    </w:p>
    <w:p w14:paraId="561FB96F" w14:textId="65BE1B06"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62" w:history="1">
        <w:r w:rsidRPr="00D145CB">
          <w:rPr>
            <w:rStyle w:val="Hyperlink"/>
            <w:rFonts w:ascii="KievitPro-Regular" w:hAnsi="KievitPro-Regular" w:cs="Arial"/>
            <w:smallCaps/>
            <w:spacing w:val="5"/>
            <w:lang w:val="fr-CH" w:eastAsia="en-US"/>
          </w:rPr>
          <w:t>12</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Aperçu</w:t>
        </w:r>
        <w:r>
          <w:rPr>
            <w:webHidden/>
          </w:rPr>
          <w:tab/>
        </w:r>
        <w:r>
          <w:rPr>
            <w:webHidden/>
          </w:rPr>
          <w:fldChar w:fldCharType="begin"/>
        </w:r>
        <w:r>
          <w:rPr>
            <w:webHidden/>
          </w:rPr>
          <w:instrText xml:space="preserve"> PAGEREF _Toc242109362 \h </w:instrText>
        </w:r>
        <w:r>
          <w:rPr>
            <w:webHidden/>
          </w:rPr>
        </w:r>
        <w:r>
          <w:rPr>
            <w:webHidden/>
          </w:rPr>
          <w:fldChar w:fldCharType="separate"/>
        </w:r>
        <w:r>
          <w:rPr>
            <w:webHidden/>
          </w:rPr>
          <w:t>23</w:t>
        </w:r>
        <w:r>
          <w:rPr>
            <w:webHidden/>
          </w:rPr>
          <w:fldChar w:fldCharType="end"/>
        </w:r>
      </w:hyperlink>
    </w:p>
    <w:p w14:paraId="1A19B4D6" w14:textId="5F6785D2" w:rsidR="004624F4" w:rsidRDefault="004624F4">
      <w:pPr>
        <w:pStyle w:val="Verzeichnis1"/>
        <w:rPr>
          <w:rFonts w:asciiTheme="minorHAnsi" w:eastAsiaTheme="minorEastAsia" w:hAnsiTheme="minorHAnsi" w:cstheme="minorBidi"/>
          <w:snapToGrid/>
          <w:kern w:val="2"/>
          <w:sz w:val="24"/>
          <w:szCs w:val="24"/>
          <w:lang w:eastAsia="de-CH"/>
          <w14:ligatures w14:val="standardContextual"/>
        </w:rPr>
      </w:pPr>
      <w:hyperlink w:anchor="_Toc242109363" w:history="1">
        <w:r w:rsidRPr="00D145CB">
          <w:rPr>
            <w:rStyle w:val="Hyperlink"/>
            <w:rFonts w:ascii="KievitPro-Regular" w:hAnsi="KievitPro-Regular" w:cs="Arial"/>
            <w:b/>
            <w:smallCaps/>
            <w:spacing w:val="5"/>
            <w:lang w:val="fr-CH" w:eastAsia="en-US"/>
          </w:rPr>
          <w:t>13</w:t>
        </w:r>
        <w:r>
          <w:rPr>
            <w:rFonts w:asciiTheme="minorHAnsi" w:eastAsiaTheme="minorEastAsia" w:hAnsiTheme="minorHAnsi" w:cstheme="minorBidi"/>
            <w:snapToGrid/>
            <w:kern w:val="2"/>
            <w:sz w:val="24"/>
            <w:szCs w:val="24"/>
            <w:lang w:eastAsia="de-CH"/>
            <w14:ligatures w14:val="standardContextual"/>
          </w:rPr>
          <w:tab/>
        </w:r>
        <w:r w:rsidRPr="00D145CB">
          <w:rPr>
            <w:rStyle w:val="Hyperlink"/>
            <w:rFonts w:ascii="KievitPro-Regular" w:hAnsi="KievitPro-Regular" w:cs="Arial"/>
            <w:b/>
            <w:smallCaps/>
            <w:spacing w:val="5"/>
            <w:lang w:val="fr-CH" w:eastAsia="en-US"/>
          </w:rPr>
          <w:t>Organigramme de la société Exemple SA</w:t>
        </w:r>
        <w:r>
          <w:rPr>
            <w:webHidden/>
          </w:rPr>
          <w:tab/>
        </w:r>
        <w:r>
          <w:rPr>
            <w:webHidden/>
          </w:rPr>
          <w:fldChar w:fldCharType="begin"/>
        </w:r>
        <w:r>
          <w:rPr>
            <w:webHidden/>
          </w:rPr>
          <w:instrText xml:space="preserve"> PAGEREF _Toc242109363 \h </w:instrText>
        </w:r>
        <w:r>
          <w:rPr>
            <w:webHidden/>
          </w:rPr>
        </w:r>
        <w:r>
          <w:rPr>
            <w:webHidden/>
          </w:rPr>
          <w:fldChar w:fldCharType="separate"/>
        </w:r>
        <w:r>
          <w:rPr>
            <w:webHidden/>
          </w:rPr>
          <w:t>24</w:t>
        </w:r>
        <w:r>
          <w:rPr>
            <w:webHidden/>
          </w:rPr>
          <w:fldChar w:fldCharType="end"/>
        </w:r>
      </w:hyperlink>
    </w:p>
    <w:p w14:paraId="21359DE5" w14:textId="673B4397" w:rsidR="00C927B8" w:rsidRPr="00000C03" w:rsidRDefault="008630BE" w:rsidP="00C927B8">
      <w:pPr>
        <w:spacing w:after="200" w:line="276" w:lineRule="auto"/>
        <w:jc w:val="left"/>
        <w:rPr>
          <w:rFonts w:ascii="KievitPro-Regular" w:hAnsi="KievitPro-Regular"/>
          <w:snapToGrid/>
          <w:sz w:val="22"/>
          <w:szCs w:val="22"/>
          <w:lang w:val="fr-CH" w:eastAsia="en-US" w:bidi="en-US"/>
        </w:rPr>
      </w:pPr>
      <w:r w:rsidRPr="00000C03">
        <w:rPr>
          <w:rFonts w:ascii="KievitPro-Regular" w:hAnsi="KievitPro-Regular" w:cs="Arial"/>
          <w:iCs/>
          <w:snapToGrid/>
          <w:sz w:val="28"/>
          <w:szCs w:val="22"/>
          <w:lang w:val="fr-CH" w:eastAsia="en-US" w:bidi="en-US"/>
        </w:rPr>
        <w:fldChar w:fldCharType="end"/>
      </w:r>
    </w:p>
    <w:p w14:paraId="20F71949" w14:textId="77777777" w:rsidR="00C927B8" w:rsidRPr="00000C03" w:rsidRDefault="00C927B8" w:rsidP="00C927B8">
      <w:pPr>
        <w:jc w:val="left"/>
        <w:rPr>
          <w:rFonts w:ascii="KievitPro-Regular" w:hAnsi="KievitPro-Regular" w:cs="Arial"/>
          <w:snapToGrid/>
          <w:color w:val="222222"/>
          <w:sz w:val="22"/>
          <w:szCs w:val="22"/>
          <w:lang w:val="fr-CH" w:eastAsia="de-CH"/>
        </w:rPr>
      </w:pPr>
      <w:r w:rsidRPr="00000C03">
        <w:rPr>
          <w:rFonts w:ascii="KievitPro-Regular" w:hAnsi="KievitPro-Regular" w:cs="Arial"/>
          <w:snapToGrid/>
          <w:color w:val="222222"/>
          <w:sz w:val="22"/>
          <w:szCs w:val="22"/>
          <w:lang w:val="fr-CH" w:eastAsia="de-CH"/>
        </w:rPr>
        <w:br w:type="page"/>
      </w:r>
    </w:p>
    <w:p w14:paraId="4291B6BF" w14:textId="77777777" w:rsidR="00C927B8" w:rsidRPr="00000C03" w:rsidRDefault="00C927B8" w:rsidP="00C927B8">
      <w:pPr>
        <w:pBdr>
          <w:bottom w:val="single" w:sz="4" w:space="1" w:color="auto"/>
        </w:pBdr>
        <w:jc w:val="left"/>
        <w:rPr>
          <w:rFonts w:ascii="KievitPro-Regular" w:hAnsi="KievitPro-Regular" w:cs="Arial"/>
          <w:snapToGrid/>
          <w:color w:val="222222"/>
          <w:sz w:val="22"/>
          <w:szCs w:val="22"/>
          <w:lang w:val="fr-CH" w:eastAsia="de-CH"/>
        </w:rPr>
      </w:pPr>
    </w:p>
    <w:p w14:paraId="6B1CA430" w14:textId="77777777" w:rsidR="00C927B8" w:rsidRPr="00000C03" w:rsidRDefault="00C927B8" w:rsidP="00C927B8">
      <w:pPr>
        <w:spacing w:line="276" w:lineRule="auto"/>
        <w:rPr>
          <w:rFonts w:ascii="KievitPro-Regular" w:hAnsi="KievitPro-Regular" w:cs="Arial"/>
          <w:snapToGrid/>
          <w:color w:val="222222"/>
          <w:lang w:val="fr-CH" w:eastAsia="de-CH"/>
        </w:rPr>
      </w:pPr>
      <w:r w:rsidRPr="00000C03">
        <w:rPr>
          <w:rFonts w:ascii="KievitPro-Regular" w:hAnsi="KievitPro-Regular" w:cs="Arial"/>
          <w:snapToGrid/>
          <w:color w:val="222222"/>
          <w:lang w:val="fr-CH" w:eastAsia="de-CH" w:bidi="en-US"/>
        </w:rPr>
        <w:t>Pour faciliter la lecture, seule la forme masculine est utilisée dans le présent document. Elle s'applique naturellement à toutes les personnes, quel que soit leur genre</w:t>
      </w:r>
    </w:p>
    <w:p w14:paraId="44D3A75E" w14:textId="77777777" w:rsidR="00C927B8" w:rsidRPr="00000C03" w:rsidRDefault="00C927B8" w:rsidP="00C927B8">
      <w:pPr>
        <w:spacing w:line="276" w:lineRule="auto"/>
        <w:rPr>
          <w:rFonts w:ascii="KievitPro-Regular" w:hAnsi="KievitPro-Regular" w:cs="Arial"/>
          <w:snapToGrid/>
          <w:color w:val="222222"/>
          <w:lang w:val="fr-CH" w:eastAsia="de-CH"/>
        </w:rPr>
      </w:pPr>
    </w:p>
    <w:p w14:paraId="06C8AA94" w14:textId="77777777" w:rsidR="00C927B8" w:rsidRPr="00000C03" w:rsidRDefault="00C927B8" w:rsidP="00C927B8">
      <w:pPr>
        <w:spacing w:after="200" w:line="276" w:lineRule="auto"/>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Remarques</w:t>
      </w:r>
    </w:p>
    <w:p w14:paraId="5B4492AE" w14:textId="77777777" w:rsidR="00C927B8" w:rsidRPr="00000C03" w:rsidRDefault="00C927B8" w:rsidP="00C927B8">
      <w:pPr>
        <w:numPr>
          <w:ilvl w:val="0"/>
          <w:numId w:val="24"/>
        </w:numPr>
        <w:spacing w:after="200" w:line="276" w:lineRule="auto"/>
        <w:contextualSpacing/>
        <w:jc w:val="left"/>
        <w:rPr>
          <w:rFonts w:ascii="KievitPro-Regular" w:hAnsi="KievitPro-Regular" w:cs="Arial"/>
          <w:snapToGrid/>
          <w:color w:val="222222"/>
          <w:highlight w:val="yellow"/>
          <w:lang w:val="fr-CH" w:eastAsia="de-CH"/>
        </w:rPr>
      </w:pPr>
      <w:r w:rsidRPr="00000C03">
        <w:rPr>
          <w:rFonts w:ascii="KievitPro-Regular" w:hAnsi="KievitPro-Regular" w:cs="Arial"/>
          <w:snapToGrid/>
          <w:color w:val="222222"/>
          <w:highlight w:val="yellow"/>
          <w:lang w:val="fr-CH" w:eastAsia="de-CH"/>
        </w:rPr>
        <w:t>Passages surlignés en jaune</w:t>
      </w:r>
    </w:p>
    <w:p w14:paraId="70BC0FC6" w14:textId="63437A52" w:rsidR="00C927B8" w:rsidRPr="00000C03" w:rsidRDefault="00C927B8" w:rsidP="00C927B8">
      <w:pPr>
        <w:spacing w:line="276" w:lineRule="auto"/>
        <w:ind w:left="360"/>
        <w:contextualSpacing/>
        <w:rPr>
          <w:rFonts w:ascii="KievitPro-Regular" w:hAnsi="KievitPro-Regular" w:cs="Arial"/>
          <w:snapToGrid/>
          <w:color w:val="222222"/>
          <w:lang w:val="fr-CH" w:eastAsia="de-CH"/>
        </w:rPr>
      </w:pPr>
      <w:r w:rsidRPr="00000C03">
        <w:rPr>
          <w:rFonts w:ascii="KievitPro-Regular" w:hAnsi="KievitPro-Regular" w:cs="Arial"/>
          <w:snapToGrid/>
          <w:color w:val="222222"/>
          <w:lang w:val="fr-CH" w:eastAsia="de-CH"/>
        </w:rPr>
        <w:t>Le manuel contient différents passages surlignés en jaune. Ceux-ci doivent être adaptés de manière spécifique aux caractéristiques et à l'organisation interne de l'entreprise.</w:t>
      </w:r>
    </w:p>
    <w:p w14:paraId="79B614B7" w14:textId="77777777" w:rsidR="00C927B8" w:rsidRPr="00000C03" w:rsidRDefault="00C927B8" w:rsidP="00C927B8">
      <w:pPr>
        <w:spacing w:line="276" w:lineRule="auto"/>
        <w:ind w:left="360"/>
        <w:contextualSpacing/>
        <w:rPr>
          <w:rFonts w:ascii="KievitPro-Regular" w:hAnsi="KievitPro-Regular" w:cs="Arial"/>
          <w:snapToGrid/>
          <w:color w:val="222222"/>
          <w:lang w:val="fr-CH" w:eastAsia="de-CH"/>
        </w:rPr>
      </w:pPr>
    </w:p>
    <w:p w14:paraId="59459F00" w14:textId="77777777" w:rsidR="00C927B8" w:rsidRPr="00000C03" w:rsidRDefault="00C927B8" w:rsidP="00C927B8">
      <w:pPr>
        <w:numPr>
          <w:ilvl w:val="0"/>
          <w:numId w:val="24"/>
        </w:numPr>
        <w:spacing w:after="200" w:line="276" w:lineRule="auto"/>
        <w:contextualSpacing/>
        <w:jc w:val="left"/>
        <w:rPr>
          <w:rFonts w:ascii="KievitPro-Regular" w:hAnsi="KievitPro-Regular" w:cs="Arial"/>
          <w:snapToGrid/>
          <w:color w:val="222222"/>
          <w:highlight w:val="red"/>
          <w:lang w:val="fr-CH" w:eastAsia="de-CH"/>
        </w:rPr>
      </w:pPr>
      <w:r w:rsidRPr="00000C03">
        <w:rPr>
          <w:rFonts w:ascii="KievitPro-Regular" w:hAnsi="KievitPro-Regular" w:cs="Arial"/>
          <w:snapToGrid/>
          <w:color w:val="222222"/>
          <w:highlight w:val="red"/>
          <w:lang w:val="fr-CH" w:eastAsia="de-CH"/>
        </w:rPr>
        <w:t>Passages surlignés en rouge</w:t>
      </w:r>
    </w:p>
    <w:p w14:paraId="5EF199D7" w14:textId="77777777" w:rsidR="00C927B8" w:rsidRPr="00000C03" w:rsidRDefault="00C927B8" w:rsidP="00C927B8">
      <w:pPr>
        <w:spacing w:line="276" w:lineRule="auto"/>
        <w:ind w:left="360"/>
        <w:contextualSpacing/>
        <w:rPr>
          <w:rFonts w:ascii="KievitPro-Regular" w:hAnsi="KievitPro-Regular" w:cs="Arial"/>
          <w:snapToGrid/>
          <w:color w:val="222222"/>
          <w:lang w:val="fr-CH" w:eastAsia="de-CH"/>
        </w:rPr>
      </w:pPr>
      <w:r w:rsidRPr="00000C03">
        <w:rPr>
          <w:rFonts w:ascii="KievitPro-Regular" w:hAnsi="KievitPro-Regular" w:cs="Arial"/>
          <w:snapToGrid/>
          <w:color w:val="222222"/>
          <w:lang w:val="fr-CH" w:eastAsia="de-CH"/>
        </w:rPr>
        <w:t>Le manuel contient également quelques passages surlignés en rouge. Ceux-ci concernent des dispositions ou des mesures applicables aux révisions ordinaires. Les entreprises de révision qui ne disposent pas d'un agrément d'expert-réviseur ou d'experte-réviseure peuvent supprimer ces passages, ceux-ci ne leur étant pas applicables.</w:t>
      </w:r>
    </w:p>
    <w:p w14:paraId="75A7BAF3" w14:textId="77777777" w:rsidR="00C927B8" w:rsidRPr="00000C03" w:rsidRDefault="00C927B8" w:rsidP="00C927B8">
      <w:pPr>
        <w:spacing w:after="200" w:line="276" w:lineRule="auto"/>
        <w:rPr>
          <w:rFonts w:ascii="KievitPro-Regular" w:hAnsi="KievitPro-Regular" w:cs="Arial"/>
          <w:snapToGrid/>
          <w:lang w:val="fr-CH" w:eastAsia="en-US" w:bidi="en-US"/>
        </w:rPr>
      </w:pPr>
    </w:p>
    <w:p w14:paraId="3EBBE10E" w14:textId="77777777" w:rsidR="00C927B8" w:rsidRPr="00000C03" w:rsidRDefault="00C927B8" w:rsidP="00C927B8">
      <w:pPr>
        <w:spacing w:after="200" w:line="276" w:lineRule="auto"/>
        <w:rPr>
          <w:rFonts w:ascii="KievitPro-Regular" w:hAnsi="KievitPro-Regular" w:cs="Arial"/>
          <w:b/>
          <w:snapToGrid/>
          <w:lang w:val="fr-CH" w:eastAsia="en-US" w:bidi="en-US"/>
        </w:rPr>
      </w:pPr>
      <w:r w:rsidRPr="00000C03">
        <w:rPr>
          <w:rFonts w:ascii="KievitPro-Regular" w:hAnsi="KievitPro-Regular" w:cs="Arial"/>
          <w:b/>
          <w:snapToGrid/>
          <w:lang w:val="fr-CH" w:eastAsia="en-US" w:bidi="en-US"/>
        </w:rPr>
        <w:t>Disclaimer</w:t>
      </w:r>
    </w:p>
    <w:p w14:paraId="48B5BBC3" w14:textId="77777777" w:rsidR="00C927B8" w:rsidRPr="00000C03" w:rsidRDefault="00C927B8" w:rsidP="00C927B8">
      <w:pPr>
        <w:pBdr>
          <w:bottom w:val="single" w:sz="2" w:space="1" w:color="000000"/>
        </w:pBd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présent Manuel de gestion de la qualité (GQ) s'applique à l'ensemble des prestations de révision. Il doit être adapté aux spécificités de chaque entreprise de révision. Certaines check-lists et informations peuvent être complétées ou, le cas échéant, supprimées.</w:t>
      </w:r>
    </w:p>
    <w:p w14:paraId="7EF11455" w14:textId="77777777" w:rsidR="00C927B8" w:rsidRPr="00000C03" w:rsidRDefault="00C927B8" w:rsidP="00C927B8">
      <w:pPr>
        <w:pBdr>
          <w:bottom w:val="single" w:sz="2" w:space="1" w:color="000000"/>
        </w:pBd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présent manuel ne prétend pas être exhaustif et n'a pas de caractère contraignant.</w:t>
      </w:r>
    </w:p>
    <w:p w14:paraId="01A601AF" w14:textId="77777777" w:rsidR="00C927B8" w:rsidRPr="00000C03" w:rsidRDefault="00C927B8" w:rsidP="00C927B8">
      <w:pPr>
        <w:pBdr>
          <w:bottom w:val="single" w:sz="2" w:space="1" w:color="000000"/>
        </w:pBd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mise en place du Manuel de gestion de la qualité ne suffit pas à elle seule : celui-ci doit également être appliqué au quotidien.</w:t>
      </w:r>
    </w:p>
    <w:p w14:paraId="589B5357" w14:textId="77777777" w:rsidR="00C927B8" w:rsidRPr="00000C03" w:rsidRDefault="00C927B8" w:rsidP="00C927B8">
      <w:pPr>
        <w:pBdr>
          <w:bottom w:val="single" w:sz="2" w:space="1" w:color="000000"/>
        </w:pBdr>
        <w:spacing w:after="200" w:line="276" w:lineRule="auto"/>
        <w:rPr>
          <w:rFonts w:ascii="KievitPro-Regular" w:hAnsi="KievitPro-Regular" w:cs="Arial"/>
          <w:snapToGrid/>
          <w:lang w:val="fr-CH" w:eastAsia="en-US" w:bidi="en-US"/>
        </w:rPr>
      </w:pPr>
    </w:p>
    <w:p w14:paraId="59D9165C" w14:textId="77777777" w:rsidR="00C927B8" w:rsidRPr="00000C03" w:rsidRDefault="00C927B8" w:rsidP="00C927B8">
      <w:pPr>
        <w:numPr>
          <w:ilvl w:val="0"/>
          <w:numId w:val="11"/>
        </w:numPr>
        <w:tabs>
          <w:tab w:val="clear" w:pos="432"/>
          <w:tab w:val="num" w:pos="360"/>
        </w:tabs>
        <w:spacing w:before="480" w:after="240" w:line="276" w:lineRule="auto"/>
        <w:ind w:left="0" w:firstLine="0"/>
        <w:contextualSpacing/>
        <w:jc w:val="left"/>
        <w:outlineLvl w:val="0"/>
        <w:rPr>
          <w:rFonts w:ascii="KievitPro-Regular" w:hAnsi="KievitPro-Regular" w:cs="Arial"/>
          <w:smallCaps/>
          <w:snapToGrid/>
          <w:spacing w:val="5"/>
          <w:lang w:val="fr-CH" w:eastAsia="en-US"/>
        </w:rPr>
      </w:pPr>
      <w:bookmarkStart w:id="0" w:name="_Toc331493575"/>
      <w:bookmarkStart w:id="1" w:name="_Toc331493991"/>
      <w:bookmarkStart w:id="2" w:name="_Toc331495023"/>
      <w:bookmarkStart w:id="3" w:name="_Toc331495815"/>
      <w:bookmarkStart w:id="4" w:name="_Toc331510673"/>
      <w:r w:rsidRPr="00000C03">
        <w:rPr>
          <w:rFonts w:ascii="KievitPro-Regular" w:hAnsi="KievitPro-Regular" w:cs="Arial"/>
          <w:smallCaps/>
          <w:snapToGrid/>
          <w:spacing w:val="5"/>
          <w:lang w:val="fr-CH" w:eastAsia="en-US"/>
        </w:rPr>
        <w:br w:type="page"/>
      </w:r>
    </w:p>
    <w:p w14:paraId="783B9FFC" w14:textId="77777777" w:rsidR="00C927B8" w:rsidRPr="00000C03" w:rsidRDefault="00C927B8" w:rsidP="004624F4">
      <w:pPr>
        <w:tabs>
          <w:tab w:val="num" w:pos="360"/>
        </w:tabs>
        <w:spacing w:before="480" w:after="240" w:line="276" w:lineRule="auto"/>
        <w:contextualSpacing/>
        <w:jc w:val="left"/>
        <w:outlineLvl w:val="0"/>
        <w:rPr>
          <w:rFonts w:ascii="KievitPro-Regular" w:hAnsi="KievitPro-Regular" w:cs="Arial"/>
          <w:b/>
          <w:smallCaps/>
          <w:snapToGrid/>
          <w:spacing w:val="5"/>
          <w:sz w:val="24"/>
          <w:szCs w:val="32"/>
          <w:lang w:val="fr-CH" w:eastAsia="en-US"/>
        </w:rPr>
      </w:pPr>
      <w:bookmarkStart w:id="5" w:name="_Toc242109338"/>
      <w:bookmarkEnd w:id="0"/>
      <w:bookmarkEnd w:id="1"/>
      <w:bookmarkEnd w:id="2"/>
      <w:bookmarkEnd w:id="3"/>
      <w:bookmarkEnd w:id="4"/>
      <w:r w:rsidRPr="00000C03">
        <w:rPr>
          <w:rFonts w:ascii="KievitPro-Regular" w:hAnsi="KievitPro-Regular" w:cs="Arial"/>
          <w:b/>
          <w:smallCaps/>
          <w:snapToGrid/>
          <w:spacing w:val="5"/>
          <w:sz w:val="24"/>
          <w:szCs w:val="32"/>
          <w:lang w:val="fr-CH" w:eastAsia="en-US"/>
        </w:rPr>
        <w:lastRenderedPageBreak/>
        <w:t>Stratégie et principes du système de gestion de la qualité</w:t>
      </w:r>
      <w:bookmarkEnd w:id="5"/>
      <w:r w:rsidRPr="00000C03">
        <w:rPr>
          <w:rFonts w:ascii="KievitPro-Regular" w:hAnsi="KievitPro-Regular" w:cs="Arial"/>
          <w:b/>
          <w:smallCaps/>
          <w:snapToGrid/>
          <w:spacing w:val="5"/>
          <w:sz w:val="24"/>
          <w:szCs w:val="32"/>
          <w:lang w:val="fr-CH" w:eastAsia="en-US"/>
        </w:rPr>
        <w:t xml:space="preserve"> </w:t>
      </w:r>
    </w:p>
    <w:p w14:paraId="22757B36"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sommes une entreprise de révision qui accompagne activement ses clients dans la réalisation de leurs objectifs économiques grâce à son esprit d'entreprise et à l'engagement personnel de ses collaborateurs. Cet accompagnement signifie que nous assumons pleinement nos responsabilités légales et que nous mettons tout en œuvre pour offrir la plus grande valeur ajoutée à nos clients.</w:t>
      </w:r>
    </w:p>
    <w:p w14:paraId="1004996B"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L'exécution de nos mandats, adaptée aux besoins de nos clients, repose sur une relation de confiance mutuelle. Nos responsables de mission respectent les exigences légales, les prescriptions de nos associations professionnelles et tiennent compte des attentes de nos clients. Notre travail est toujours réalisé avec indépendance et objectivité. Nos prestations se distinguent par notre compétence professionnelle et notre esprit d'entreprise.</w:t>
      </w:r>
    </w:p>
    <w:p w14:paraId="1B7E4656"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visons un niveau élevé de qualité dans l'ensemble de nos prestations de révision. Cette qualité est garantie par des mesures organisationnelles ainsi que par des mesures mises en œuvre au niveau de chaque mission. Les collaborateurs qui fournissent des prestations de révision sont responsables de la mise en place et du maintien des exigences en matière de qualité. Ils connaissent le présent manuel ainsi que les directives et procédures applicables, ce qui leur permet de comprendre les objectifs du système de gestion de la qualité (SGQ) et d'en appliquer correctement les exigences. Chaque collaborateur est ainsi conscient de sa responsabilité personnelle en matière de qualité et du fait que le respect de ces exigences est attendu.</w:t>
      </w:r>
    </w:p>
    <w:p w14:paraId="565D0804"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Nos collaborateurs disposent de solides compétences professionnelles. Le développement des compétences et la formation continue constituent une exigence à tous les niveaux de l'entreprise.</w:t>
      </w:r>
    </w:p>
    <w:p w14:paraId="4A0952D3" w14:textId="77777777" w:rsidR="00C927B8" w:rsidRPr="00000C03" w:rsidDel="009519A2"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contrôlons en permanence le respect des exigences en matière de qualité et nous nous engageons dans une démarche d'amélioration continue.</w:t>
      </w:r>
    </w:p>
    <w:p w14:paraId="62BB4C88"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Notre système de gestion de la qualité est adapté aux différents domaines d'activité de l'entreprise et repose sur les normes </w:t>
      </w:r>
      <w:r w:rsidRPr="00000C03">
        <w:rPr>
          <w:rFonts w:ascii="KievitPro-Regular" w:hAnsi="KievitPro-Regular" w:cs="Arial"/>
          <w:snapToGrid/>
          <w:highlight w:val="yellow"/>
          <w:lang w:val="fr-CH" w:eastAsia="en-US" w:bidi="en-US"/>
        </w:rPr>
        <w:t>ISQM-CH 1, ISQM-CH 2 et ISA-CH 220</w:t>
      </w:r>
      <w:r w:rsidRPr="00000C03">
        <w:rPr>
          <w:rFonts w:ascii="KievitPro-Regular" w:hAnsi="KievitPro-Regular" w:cs="Arial"/>
          <w:snapToGrid/>
          <w:highlight w:val="yellow"/>
          <w:vertAlign w:val="superscript"/>
          <w:lang w:val="fr-CH" w:eastAsia="en-US" w:bidi="en-US"/>
        </w:rPr>
        <w:footnoteReference w:id="1"/>
      </w:r>
      <w:r w:rsidRPr="00000C03">
        <w:rPr>
          <w:rFonts w:ascii="KievitPro-Regular" w:hAnsi="KievitPro-Regular" w:cs="Arial"/>
          <w:snapToGrid/>
          <w:lang w:val="fr-CH" w:eastAsia="en-US" w:bidi="en-US"/>
        </w:rPr>
        <w:t>. L'inscription au registre de l'Autorité fédérale de surveillance en matière de révision (ASR) concernant la norme de gestion interne de la qualité appliquée est régulièrement vérifiée et, le cas échéant, mise à jour en cas de changement de norme. La direction est responsable de la mise en place du système de gestion de la qualité. Les différents domaines d'activité sont présentés dans l'organigramme (voir annexe).</w:t>
      </w:r>
    </w:p>
    <w:p w14:paraId="4673DC1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principes énoncés ci-après s'appliquent à l'ensemble de l'entreprise de révision. Ils s'appliquent également, par analogie et de manière proportionnée, aux mandats fiduciaires et de conseil.</w:t>
      </w:r>
    </w:p>
    <w:p w14:paraId="65D03527" w14:textId="5D8F383C" w:rsidR="00C927B8" w:rsidRPr="00000C03" w:rsidRDefault="00C927B8" w:rsidP="004624F4">
      <w:pPr>
        <w:tabs>
          <w:tab w:val="num" w:pos="360"/>
        </w:tabs>
        <w:spacing w:before="480" w:after="240" w:line="276" w:lineRule="auto"/>
        <w:contextualSpacing/>
        <w:jc w:val="left"/>
        <w:outlineLvl w:val="0"/>
        <w:rPr>
          <w:rFonts w:ascii="KievitPro-Regular" w:hAnsi="KievitPro-Regular" w:cs="Arial"/>
          <w:b/>
          <w:smallCaps/>
          <w:snapToGrid/>
          <w:spacing w:val="5"/>
          <w:sz w:val="24"/>
          <w:szCs w:val="32"/>
          <w:lang w:val="fr-CH" w:eastAsia="en-US"/>
        </w:rPr>
      </w:pPr>
      <w:bookmarkStart w:id="6" w:name="_Toc242109339"/>
      <w:r w:rsidRPr="00000C03">
        <w:rPr>
          <w:rFonts w:ascii="KievitPro-Regular" w:hAnsi="KievitPro-Regular" w:cs="Arial"/>
          <w:b/>
          <w:smallCaps/>
          <w:snapToGrid/>
          <w:spacing w:val="5"/>
          <w:sz w:val="24"/>
          <w:szCs w:val="32"/>
          <w:lang w:val="fr-CH" w:eastAsia="en-US"/>
        </w:rPr>
        <w:t>P</w:t>
      </w:r>
      <w:r w:rsidR="008630BE" w:rsidRPr="00000C03">
        <w:rPr>
          <w:rFonts w:ascii="KievitPro-Regular" w:hAnsi="KievitPro-Regular" w:cs="Arial"/>
          <w:b/>
          <w:smallCaps/>
          <w:snapToGrid/>
          <w:spacing w:val="5"/>
          <w:sz w:val="24"/>
          <w:szCs w:val="32"/>
          <w:lang w:val="fr-CH" w:eastAsia="en-US"/>
        </w:rPr>
        <w:t>rincipes fondamentaux</w:t>
      </w:r>
      <w:bookmarkEnd w:id="6"/>
      <w:r w:rsidR="008630BE" w:rsidRPr="00000C03">
        <w:rPr>
          <w:rFonts w:ascii="KievitPro-Regular" w:hAnsi="KievitPro-Regular" w:cs="Arial"/>
          <w:b/>
          <w:smallCaps/>
          <w:snapToGrid/>
          <w:spacing w:val="5"/>
          <w:sz w:val="24"/>
          <w:szCs w:val="32"/>
          <w:lang w:val="fr-CH" w:eastAsia="en-US"/>
        </w:rPr>
        <w:t xml:space="preserve"> </w:t>
      </w:r>
    </w:p>
    <w:p w14:paraId="7F93F33A" w14:textId="383E93BA" w:rsidR="00C927B8" w:rsidRPr="00000C03" w:rsidRDefault="00C927B8" w:rsidP="00C927B8">
      <w:pPr>
        <w:tabs>
          <w:tab w:val="right" w:pos="9405"/>
        </w:tabs>
        <w:spacing w:after="200" w:line="276" w:lineRule="auto"/>
        <w:rPr>
          <w:rFonts w:ascii="KievitPro-Regular" w:hAnsi="KievitPro-Regular"/>
          <w:snapToGrid/>
          <w:sz w:val="22"/>
          <w:szCs w:val="22"/>
          <w:lang w:val="fr-CH" w:eastAsia="en-US" w:bidi="en-US"/>
        </w:rPr>
      </w:pPr>
      <w:r w:rsidRPr="00000C03">
        <w:rPr>
          <w:rFonts w:ascii="KievitPro-Regular" w:hAnsi="KievitPro-Regular" w:cs="Arial"/>
          <w:snapToGrid/>
          <w:lang w:val="fr-CH" w:eastAsia="en-US" w:bidi="en-US"/>
        </w:rPr>
        <w:t xml:space="preserve">Nous nous engageons à respecter les dispositions légales ainsi que les principes éthiques du Code international de déontologie des professionnels comptables (IESBA Code), notamment en matière d’intégrité, d’objectivité, de compétence professionnelle et de diligence, de confidentialité ainsi que de comportement professionnel. Nous respectons en outre les prescriptions professionnelles et déontologiques applicables </w:t>
      </w:r>
      <w:r w:rsidRPr="00000C03">
        <w:rPr>
          <w:rFonts w:ascii="KievitPro-Regular" w:hAnsi="KievitPro-Regular" w:cs="Arial"/>
          <w:snapToGrid/>
          <w:highlight w:val="yellow"/>
          <w:lang w:val="fr-CH" w:eastAsia="en-US" w:bidi="en-US"/>
        </w:rPr>
        <w:t>d’EXPERTsuisse et/ou de FIDUCIAIRE|SUISSE.</w:t>
      </w:r>
      <w:r w:rsidRPr="00000C03">
        <w:rPr>
          <w:rFonts w:ascii="KievitPro-Regular" w:hAnsi="KievitPro-Regular" w:cs="Arial"/>
          <w:snapToGrid/>
          <w:lang w:val="fr-CH" w:eastAsia="en-US" w:bidi="en-US"/>
        </w:rPr>
        <w:br w:type="page"/>
      </w:r>
    </w:p>
    <w:p w14:paraId="69E70502" w14:textId="383E93BA" w:rsidR="00C927B8" w:rsidRPr="00000C03" w:rsidRDefault="00C927B8" w:rsidP="004624F4">
      <w:pPr>
        <w:tabs>
          <w:tab w:val="num" w:pos="360"/>
        </w:tabs>
        <w:spacing w:before="480" w:after="240" w:line="276" w:lineRule="auto"/>
        <w:contextualSpacing/>
        <w:jc w:val="left"/>
        <w:outlineLvl w:val="0"/>
        <w:rPr>
          <w:rFonts w:ascii="KievitPro-Regular" w:hAnsi="KievitPro-Regular" w:cs="Arial"/>
          <w:b/>
          <w:smallCaps/>
          <w:snapToGrid/>
          <w:spacing w:val="5"/>
          <w:sz w:val="24"/>
          <w:szCs w:val="32"/>
          <w:lang w:val="fr-CH" w:eastAsia="en-US"/>
        </w:rPr>
      </w:pPr>
      <w:bookmarkStart w:id="7" w:name="_Toc242109340"/>
      <w:r w:rsidRPr="00000C03">
        <w:rPr>
          <w:rFonts w:ascii="KievitPro-Regular" w:hAnsi="KievitPro-Regular" w:cs="Arial"/>
          <w:b/>
          <w:smallCaps/>
          <w:snapToGrid/>
          <w:spacing w:val="5"/>
          <w:sz w:val="24"/>
          <w:szCs w:val="32"/>
          <w:lang w:val="fr-CH" w:eastAsia="en-US"/>
        </w:rPr>
        <w:lastRenderedPageBreak/>
        <w:t>A</w:t>
      </w:r>
      <w:r w:rsidR="005C374C" w:rsidRPr="00000C03">
        <w:rPr>
          <w:rFonts w:ascii="KievitPro-Regular" w:hAnsi="KievitPro-Regular" w:cs="Arial"/>
          <w:b/>
          <w:smallCaps/>
          <w:snapToGrid/>
          <w:spacing w:val="5"/>
          <w:sz w:val="24"/>
          <w:szCs w:val="32"/>
          <w:lang w:val="fr-CH" w:eastAsia="en-US"/>
        </w:rPr>
        <w:t>ppro</w:t>
      </w:r>
      <w:r w:rsidR="00B8349A" w:rsidRPr="00000C03">
        <w:rPr>
          <w:rFonts w:ascii="KievitPro-Regular" w:hAnsi="KievitPro-Regular" w:cs="Arial"/>
          <w:b/>
          <w:smallCaps/>
          <w:snapToGrid/>
          <w:spacing w:val="5"/>
          <w:sz w:val="24"/>
          <w:szCs w:val="32"/>
          <w:lang w:val="fr-CH" w:eastAsia="en-US"/>
        </w:rPr>
        <w:t>b</w:t>
      </w:r>
      <w:r w:rsidR="005C374C" w:rsidRPr="00000C03">
        <w:rPr>
          <w:rFonts w:ascii="KievitPro-Regular" w:hAnsi="KievitPro-Regular" w:cs="Arial"/>
          <w:b/>
          <w:smallCaps/>
          <w:snapToGrid/>
          <w:spacing w:val="5"/>
          <w:sz w:val="24"/>
          <w:szCs w:val="32"/>
          <w:lang w:val="fr-CH" w:eastAsia="en-US"/>
        </w:rPr>
        <w:t>ation</w:t>
      </w:r>
      <w:bookmarkEnd w:id="7"/>
      <w:r w:rsidRPr="00000C03">
        <w:rPr>
          <w:rFonts w:ascii="KievitPro-Regular" w:hAnsi="KievitPro-Regular" w:cs="Arial"/>
          <w:b/>
          <w:smallCaps/>
          <w:snapToGrid/>
          <w:spacing w:val="5"/>
          <w:sz w:val="24"/>
          <w:szCs w:val="32"/>
          <w:lang w:val="fr-CH" w:eastAsia="en-US"/>
        </w:rPr>
        <w:t xml:space="preserve"> </w:t>
      </w:r>
    </w:p>
    <w:p w14:paraId="5EB81131"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 présent manuel a été approuvé dans sa version actuelle par la direction le </w:t>
      </w:r>
      <w:r w:rsidRPr="00000C03">
        <w:rPr>
          <w:rFonts w:ascii="KievitPro-Regular" w:hAnsi="KievitPro-Regular" w:cs="Arial"/>
          <w:snapToGrid/>
          <w:highlight w:val="yellow"/>
          <w:lang w:val="fr-CH" w:eastAsia="en-US" w:bidi="en-US"/>
        </w:rPr>
        <w:t>xx.xx.xxxx</w:t>
      </w:r>
      <w:r w:rsidRPr="00000C03">
        <w:rPr>
          <w:rFonts w:ascii="KievitPro-Regular" w:hAnsi="KievitPro-Regular" w:cs="Arial"/>
          <w:snapToGrid/>
          <w:lang w:val="fr-CH" w:eastAsia="en-US" w:bidi="en-US"/>
        </w:rPr>
        <w:t xml:space="preserve"> (dernière révision : </w:t>
      </w:r>
      <w:r w:rsidRPr="00000C03">
        <w:rPr>
          <w:rFonts w:ascii="KievitPro-Regular" w:hAnsi="KievitPro-Regular" w:cs="Arial"/>
          <w:snapToGrid/>
          <w:highlight w:val="yellow"/>
          <w:lang w:val="fr-CH" w:eastAsia="en-US" w:bidi="en-US"/>
        </w:rPr>
        <w:t>xx.xx.xxxx</w:t>
      </w:r>
      <w:r w:rsidRPr="00000C03">
        <w:rPr>
          <w:rFonts w:ascii="KievitPro-Regular" w:hAnsi="KievitPro-Regular" w:cs="Arial"/>
          <w:snapToGrid/>
          <w:lang w:val="fr-CH" w:eastAsia="en-US" w:bidi="en-US"/>
        </w:rPr>
        <w:t>).</w:t>
      </w:r>
    </w:p>
    <w:p w14:paraId="56785B1E" w14:textId="77777777" w:rsidR="00C927B8" w:rsidRPr="00000C03" w:rsidRDefault="00C927B8" w:rsidP="00C927B8">
      <w:pPr>
        <w:spacing w:after="200" w:line="276" w:lineRule="auto"/>
        <w:rPr>
          <w:rFonts w:ascii="KievitPro-Regular" w:hAnsi="KievitPro-Regular" w:cs="Arial"/>
          <w:snapToGrid/>
          <w:lang w:val="fr-CH" w:eastAsia="en-US" w:bidi="en-US"/>
        </w:rPr>
      </w:pPr>
    </w:p>
    <w:p w14:paraId="624C7154" w14:textId="77777777" w:rsidR="00C927B8" w:rsidRPr="00000C03" w:rsidRDefault="00C927B8" w:rsidP="00C927B8">
      <w:pPr>
        <w:tabs>
          <w:tab w:val="left" w:pos="2835"/>
          <w:tab w:val="left" w:pos="6237"/>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Signature(s) :</w:t>
      </w:r>
      <w:r w:rsidRPr="00000C03">
        <w:rPr>
          <w:rFonts w:ascii="KievitPro-Regular" w:hAnsi="KievitPro-Regular" w:cs="Arial"/>
          <w:snapToGrid/>
          <w:lang w:val="fr-CH" w:eastAsia="en-US" w:bidi="en-US"/>
        </w:rPr>
        <w:tab/>
        <w:t>____________________</w:t>
      </w:r>
      <w:r w:rsidRPr="00000C03">
        <w:rPr>
          <w:rFonts w:ascii="KievitPro-Regular" w:hAnsi="KievitPro-Regular" w:cs="Arial"/>
          <w:snapToGrid/>
          <w:lang w:val="fr-CH" w:eastAsia="en-US" w:bidi="en-US"/>
        </w:rPr>
        <w:tab/>
        <w:t>____________________</w:t>
      </w:r>
    </w:p>
    <w:p w14:paraId="29A47EC8" w14:textId="77777777" w:rsidR="00C927B8" w:rsidRPr="00000C03" w:rsidRDefault="00C927B8" w:rsidP="00C927B8">
      <w:pPr>
        <w:jc w:val="left"/>
        <w:rPr>
          <w:rFonts w:ascii="KievitPro-Regular" w:hAnsi="KievitPro-Regular" w:cs="Arial"/>
          <w:smallCaps/>
          <w:snapToGrid/>
          <w:spacing w:val="5"/>
          <w:sz w:val="24"/>
          <w:szCs w:val="32"/>
          <w:lang w:val="fr-CH" w:eastAsia="en-US"/>
        </w:rPr>
      </w:pPr>
      <w:bookmarkStart w:id="8" w:name="_Toc331493576"/>
      <w:bookmarkStart w:id="9" w:name="_Toc331493992"/>
      <w:bookmarkStart w:id="10" w:name="_Toc331495024"/>
      <w:bookmarkStart w:id="11" w:name="_Toc331495816"/>
      <w:bookmarkStart w:id="12" w:name="_Toc331510675"/>
      <w:r w:rsidRPr="00000C03">
        <w:rPr>
          <w:rFonts w:ascii="KievitPro-Regular" w:hAnsi="KievitPro-Regular" w:cs="Arial"/>
          <w:snapToGrid/>
          <w:lang w:val="fr-CH" w:eastAsia="en-US" w:bidi="en-US"/>
        </w:rPr>
        <w:br w:type="page"/>
      </w:r>
    </w:p>
    <w:p w14:paraId="26A07B46" w14:textId="77777777" w:rsidR="00C927B8" w:rsidRPr="00000C03" w:rsidRDefault="00C927B8" w:rsidP="00C927B8">
      <w:pPr>
        <w:numPr>
          <w:ilvl w:val="0"/>
          <w:numId w:val="23"/>
        </w:numPr>
        <w:spacing w:before="480"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13" w:name="_Toc242109341"/>
      <w:r w:rsidRPr="00000C03">
        <w:rPr>
          <w:rFonts w:ascii="KievitPro-Regular" w:hAnsi="KievitPro-Regular" w:cs="Arial"/>
          <w:b/>
          <w:smallCaps/>
          <w:snapToGrid/>
          <w:spacing w:val="5"/>
          <w:sz w:val="24"/>
          <w:szCs w:val="32"/>
          <w:lang w:val="fr-CH" w:eastAsia="en-US"/>
        </w:rPr>
        <w:lastRenderedPageBreak/>
        <w:t>Processus d’évaluation des risques du cabinet</w:t>
      </w:r>
      <w:bookmarkEnd w:id="13"/>
      <w:r w:rsidRPr="00000C03">
        <w:rPr>
          <w:rFonts w:ascii="KievitPro-Regular" w:hAnsi="KievitPro-Regular" w:cs="Arial"/>
          <w:b/>
          <w:smallCaps/>
          <w:snapToGrid/>
          <w:spacing w:val="5"/>
          <w:sz w:val="24"/>
          <w:szCs w:val="32"/>
          <w:lang w:val="fr-CH" w:eastAsia="en-US"/>
        </w:rPr>
        <w:t xml:space="preserve"> </w:t>
      </w:r>
    </w:p>
    <w:p w14:paraId="75A6043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direction assume la responsabilité globale du système de gestion de la qualité, ainsi que de sa mise en œuvre, de son maintien et de son développement continu. Cela comprend notamment le processus d'évaluation des risques, qui consiste à définir des objectifs qualité, à identifier et à évaluer les risques susceptibles de compromettre la qualité dans le domaine de la révision, ainsi qu'à définir des mesures appropriées permettant d'atteindre ces objectifs.</w:t>
      </w:r>
    </w:p>
    <w:p w14:paraId="7CFDBA3A"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L'évaluation des risques est réalisée dans le cadre d'une analyse systématique des risques et fait l'objet d'une documentation appropriée (voir annexe). Les risques identifiés sont évalués en fonction de leur importance et de leur impact potentiel. Plus un risque est jugé élevé, plus les mesures destinées à le réduire doivent être étendues. Une évaluation formalisée au moyen de notations (« ratings ») ou d'analyses quantitatives n'est toutefois pas obligatoire.</w:t>
      </w:r>
    </w:p>
    <w:p w14:paraId="2CDE3F14"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L'analyse des risques est réalisée et mise à jour régulièrement, au minimum une fois par an, ainsi qu'à chaque fois que des changements importants interviennent dans les activités, l'organisation ou l'environnement réglementaire. Le système de gestion de la qualité est conçu comme un processus dynamique et continu, qui s'adapte en permanence à l'évolution des circonstances et aux nouveaux constats.</w:t>
      </w:r>
    </w:p>
    <w:p w14:paraId="6526AD6B"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mise en œuvre opérationnelle et le suivi du système de gestion de la qualité peuvent être délégués au responsable de la gestion de la qualité (responsable GQ). Celui-ci rend compte à la direction, au moins une fois par an, de l'état du système de gestion de la qualité, des principaux risques identifiés ainsi que des mesures prises ou envisagées.</w:t>
      </w:r>
    </w:p>
    <w:p w14:paraId="17D7C2D5"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du processus d'évaluation des risques, sont notamment pris en considération les risques et les situations liés :</w:t>
      </w:r>
    </w:p>
    <w:p w14:paraId="4B5A1A81" w14:textId="77777777" w:rsidR="00C927B8" w:rsidRPr="00000C03" w:rsidRDefault="00C927B8" w:rsidP="00C927B8">
      <w:pPr>
        <w:numPr>
          <w:ilvl w:val="0"/>
          <w:numId w:val="25"/>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Au respect des exigences légales, réglementaires et professionnelles applicables ;</w:t>
      </w:r>
    </w:p>
    <w:p w14:paraId="5AB79862" w14:textId="77777777" w:rsidR="00C927B8" w:rsidRPr="00000C03" w:rsidRDefault="00C927B8" w:rsidP="00C927B8">
      <w:pPr>
        <w:numPr>
          <w:ilvl w:val="0"/>
          <w:numId w:val="25"/>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Au maintien de l'indépendance et de l'objectivité du personnel professionnel ;</w:t>
      </w:r>
    </w:p>
    <w:p w14:paraId="505DD96B" w14:textId="77777777" w:rsidR="00C927B8" w:rsidRPr="00000C03" w:rsidRDefault="00C927B8" w:rsidP="00C927B8">
      <w:pPr>
        <w:numPr>
          <w:ilvl w:val="0"/>
          <w:numId w:val="25"/>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Aux réclamations ou aux indices laissant supposer d'éventuels manquements aux normes professionnelles ou aux directives internes ;</w:t>
      </w:r>
    </w:p>
    <w:p w14:paraId="3B6AB457" w14:textId="77777777" w:rsidR="00C927B8" w:rsidRPr="00000C03" w:rsidRDefault="00C927B8" w:rsidP="00C927B8">
      <w:pPr>
        <w:numPr>
          <w:ilvl w:val="0"/>
          <w:numId w:val="25"/>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Aux nouveaux éléments concernant les relations avec les clients ou les mandats existants ou envisagés ;</w:t>
      </w:r>
    </w:p>
    <w:p w14:paraId="0795389D" w14:textId="77777777" w:rsidR="00C927B8" w:rsidRPr="00000C03" w:rsidRDefault="00C927B8" w:rsidP="00C927B8">
      <w:pPr>
        <w:numPr>
          <w:ilvl w:val="0"/>
          <w:numId w:val="25"/>
        </w:numPr>
        <w:tabs>
          <w:tab w:val="num" w:pos="720"/>
        </w:tabs>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À l'évaluation des situations dans lesquelles des mesures complémentaires d'assurance qualité ou une revue de la qualité de la mission sont nécessaires.</w:t>
      </w:r>
    </w:p>
    <w:p w14:paraId="02A98BB2"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Sur la base des risques identifiés et évalués, la direction décide, dans un délai approprié, des mesures nécessaires et veille à leur mise en œuvre ainsi qu'au suivi de leur efficacité.</w:t>
      </w:r>
    </w:p>
    <w:p w14:paraId="3D60E908" w14:textId="77777777" w:rsidR="00C927B8" w:rsidRPr="00000C03" w:rsidRDefault="00C927B8" w:rsidP="00C927B8">
      <w:pPr>
        <w:tabs>
          <w:tab w:val="right" w:pos="9405"/>
        </w:tabs>
        <w:spacing w:after="200" w:line="276" w:lineRule="auto"/>
        <w:jc w:val="left"/>
        <w:rPr>
          <w:rFonts w:ascii="KievitPro-Regular" w:hAnsi="KievitPro-Regular" w:cs="Arial"/>
          <w:snapToGrid/>
          <w:lang w:val="fr-CH" w:eastAsia="en-US" w:bidi="en-US"/>
        </w:rPr>
      </w:pPr>
    </w:p>
    <w:p w14:paraId="49D8A8AE" w14:textId="77777777" w:rsidR="00C927B8" w:rsidRPr="00000C03" w:rsidRDefault="00C927B8" w:rsidP="00C927B8">
      <w:pPr>
        <w:spacing w:after="20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Annexe 12.1 : Checklist « Évaluation des risques de l'entreprise et mesures spécifiques qui en découlent »</w:t>
      </w:r>
    </w:p>
    <w:p w14:paraId="17CC04B6" w14:textId="77777777" w:rsidR="00C927B8" w:rsidRPr="00000C03" w:rsidRDefault="00C927B8" w:rsidP="00C927B8">
      <w:pPr>
        <w:jc w:val="left"/>
        <w:rPr>
          <w:rFonts w:ascii="KievitPro-Regular" w:hAnsi="KievitPro-Regular" w:cs="Arial"/>
          <w:b/>
          <w:snapToGrid/>
          <w:sz w:val="24"/>
          <w:szCs w:val="32"/>
          <w:lang w:val="fr-CH" w:eastAsia="en-US" w:bidi="en-US"/>
        </w:rPr>
      </w:pPr>
    </w:p>
    <w:p w14:paraId="08DD8A5E" w14:textId="77777777" w:rsidR="00C927B8" w:rsidRPr="00000C03" w:rsidRDefault="00C927B8" w:rsidP="00C927B8">
      <w:pPr>
        <w:jc w:val="left"/>
        <w:rPr>
          <w:rFonts w:ascii="KievitPro-Regular" w:hAnsi="KievitPro-Regular" w:cs="Arial"/>
          <w:b/>
          <w:snapToGrid/>
          <w:sz w:val="24"/>
          <w:szCs w:val="32"/>
          <w:lang w:val="fr-CH" w:eastAsia="en-US" w:bidi="en-US"/>
        </w:rPr>
      </w:pPr>
    </w:p>
    <w:p w14:paraId="3612003B" w14:textId="77777777" w:rsidR="00C927B8" w:rsidRPr="00000C03" w:rsidRDefault="00C927B8" w:rsidP="00C927B8">
      <w:pPr>
        <w:jc w:val="left"/>
        <w:rPr>
          <w:rFonts w:ascii="KievitPro-Regular" w:hAnsi="KievitPro-Regular" w:cs="Arial"/>
          <w:b/>
          <w:smallCaps/>
          <w:snapToGrid/>
          <w:spacing w:val="5"/>
          <w:sz w:val="24"/>
          <w:szCs w:val="32"/>
          <w:lang w:val="fr-CH" w:eastAsia="en-US"/>
        </w:rPr>
      </w:pPr>
      <w:r w:rsidRPr="00000C03">
        <w:rPr>
          <w:rFonts w:ascii="KievitPro-Regular" w:hAnsi="KievitPro-Regular" w:cs="Arial"/>
          <w:b/>
          <w:snapToGrid/>
          <w:sz w:val="24"/>
          <w:szCs w:val="32"/>
          <w:lang w:val="fr-CH" w:eastAsia="en-US" w:bidi="en-US"/>
        </w:rPr>
        <w:br w:type="page"/>
      </w:r>
    </w:p>
    <w:p w14:paraId="6B9FA73B" w14:textId="292AE516" w:rsidR="00C927B8" w:rsidRPr="00000C03" w:rsidRDefault="00C927B8" w:rsidP="00C927B8">
      <w:pPr>
        <w:numPr>
          <w:ilvl w:val="0"/>
          <w:numId w:val="23"/>
        </w:numPr>
        <w:spacing w:before="480"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14" w:name="_Toc242109342"/>
      <w:r w:rsidRPr="00000C03">
        <w:rPr>
          <w:rFonts w:ascii="KievitPro-Regular" w:hAnsi="KievitPro-Regular" w:cs="Arial"/>
          <w:b/>
          <w:smallCaps/>
          <w:snapToGrid/>
          <w:spacing w:val="5"/>
          <w:sz w:val="24"/>
          <w:szCs w:val="32"/>
          <w:lang w:val="fr-CH" w:eastAsia="en-US"/>
        </w:rPr>
        <w:lastRenderedPageBreak/>
        <w:t>S</w:t>
      </w:r>
      <w:r w:rsidR="005C374C" w:rsidRPr="00000C03">
        <w:rPr>
          <w:rFonts w:ascii="KievitPro-Regular" w:hAnsi="KievitPro-Regular" w:cs="Arial"/>
          <w:b/>
          <w:smallCaps/>
          <w:snapToGrid/>
          <w:spacing w:val="5"/>
          <w:sz w:val="24"/>
          <w:szCs w:val="32"/>
          <w:lang w:val="fr-CH" w:eastAsia="en-US"/>
        </w:rPr>
        <w:t>ur</w:t>
      </w:r>
      <w:r w:rsidRPr="00000C03">
        <w:rPr>
          <w:rFonts w:ascii="KievitPro-Regular" w:hAnsi="KievitPro-Regular" w:cs="Arial"/>
          <w:b/>
          <w:smallCaps/>
          <w:snapToGrid/>
          <w:spacing w:val="5"/>
          <w:sz w:val="24"/>
          <w:szCs w:val="32"/>
          <w:lang w:val="fr-CH" w:eastAsia="en-US"/>
        </w:rPr>
        <w:t>veillance et gouvernance du système de gestion de la qualité</w:t>
      </w:r>
      <w:bookmarkEnd w:id="14"/>
      <w:r w:rsidRPr="00000C03">
        <w:rPr>
          <w:rFonts w:ascii="KievitPro-Regular" w:hAnsi="KievitPro-Regular" w:cs="Arial"/>
          <w:b/>
          <w:smallCaps/>
          <w:snapToGrid/>
          <w:spacing w:val="5"/>
          <w:sz w:val="24"/>
          <w:szCs w:val="32"/>
          <w:lang w:val="fr-CH" w:eastAsia="en-US"/>
        </w:rPr>
        <w:t xml:space="preserve"> </w:t>
      </w:r>
    </w:p>
    <w:p w14:paraId="66DF6D6E" w14:textId="77777777" w:rsidR="00C927B8" w:rsidRPr="00000C03" w:rsidRDefault="00C927B8" w:rsidP="00C927B8">
      <w:pPr>
        <w:numPr>
          <w:ilvl w:val="1"/>
          <w:numId w:val="23"/>
        </w:numPr>
        <w:spacing w:before="240" w:after="120" w:line="278" w:lineRule="auto"/>
        <w:ind w:left="142" w:hanging="142"/>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Dispositions</w:t>
      </w:r>
    </w:p>
    <w:p w14:paraId="2475FD7D"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dispose d'un système de gestion de la qualité conforme aux exigences des normes ISQM-CH 1, ISQM-CH 2 et ISA-CH 220. Ce système vise à garantir une exécution conforme et de qualité des prestations de révision. Le système de gestion de la qualité fait l'objet d'une surveillance continue et d'un examen périodique. Il convient de veiller à ce qu'il demeure adapté, approprié et efficace, et qu'il corresponde en permanence aux caractéristiques et aux besoins de l'entreprise de révision.</w:t>
      </w:r>
    </w:p>
    <w:p w14:paraId="5D8A66CC" w14:textId="77777777" w:rsidR="00C927B8" w:rsidRPr="00000C03" w:rsidRDefault="00C927B8" w:rsidP="00C927B8">
      <w:pPr>
        <w:numPr>
          <w:ilvl w:val="1"/>
          <w:numId w:val="23"/>
        </w:numPr>
        <w:spacing w:before="240" w:after="120" w:line="278" w:lineRule="auto"/>
        <w:ind w:left="0" w:firstLine="0"/>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Mesures</w:t>
      </w:r>
    </w:p>
    <w:p w14:paraId="21967767"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Responsable de la gestion de la qualité</w:t>
      </w:r>
    </w:p>
    <w:p w14:paraId="246F7559"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désigne une personne chargée de la gestion opérationnelle et de la coordination du système de gestion de la qualité. Cette fonction ainsi que les responsabilités qui y sont liées sont clairement définies et communiquées au sein de l'organisation. La personne responsable dispose des qualifications professionnelles, de l'expérience pratique et des compétences nécessaires pour exercer efficacement cette fonction. En règle générale, elle possède un niveau de qualification comparable à celui des responsables de mission, les compétences décisionnelles requises ainsi qu'une solide expérience professionnelle dans le domaine de la révision.</w:t>
      </w:r>
    </w:p>
    <w:p w14:paraId="62F5A362"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responsabilité ultime du système de gestion de la qualité incombe à la direction ou, selon l'organisation de l'entreprise, au conseil d'administration. Certaines tâches et responsabilités peuvent être déléguées à la direction opérationnelle ou au responsable de la gestion de la qualité ; cette délégation ne remet toutefois pas en cause la responsabilité globale de la direction (cf. ISQM-CH 1, § 20).</w:t>
      </w:r>
    </w:p>
    <w:p w14:paraId="0489CE75"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 la gestion de la qualité assume notamment les tâches suivantes :</w:t>
      </w:r>
    </w:p>
    <w:p w14:paraId="35C2088A" w14:textId="77777777" w:rsidR="00C927B8" w:rsidRPr="00000C03" w:rsidRDefault="00C927B8" w:rsidP="00C927B8">
      <w:pPr>
        <w:numPr>
          <w:ilvl w:val="0"/>
          <w:numId w:val="26"/>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Assurer la gestion, la mise à jour et la mise à disposition de la documentation relative à la qualité, y compris les directives internes, les modèles et les outils de travail (approche proportionnée possible) ;</w:t>
      </w:r>
    </w:p>
    <w:p w14:paraId="6FCE6C26" w14:textId="77777777" w:rsidR="00C927B8" w:rsidRPr="00000C03" w:rsidRDefault="00C927B8" w:rsidP="00C927B8">
      <w:pPr>
        <w:numPr>
          <w:ilvl w:val="0"/>
          <w:numId w:val="26"/>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Veiller à ce que le personnel professionnel soit informé du contenu et des exigences du système de gestion de la qualité ;</w:t>
      </w:r>
    </w:p>
    <w:p w14:paraId="5D17DBB9" w14:textId="77777777" w:rsidR="00C927B8" w:rsidRPr="00000C03" w:rsidRDefault="00C927B8" w:rsidP="00C927B8">
      <w:pPr>
        <w:numPr>
          <w:ilvl w:val="0"/>
          <w:numId w:val="26"/>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Surveiller le respect des directives internes et des processus définis ;</w:t>
      </w:r>
    </w:p>
    <w:p w14:paraId="77553407" w14:textId="77777777" w:rsidR="00C927B8" w:rsidRPr="00000C03" w:rsidRDefault="00C927B8" w:rsidP="00C927B8">
      <w:pPr>
        <w:numPr>
          <w:ilvl w:val="0"/>
          <w:numId w:val="26"/>
        </w:numPr>
        <w:spacing w:after="16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Examiner et évaluer les écarts ou les déficiences constatés dans le système de gestion de la qualité ;</w:t>
      </w:r>
    </w:p>
    <w:p w14:paraId="1AB9D8FF" w14:textId="77777777" w:rsidR="00C927B8" w:rsidRPr="00000C03" w:rsidRDefault="00C927B8" w:rsidP="00C927B8">
      <w:pPr>
        <w:numPr>
          <w:ilvl w:val="0"/>
          <w:numId w:val="26"/>
        </w:numPr>
        <w:spacing w:before="240" w:after="200" w:line="278" w:lineRule="auto"/>
        <w:contextualSpacing/>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Élaborer et coordonner les mesures correctives et les actions d'amélioration destinées au développement continu du système de gestion de la qualité.</w:t>
      </w:r>
    </w:p>
    <w:p w14:paraId="66C66A34"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Gestion des lacunes et amélioration continue</w:t>
      </w:r>
    </w:p>
    <w:p w14:paraId="64E5363D"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lacunes constatées, les possibilités d'amélioration ainsi que les propositions d'amélioration sont recensées de manière systématique, analysées et évaluées quant à leurs incidences sur le système de gestion de la qualité.</w:t>
      </w:r>
    </w:p>
    <w:p w14:paraId="485EAAD6"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Lorsque cela est nécessaire, des mesures correctives ou des mesures d'amélioration appropriées sont définies, mises en œuvre et suivies.</w:t>
      </w:r>
    </w:p>
    <w:p w14:paraId="72CCA410"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violations ou les risques de violation des exigences légales, réglementaires ou internes susceptibles d'avoir des conséquences directes pour l'entreprise de révision, notamment en matière d'indépendance, de qualifications professionnelles ou de risques en matière de responsabilité, doivent être signalés sans délai à la direction. Celle-ci examine la situation et décide des mesures à prendre.</w:t>
      </w:r>
    </w:p>
    <w:p w14:paraId="2FBEEF3A"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de l'exécution des mandats, les responsables de mission recueillent régulièrement un retour d'information sur la satisfaction des clients, au plus tard lors de la clôture du mandat. Les remarques importantes ou les informations susceptibles d'influencer la poursuite de la relation avec le client sont documentées de manière appropriée et communiquées sans délai à la direction.</w:t>
      </w:r>
    </w:p>
    <w:p w14:paraId="4AEC4FD3"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Lorsqu'un mandat prend fin à l'initiative du client, les circonstances doivent être documentées de manière appropriée. Si nécessaire, une note au dossier est établie à l'intention de la direction et versée au dossier du client concerné.</w:t>
      </w:r>
    </w:p>
    <w:p w14:paraId="66BF1DA1" w14:textId="77777777" w:rsidR="00C927B8" w:rsidRPr="00000C03" w:rsidRDefault="00C927B8" w:rsidP="00C927B8">
      <w:pPr>
        <w:spacing w:after="16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lastRenderedPageBreak/>
        <w:t>L'entreprise de révision encourage une culture de communication ouverte. Tous les collaborateurs ont la possibilité d'exprimer des préoccupations d'ordre professionnel, de signaler des lacunes ou de formuler des propositions d'amélioration, sans avoir à craindre d'en subir des conséquences défavorables.</w:t>
      </w:r>
    </w:p>
    <w:p w14:paraId="4CE08A5F"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Révision des dispositions relatives à la gestion de la qualité</w:t>
      </w:r>
    </w:p>
    <w:p w14:paraId="5D293308" w14:textId="77777777" w:rsidR="00C927B8" w:rsidRPr="00000C03" w:rsidRDefault="00C927B8" w:rsidP="00C927B8">
      <w:pPr>
        <w:spacing w:before="120" w:after="120"/>
        <w:rPr>
          <w:rFonts w:ascii="KievitPro-Regular" w:hAnsi="KievitPro-Regular" w:cs="Arial"/>
          <w:snapToGrid/>
          <w:lang w:val="fr-CH" w:eastAsia="en-US" w:bidi="en-US"/>
        </w:rPr>
      </w:pPr>
      <w:r w:rsidRPr="00000C03">
        <w:rPr>
          <w:rFonts w:ascii="KievitPro-Regular" w:hAnsi="KievitPro-Regular" w:cs="Arial"/>
          <w:snapToGrid/>
          <w:lang w:val="fr-CH" w:eastAsia="en-US" w:bidi="en-US"/>
        </w:rPr>
        <w:t>Le système de gestion de la qualité est réexaminé au moins une fois par an par le responsable de la gestion de la qualité, en concertation avec la direction, et adapté si nécessaire. Ce processus fait l'objet d'une documentation appropriée. L'objectif est de s'assurer que le système de gestion de la qualité demeure adapté, efficace et conforme aux besoins actuels de l'entreprise de révision.</w:t>
      </w:r>
    </w:p>
    <w:p w14:paraId="10978F8D" w14:textId="77777777" w:rsidR="00C927B8" w:rsidRPr="00000C03" w:rsidRDefault="00C927B8" w:rsidP="00C927B8">
      <w:pPr>
        <w:spacing w:before="120" w:after="120"/>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de cette revue périodique, les éléments suivants sont notamment examinés et, le cas échéant, mis à jour :</w:t>
      </w:r>
    </w:p>
    <w:p w14:paraId="216ADF4E"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Réalisation et mise à jour de l'évaluation des risques au niveau de l'entreprise de révision ;</w:t>
      </w:r>
    </w:p>
    <w:p w14:paraId="1C0566F7"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Réexamen de la classification des risques des mandats existants ;</w:t>
      </w:r>
    </w:p>
    <w:p w14:paraId="164BCAFB"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Planification des activités de formation et de formation continue du personnel professionnel ;</w:t>
      </w:r>
    </w:p>
    <w:p w14:paraId="74B6A9F7"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Mise à jour du registre des mandats ;</w:t>
      </w:r>
    </w:p>
    <w:p w14:paraId="1EA35E12"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Examen de la planification des ressources humaines ainsi que de l'affectation des responsables de mission et des collaborateurs ;</w:t>
      </w:r>
    </w:p>
    <w:p w14:paraId="7C5C9D65"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Évaluation des possibilités d'amélioration et décision concernant les mesures correctives ou les actions d'amélioration nécessaires ;</w:t>
      </w:r>
    </w:p>
    <w:p w14:paraId="080F2920"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Contrôle et documentation des formations suivies, y compris les justificatifs requis ;</w:t>
      </w:r>
    </w:p>
    <w:p w14:paraId="48A966CC"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Réalisation et documentation des revues internes, tant au niveau de l'entreprise qu'au niveau des missions ;</w:t>
      </w:r>
    </w:p>
    <w:p w14:paraId="25D98677"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Évaluation globale de l'adéquation et de l'efficacité du système de gestion de la qualité ;</w:t>
      </w:r>
    </w:p>
    <w:p w14:paraId="25083B5B" w14:textId="77777777" w:rsidR="00C927B8" w:rsidRPr="00000C03" w:rsidRDefault="00C927B8" w:rsidP="00C927B8">
      <w:pPr>
        <w:numPr>
          <w:ilvl w:val="0"/>
          <w:numId w:val="27"/>
        </w:numPr>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Examen du Manuel de gestion de la qualité ainsi que des outils de travail, modèles et check-lists associés quant à leur actualité, leur exhaustivité et leur conformité aux exigences applicables ;</w:t>
      </w:r>
    </w:p>
    <w:p w14:paraId="47D9C768" w14:textId="77777777" w:rsidR="00C927B8" w:rsidRPr="00000C03" w:rsidRDefault="00C927B8" w:rsidP="00C927B8">
      <w:pPr>
        <w:numPr>
          <w:ilvl w:val="0"/>
          <w:numId w:val="27"/>
        </w:numPr>
        <w:tabs>
          <w:tab w:val="num" w:pos="720"/>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Examen et mise à jour des objectifs, des risques et des mesures conformément à l'ISQM-CH 1.</w:t>
      </w:r>
    </w:p>
    <w:p w14:paraId="08C3C736" w14:textId="77777777" w:rsidR="00C927B8" w:rsidRPr="00000C03" w:rsidRDefault="00C927B8" w:rsidP="00C927B8">
      <w:pPr>
        <w:spacing w:before="240" w:after="120" w:line="278"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Manuel de gestion de la qualité ainsi que les modèles, outils de travail et check-lists qui l'accompagnent sont mis à jour en tant que de besoin, mais au minimum une fois par an. Les modifications apportées, y compris le processus annuel de révision, sont documentées de manière appropriée et communiquées au personnel concerné.</w:t>
      </w:r>
    </w:p>
    <w:p w14:paraId="1266CC30" w14:textId="77777777" w:rsidR="00C927B8" w:rsidRPr="00000C03" w:rsidRDefault="00C927B8" w:rsidP="00C927B8">
      <w:pPr>
        <w:numPr>
          <w:ilvl w:val="0"/>
          <w:numId w:val="23"/>
        </w:numPr>
        <w:spacing w:before="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15" w:name="_Toc242109343"/>
      <w:bookmarkEnd w:id="8"/>
      <w:bookmarkEnd w:id="9"/>
      <w:bookmarkEnd w:id="10"/>
      <w:bookmarkEnd w:id="11"/>
      <w:bookmarkEnd w:id="12"/>
      <w:r w:rsidRPr="00000C03">
        <w:rPr>
          <w:rFonts w:ascii="KievitPro-Regular" w:hAnsi="KievitPro-Regular" w:cs="Arial"/>
          <w:b/>
          <w:smallCaps/>
          <w:snapToGrid/>
          <w:spacing w:val="5"/>
          <w:sz w:val="24"/>
          <w:szCs w:val="32"/>
          <w:lang w:val="fr-CH" w:eastAsia="en-US"/>
        </w:rPr>
        <w:t>exigences déontologiques pertinentes</w:t>
      </w:r>
      <w:bookmarkEnd w:id="15"/>
      <w:r w:rsidRPr="00000C03">
        <w:rPr>
          <w:rFonts w:ascii="KievitPro-Regular" w:hAnsi="KievitPro-Regular" w:cs="Arial"/>
          <w:b/>
          <w:smallCaps/>
          <w:snapToGrid/>
          <w:spacing w:val="5"/>
          <w:sz w:val="24"/>
          <w:szCs w:val="32"/>
          <w:lang w:val="fr-CH" w:eastAsia="en-US"/>
        </w:rPr>
        <w:t xml:space="preserve"> </w:t>
      </w:r>
    </w:p>
    <w:p w14:paraId="0CB3F65A" w14:textId="77777777" w:rsidR="00C927B8" w:rsidRPr="00000C03" w:rsidRDefault="00C927B8" w:rsidP="00C927B8">
      <w:pPr>
        <w:numPr>
          <w:ilvl w:val="1"/>
          <w:numId w:val="23"/>
        </w:numPr>
        <w:spacing w:before="240" w:after="120" w:line="278" w:lineRule="auto"/>
        <w:ind w:left="0" w:firstLine="0"/>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Dispositions</w:t>
      </w:r>
    </w:p>
    <w:p w14:paraId="6EFEA06A"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Nous sommes une entreprise de révision agréée en qualité de </w:t>
      </w:r>
      <w:r w:rsidRPr="00000C03">
        <w:rPr>
          <w:rFonts w:ascii="KievitPro-Regular" w:hAnsi="KievitPro-Regular" w:cs="Arial"/>
          <w:snapToGrid/>
          <w:highlight w:val="yellow"/>
          <w:lang w:val="fr-CH" w:eastAsia="en-US" w:bidi="en-US"/>
        </w:rPr>
        <w:t>réviseur agréé / expert-réviseur</w:t>
      </w:r>
      <w:r w:rsidRPr="00000C03">
        <w:rPr>
          <w:rFonts w:ascii="KievitPro-Regular" w:hAnsi="KievitPro-Regular" w:cs="Arial"/>
          <w:snapToGrid/>
          <w:lang w:val="fr-CH" w:eastAsia="en-US" w:bidi="en-US"/>
        </w:rPr>
        <w:t xml:space="preserve"> agréé. Nous sommes </w:t>
      </w:r>
      <w:r w:rsidRPr="00000C03">
        <w:rPr>
          <w:rFonts w:ascii="KievitPro-Regular" w:hAnsi="KievitPro-Regular" w:cs="Arial"/>
          <w:snapToGrid/>
          <w:highlight w:val="yellow"/>
          <w:lang w:val="fr-CH" w:eastAsia="en-US" w:bidi="en-US"/>
        </w:rPr>
        <w:t>en outre membres de FIDUCIAIRE|SUISSE et/ou d’EXPERTsuisse (à défaut, indiquer l’(les) autre(s) affiliation(s) à une association professionnelle ou supprimer cette phrase</w:t>
      </w:r>
      <w:r w:rsidRPr="00000C03">
        <w:rPr>
          <w:rFonts w:ascii="KievitPro-Regular" w:hAnsi="KievitPro-Regular" w:cs="Arial"/>
          <w:snapToGrid/>
          <w:lang w:val="fr-CH" w:eastAsia="en-US" w:bidi="en-US"/>
        </w:rPr>
        <w:t>). Nous nous engageons à respecter les dispositions légales applicables, les ordonnances et autres actes d’exécution y relatifs ainsi que les principes professionnels.</w:t>
      </w:r>
    </w:p>
    <w:p w14:paraId="395CF02B"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nous engageons à préserver l’indépendance interne et externe de l’entreprise ainsi que celle du personnel spécialisé, lorsque les dispositions légales et les exigences déontologiques applicables l’exigent. Le personnel spécialisé est soumis au secret professionnel, en particulier au secret de révision (art. 730b, al. 2 CO). Cela implique une gestion rigoureuse de l’infrastructure informatique interne de l’entreprise ainsi que du traitement électronique des données.</w:t>
      </w:r>
    </w:p>
    <w:p w14:paraId="3D7661D6" w14:textId="40C04E11"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veillons à ce que nos collaborateurs affectés à la révision disposent des connaissances professionnelles nécessaires pour s’acquitter de leurs obligations légales avec la diligence requise. Nous veillons également à ce que leur formation continue soit équilibrée et adaptée à la complexité des mandats de révision dont ils ont la charge (</w:t>
      </w:r>
      <w:r w:rsidR="007E1C4D" w:rsidRPr="00000C03">
        <w:rPr>
          <w:rFonts w:ascii="KievitPro-Regular" w:hAnsi="KievitPro-Regular" w:cs="Arial"/>
          <w:snapToGrid/>
          <w:lang w:val="fr-CH" w:eastAsia="en-US" w:bidi="en-US"/>
        </w:rPr>
        <w:t xml:space="preserve">contrôles </w:t>
      </w:r>
      <w:r w:rsidRPr="00000C03">
        <w:rPr>
          <w:rFonts w:ascii="KievitPro-Regular" w:hAnsi="KievitPro-Regular" w:cs="Arial"/>
          <w:snapToGrid/>
          <w:lang w:val="fr-CH" w:eastAsia="en-US" w:bidi="en-US"/>
        </w:rPr>
        <w:t xml:space="preserve">restreints </w:t>
      </w:r>
      <w:r w:rsidRPr="00000C03">
        <w:rPr>
          <w:rFonts w:ascii="KievitPro-Regular" w:hAnsi="KievitPro-Regular" w:cs="Arial"/>
          <w:snapToGrid/>
          <w:highlight w:val="red"/>
          <w:lang w:val="fr-CH" w:eastAsia="en-US" w:bidi="en-US"/>
        </w:rPr>
        <w:t xml:space="preserve">et/ou </w:t>
      </w:r>
      <w:r w:rsidR="007E1C4D" w:rsidRPr="00000C03">
        <w:rPr>
          <w:rFonts w:ascii="KievitPro-Regular" w:hAnsi="KievitPro-Regular" w:cs="Arial"/>
          <w:snapToGrid/>
          <w:highlight w:val="red"/>
          <w:lang w:val="fr-CH" w:eastAsia="en-US" w:bidi="en-US"/>
        </w:rPr>
        <w:t xml:space="preserve">révisions </w:t>
      </w:r>
      <w:r w:rsidRPr="00000C03">
        <w:rPr>
          <w:rFonts w:ascii="KievitPro-Regular" w:hAnsi="KievitPro-Regular" w:cs="Arial"/>
          <w:snapToGrid/>
          <w:highlight w:val="red"/>
          <w:lang w:val="fr-CH" w:eastAsia="en-US" w:bidi="en-US"/>
        </w:rPr>
        <w:t>ordinaires</w:t>
      </w:r>
      <w:r w:rsidRPr="00000C03">
        <w:rPr>
          <w:rFonts w:ascii="KievitPro-Regular" w:hAnsi="KievitPro-Regular" w:cs="Arial"/>
          <w:snapToGrid/>
          <w:lang w:val="fr-CH" w:eastAsia="en-US" w:bidi="en-US"/>
        </w:rPr>
        <w:t>, normes d’audit et normes comptables applicables, etc.).</w:t>
      </w:r>
    </w:p>
    <w:p w14:paraId="01941BC6"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lastRenderedPageBreak/>
        <w:t xml:space="preserve">Nous disposons d’une organisation appropriée. L’organigramme correspondant fait partie intégrante du système de gestion de la qualité. L’entreprise est en principe organisée en plusieurs domaines spécialisés : </w:t>
      </w:r>
      <w:r w:rsidRPr="00000C03">
        <w:rPr>
          <w:rFonts w:ascii="KievitPro-Regular" w:hAnsi="KievitPro-Regular" w:cs="Arial"/>
          <w:snapToGrid/>
          <w:highlight w:val="yellow"/>
          <w:lang w:val="fr-CH" w:eastAsia="en-US" w:bidi="en-US"/>
        </w:rPr>
        <w:t>révision, immobilier, comptabilité/fiduciaire ainsi que conseil fiscal et conseil aux entreprises</w:t>
      </w:r>
      <w:r w:rsidRPr="00000C03">
        <w:rPr>
          <w:rFonts w:ascii="KievitPro-Regular" w:hAnsi="KievitPro-Regular" w:cs="Arial"/>
          <w:snapToGrid/>
          <w:lang w:val="fr-CH" w:eastAsia="en-US" w:bidi="en-US"/>
        </w:rPr>
        <w:t xml:space="preserve"> (voir l’organigramme en annexe).</w:t>
      </w:r>
    </w:p>
    <w:p w14:paraId="29FA23EB" w14:textId="77777777" w:rsidR="00C927B8" w:rsidRPr="00000C03" w:rsidRDefault="00C927B8" w:rsidP="00C927B8">
      <w:pPr>
        <w:numPr>
          <w:ilvl w:val="1"/>
          <w:numId w:val="23"/>
        </w:numPr>
        <w:spacing w:before="240" w:after="120" w:line="278" w:lineRule="auto"/>
        <w:ind w:left="0" w:firstLine="0"/>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Mesures</w:t>
      </w:r>
    </w:p>
    <w:p w14:paraId="7C40AF8E"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Nos réviseurs responsables sont agréés auprès de l’Autorité fédérale de surveillance en matière de révision (ASR) en tant que </w:t>
      </w:r>
      <w:r w:rsidRPr="00000C03">
        <w:rPr>
          <w:rFonts w:ascii="KievitPro-Regular" w:hAnsi="KievitPro-Regular" w:cs="Arial"/>
          <w:snapToGrid/>
          <w:highlight w:val="yellow"/>
          <w:lang w:val="fr-CH" w:eastAsia="en-US" w:bidi="en-US"/>
        </w:rPr>
        <w:t>réviseurs ou experts-réviseurs</w:t>
      </w:r>
      <w:r w:rsidRPr="00000C03">
        <w:rPr>
          <w:rFonts w:ascii="KievitPro-Regular" w:hAnsi="KievitPro-Regular" w:cs="Arial"/>
          <w:snapToGrid/>
          <w:lang w:val="fr-CH" w:eastAsia="en-US" w:bidi="en-US"/>
        </w:rPr>
        <w:t>. Ils s’engagent ainsi personnellement à respecter les dispositions légales et les principes professionnels. Ceux-ci comprennent notamment les règles professionnelles, les directives en matière d’indépendance ainsi que les directives relatives à la formation continue.</w:t>
      </w:r>
    </w:p>
    <w:p w14:paraId="589BE756"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Tous les collaborateurs participant à la révision ainsi que tous les membres de l’organe supérieur de direction ou d’administration (p. ex. membres du conseil d’administration), de l’organe de gestion (p. ex. directeurs) et les collaborateurs exerçant des fonctions décisionnelles doivent signer chaque année une déclaration d’indépendance. La déclaration est accompagnée d’une liste des mandats de révision en cours. Le respect des règles d’indépendance est en outre régulièrement contrôlé et documenté dans le cadre de l’examen de l’acceptation et de la poursuite des mandats, afin que toute violation des directives en matière d’indépendance puisse être identifiée sans délai (voir également ch. 2.2).</w:t>
      </w:r>
    </w:p>
    <w:p w14:paraId="7006C381"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employés de notre organisation qui ne participent pas à la révision (p. ex. fiduciaires sans fonction dirigeante) doivent également remettre chaque année une déclaration écrite attestant qu’ils ne sont membres du conseil d’administration d’aucun client de révision et qu’ils n’y exercent aucune autre fonction décisionnelle. Cette confirmation écrite peut être établie sous forme papier ou électronique.</w:t>
      </w:r>
    </w:p>
    <w:p w14:paraId="4E870FF8"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direction et le responsable du domaine Révision tiennent en outre chaque année une séance consacrée à l’indépendance. Tous les mandats y sont examinés sous l’angle d’éventuelles problématiques d’indépendance et, si nécessaire, des mesures sont prises.</w:t>
      </w:r>
    </w:p>
    <w:p w14:paraId="2E7C6A59" w14:textId="2F4FF759"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responsabilité des mandats est attribuée et documentée dans les listes de mandats. Dans ce contexte, la séparation personnelle est observée et respectée, notamment dans le cadre d</w:t>
      </w:r>
      <w:r w:rsidR="007E1C4D" w:rsidRPr="00000C03">
        <w:rPr>
          <w:rFonts w:ascii="KievitPro-Regular" w:hAnsi="KievitPro-Regular" w:cs="Arial"/>
          <w:snapToGrid/>
          <w:lang w:val="fr-CH" w:eastAsia="en-US" w:bidi="en-US"/>
        </w:rPr>
        <w:t xml:space="preserve">u contrôle </w:t>
      </w:r>
      <w:r w:rsidRPr="00000C03">
        <w:rPr>
          <w:rFonts w:ascii="KievitPro-Regular" w:hAnsi="KievitPro-Regular" w:cs="Arial"/>
          <w:snapToGrid/>
          <w:lang w:val="fr-CH" w:eastAsia="en-US" w:bidi="en-US"/>
        </w:rPr>
        <w:t>restreint et de la participation à la tenue de la comptabilité. D’autres mesures de protection relatives à la séparation organisationnelle dans le cadre d</w:t>
      </w:r>
      <w:r w:rsidR="007E1C4D" w:rsidRPr="00000C03">
        <w:rPr>
          <w:rFonts w:ascii="KievitPro-Regular" w:hAnsi="KievitPro-Regular" w:cs="Arial"/>
          <w:snapToGrid/>
          <w:lang w:val="fr-CH" w:eastAsia="en-US" w:bidi="en-US"/>
        </w:rPr>
        <w:t xml:space="preserve">u contrôle </w:t>
      </w:r>
      <w:r w:rsidRPr="00000C03">
        <w:rPr>
          <w:rFonts w:ascii="KievitPro-Regular" w:hAnsi="KievitPro-Regular" w:cs="Arial"/>
          <w:snapToGrid/>
          <w:lang w:val="fr-CH" w:eastAsia="en-US" w:bidi="en-US"/>
        </w:rPr>
        <w:t xml:space="preserve">restreint sont décrites au ch. 3.6. </w:t>
      </w:r>
    </w:p>
    <w:p w14:paraId="76089638"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veillons en particulier à ce que la familiarité entre les personnes participant à l’exécution de la révision et le client de révision ne devienne pas étroite au point de donner l’impression que l’objectivité ou l’indépendance du réviseur serait compromise ou menacée.</w:t>
      </w:r>
    </w:p>
    <w:p w14:paraId="4277E3E5"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respect des obligations de confidentialité, des règles de comportement relatives à l’utilisation des systèmes informatiques et à la sécurité des données ainsi que l’engagement de respecter les directives informatiques sont documentés et confirmés par les collaborateurs. Les modèles et outils de travail internes correspondants servent de base à cette documentation.</w:t>
      </w:r>
    </w:p>
    <w:p w14:paraId="0C6EA448" w14:textId="77777777" w:rsidR="00C927B8" w:rsidRPr="00000C03" w:rsidRDefault="00C927B8" w:rsidP="00C927B8">
      <w:pPr>
        <w:spacing w:before="120" w:after="120" w:line="276" w:lineRule="auto"/>
        <w:rPr>
          <w:rFonts w:ascii="KievitPro-Regular" w:hAnsi="KievitPro-Regular" w:cs="Arial"/>
          <w:i/>
          <w:snapToGrid/>
          <w:lang w:val="fr-CH" w:eastAsia="en-US" w:bidi="en-US"/>
        </w:rPr>
      </w:pPr>
    </w:p>
    <w:p w14:paraId="0BA11AB4" w14:textId="77777777" w:rsidR="00C927B8" w:rsidRPr="00000C03" w:rsidRDefault="00C927B8" w:rsidP="00C927B8">
      <w:pPr>
        <w:spacing w:before="120" w:after="12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12.2 : </w:t>
      </w:r>
      <w:r w:rsidRPr="00000C03">
        <w:rPr>
          <w:rFonts w:ascii="KievitPro-Regular" w:hAnsi="KievitPro-Regular" w:cs="Arial"/>
          <w:i/>
          <w:snapToGrid/>
          <w:lang w:val="fr-CH" w:eastAsia="en-US" w:bidi="en-US"/>
        </w:rPr>
        <w:tab/>
        <w:t xml:space="preserve"> Déclaration annuelle relative au respect de l’indépendance</w:t>
      </w:r>
    </w:p>
    <w:p w14:paraId="3E8A15E0" w14:textId="77777777" w:rsidR="00C927B8" w:rsidRPr="00000C03" w:rsidRDefault="00C927B8" w:rsidP="00C927B8">
      <w:pPr>
        <w:spacing w:before="120" w:after="12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12.3 : </w:t>
      </w:r>
      <w:r w:rsidRPr="00000C03">
        <w:rPr>
          <w:rFonts w:ascii="KievitPro-Regular" w:hAnsi="KievitPro-Regular" w:cs="Arial"/>
          <w:i/>
          <w:snapToGrid/>
          <w:lang w:val="fr-CH" w:eastAsia="en-US" w:bidi="en-US"/>
        </w:rPr>
        <w:tab/>
        <w:t xml:space="preserve"> Déclaration de confidentialité visant au respect du secret professionnel (pour les collaborateurs)</w:t>
      </w:r>
    </w:p>
    <w:p w14:paraId="52760BD7" w14:textId="77777777" w:rsidR="00C927B8" w:rsidRPr="00000C03" w:rsidRDefault="00C927B8" w:rsidP="00C927B8">
      <w:pPr>
        <w:spacing w:before="120" w:after="12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12.4 : </w:t>
      </w:r>
      <w:r w:rsidRPr="00000C03">
        <w:rPr>
          <w:rFonts w:ascii="KievitPro-Regular" w:hAnsi="KievitPro-Regular" w:cs="Arial"/>
          <w:i/>
          <w:snapToGrid/>
          <w:lang w:val="fr-CH" w:eastAsia="en-US" w:bidi="en-US"/>
        </w:rPr>
        <w:tab/>
        <w:t>Respect des directives de comportement informatique (consentement)</w:t>
      </w:r>
    </w:p>
    <w:p w14:paraId="15B10C4D" w14:textId="77777777" w:rsidR="00C927B8" w:rsidRPr="00000C03" w:rsidRDefault="00C927B8" w:rsidP="00C927B8">
      <w:pPr>
        <w:tabs>
          <w:tab w:val="left" w:pos="1418"/>
        </w:tabs>
        <w:spacing w:after="200" w:line="276" w:lineRule="auto"/>
        <w:jc w:val="left"/>
        <w:rPr>
          <w:rFonts w:ascii="KievitPro-Regular" w:hAnsi="KievitPro-Regular" w:cs="Arial"/>
          <w:i/>
          <w:snapToGrid/>
          <w:lang w:val="fr-CH" w:eastAsia="en-US" w:bidi="en-US"/>
        </w:rPr>
      </w:pPr>
    </w:p>
    <w:p w14:paraId="4431AD9B" w14:textId="77777777" w:rsidR="00C927B8" w:rsidRPr="00000C03" w:rsidRDefault="00C927B8" w:rsidP="00C927B8">
      <w:pPr>
        <w:numPr>
          <w:ilvl w:val="0"/>
          <w:numId w:val="23"/>
        </w:numPr>
        <w:spacing w:line="276" w:lineRule="auto"/>
        <w:ind w:left="426" w:hanging="426"/>
        <w:contextualSpacing/>
        <w:jc w:val="left"/>
        <w:outlineLvl w:val="0"/>
        <w:rPr>
          <w:rFonts w:ascii="KievitPro-Regular" w:hAnsi="KievitPro-Regular" w:cs="Arial"/>
          <w:b/>
          <w:smallCaps/>
          <w:snapToGrid/>
          <w:spacing w:val="5"/>
          <w:sz w:val="24"/>
          <w:szCs w:val="32"/>
          <w:lang w:val="fr-CH" w:eastAsia="en-US"/>
        </w:rPr>
      </w:pPr>
      <w:r w:rsidRPr="00000C03">
        <w:rPr>
          <w:rFonts w:ascii="KievitPro-Regular" w:hAnsi="KievitPro-Regular" w:cs="Arial"/>
          <w:b/>
          <w:smallCaps/>
          <w:snapToGrid/>
          <w:color w:val="FF0000"/>
          <w:spacing w:val="5"/>
          <w:sz w:val="22"/>
          <w:szCs w:val="22"/>
          <w:lang w:val="fr-CH" w:eastAsia="en-US"/>
        </w:rPr>
        <w:br w:type="page"/>
      </w:r>
      <w:r w:rsidRPr="00000C03">
        <w:rPr>
          <w:rFonts w:ascii="KievitPro-Regular" w:hAnsi="KievitPro-Regular" w:cs="Arial"/>
          <w:b/>
          <w:smallCaps/>
          <w:snapToGrid/>
          <w:spacing w:val="5"/>
          <w:sz w:val="24"/>
          <w:szCs w:val="32"/>
          <w:lang w:val="fr-CH" w:eastAsia="en-US"/>
        </w:rPr>
        <w:lastRenderedPageBreak/>
        <w:t xml:space="preserve"> </w:t>
      </w:r>
      <w:bookmarkStart w:id="16" w:name="_Toc242109344"/>
      <w:r w:rsidRPr="00000C03">
        <w:rPr>
          <w:rFonts w:ascii="KievitPro-Regular" w:hAnsi="KievitPro-Regular" w:cs="Arial"/>
          <w:b/>
          <w:smallCaps/>
          <w:snapToGrid/>
          <w:spacing w:val="5"/>
          <w:sz w:val="24"/>
          <w:szCs w:val="32"/>
          <w:lang w:val="fr-CH" w:eastAsia="en-US"/>
        </w:rPr>
        <w:t>acceptation et poursuite des relations avec les mandants ainsi que certains mandats</w:t>
      </w:r>
      <w:bookmarkEnd w:id="16"/>
      <w:r w:rsidRPr="00000C03">
        <w:rPr>
          <w:rFonts w:ascii="KievitPro-Regular" w:hAnsi="KievitPro-Regular" w:cs="Arial"/>
          <w:b/>
          <w:smallCaps/>
          <w:snapToGrid/>
          <w:spacing w:val="5"/>
          <w:sz w:val="24"/>
          <w:szCs w:val="32"/>
          <w:lang w:val="fr-CH" w:eastAsia="en-US"/>
        </w:rPr>
        <w:t xml:space="preserve"> </w:t>
      </w:r>
    </w:p>
    <w:p w14:paraId="40DDDFA9" w14:textId="77777777" w:rsidR="00C927B8" w:rsidRPr="00000C03" w:rsidRDefault="00C927B8" w:rsidP="00C927B8">
      <w:pPr>
        <w:numPr>
          <w:ilvl w:val="1"/>
          <w:numId w:val="23"/>
        </w:numPr>
        <w:spacing w:before="240" w:after="120" w:line="278" w:lineRule="auto"/>
        <w:ind w:left="709"/>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Dispositions</w:t>
      </w:r>
    </w:p>
    <w:p w14:paraId="1ADA33C2"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mandats ne sont acceptés et poursuivis que si les compétences, les connaissances ainsi que les ressources humaines et temporelles nécessaires à leur exécution conforme sont disponibles, si leur exécution correcte peut être garantie et si les règles d'indépendance sont respectées.</w:t>
      </w:r>
    </w:p>
    <w:p w14:paraId="40005964"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du processus d'acceptation et de poursuite des mandats, l'intégrité de la direction du mandant fait également l'objet d'une évaluation critique. Les mandats ne sont acceptés ou poursuivis que si cette évaluation est concluante.</w:t>
      </w:r>
    </w:p>
    <w:p w14:paraId="687228D8"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mandats sont classés dans des catégories de risques appropriées en fonction de leur niveau de risque.</w:t>
      </w:r>
    </w:p>
    <w:p w14:paraId="7E95C64C" w14:textId="77777777" w:rsidR="00C927B8" w:rsidRPr="00000C03" w:rsidRDefault="00C927B8" w:rsidP="00C927B8">
      <w:pPr>
        <w:numPr>
          <w:ilvl w:val="1"/>
          <w:numId w:val="23"/>
        </w:numPr>
        <w:spacing w:before="240" w:after="120" w:line="278" w:lineRule="auto"/>
        <w:ind w:left="142" w:hanging="142"/>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Mesures</w:t>
      </w:r>
    </w:p>
    <w:p w14:paraId="52E55E06"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direction est responsable de l'acceptation des mandats. Elle consulte à cet effet le responsable de mission (p. ex. le réviseur responsable). Le responsable de mission veille à ce que toutes les informations et tous les documents nécessaires à la prise de décision soient disponibles et les documente au moyen de la check-list d'évaluation de l'acceptation du mandat.</w:t>
      </w:r>
    </w:p>
    <w:p w14:paraId="4454F54E"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 de l'évaluation de l'acceptation d'un mandat, il convient de s'assurer qu'il n'existe aucun intérêt financier ou économique de l'entreprise susceptible de compromettre l'indépendance ou l'exécution conforme des travaux de révision, ou d'en limiter indûment l'étendue.</w:t>
      </w:r>
    </w:p>
    <w:p w14:paraId="0A53851C"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conditions de poursuite d'un mandat ou d'un éventuel retrait sont examinées chaque année après l'achèvement des travaux de révision et avant une éventuelle réélection par l'assemblée générale ordinaire du client. Les constatations et les conclusions correspondantes doivent être dûment documentées.</w:t>
      </w:r>
    </w:p>
    <w:p w14:paraId="4126397F"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modifications apportées à un mandat par le client sont évaluées et documentées selon la même procédure que l'acceptation d'un mandat. En cas d'acceptation des modifications, une lettre de mission actualisée ou une nouvelle lettre de mission est établie avant le début des travaux de révision.</w:t>
      </w:r>
    </w:p>
    <w:p w14:paraId="72788B0F"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informe ses mandants des risques liés aux doubles mandats. Cette communication est documentée.</w:t>
      </w:r>
    </w:p>
    <w:p w14:paraId="157BBB0F"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cas de retrait d'un mandat, la décision doit être motivée de manière compréhensible, documentée et faire l'objet d'un processus garantissant un déroulement conforme.</w:t>
      </w:r>
    </w:p>
    <w:p w14:paraId="46C3E49F"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 de leur acceptation, les mandats de révision sont classés dans des catégories de risques (élevé, moyen, faible). Cette classification est réexaminée au moins une fois par an dans le cadre de la poursuite du mandat et adaptée si nécessaire.</w:t>
      </w:r>
    </w:p>
    <w:p w14:paraId="64268E1D" w14:textId="77777777" w:rsidR="00C927B8" w:rsidRPr="00000C03" w:rsidRDefault="00C927B8" w:rsidP="00C927B8">
      <w:pPr>
        <w:tabs>
          <w:tab w:val="right" w:pos="940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Selon la catégorie de risque, des mesures internes appropriées sont définies et mises en œuvre. La classification des risques est consignée dans la vue d'ensemble des mandats. Le responsable de mission ou le responsable de la gestion de la qualité compétent peut à tout moment reclasser un mandat dans une catégorie de risque supérieure si les circonstances propres au mandat l'exigent.</w:t>
      </w:r>
    </w:p>
    <w:p w14:paraId="3626CD05" w14:textId="77777777" w:rsidR="00C927B8" w:rsidRPr="00000C03" w:rsidRDefault="00C927B8" w:rsidP="00C927B8">
      <w:pPr>
        <w:tabs>
          <w:tab w:val="left" w:pos="1418"/>
          <w:tab w:val="left" w:pos="4823"/>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12.5 : </w:t>
      </w:r>
      <w:r w:rsidRPr="00000C03">
        <w:rPr>
          <w:rFonts w:ascii="KievitPro-Regular" w:hAnsi="KievitPro-Regular" w:cs="Arial"/>
          <w:i/>
          <w:snapToGrid/>
          <w:lang w:val="fr-CH" w:eastAsia="en-US" w:bidi="en-US"/>
        </w:rPr>
        <w:tab/>
        <w:t>Check-list d'évaluation de l'acceptation d'un mandat</w:t>
      </w:r>
    </w:p>
    <w:p w14:paraId="09941488" w14:textId="77777777" w:rsidR="00C927B8" w:rsidRPr="00000C03" w:rsidRDefault="00C927B8" w:rsidP="00C927B8">
      <w:pPr>
        <w:tabs>
          <w:tab w:val="left" w:pos="1418"/>
          <w:tab w:val="left" w:pos="4823"/>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12.6 : </w:t>
      </w:r>
      <w:r w:rsidRPr="00000C03">
        <w:rPr>
          <w:rFonts w:ascii="KievitPro-Regular" w:hAnsi="KievitPro-Regular" w:cs="Arial"/>
          <w:i/>
          <w:snapToGrid/>
          <w:lang w:val="fr-CH" w:eastAsia="en-US" w:bidi="en-US"/>
        </w:rPr>
        <w:tab/>
        <w:t>Check-list d'évaluation de la poursuite des mandats</w:t>
      </w:r>
    </w:p>
    <w:p w14:paraId="10E46579" w14:textId="77777777" w:rsidR="00C927B8" w:rsidRPr="00000C03" w:rsidRDefault="00C927B8" w:rsidP="00C927B8">
      <w:pPr>
        <w:tabs>
          <w:tab w:val="left" w:pos="1418"/>
          <w:tab w:val="left" w:pos="4823"/>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12.7 : </w:t>
      </w:r>
      <w:r w:rsidRPr="00000C03">
        <w:rPr>
          <w:rFonts w:ascii="KievitPro-Regular" w:hAnsi="KievitPro-Regular" w:cs="Arial"/>
          <w:i/>
          <w:snapToGrid/>
          <w:lang w:val="fr-CH" w:eastAsia="en-US" w:bidi="en-US"/>
        </w:rPr>
        <w:tab/>
        <w:t>Modèle de lettre de mission en cas de doubles mandats</w:t>
      </w:r>
    </w:p>
    <w:p w14:paraId="2515920C" w14:textId="77777777" w:rsidR="00C927B8" w:rsidRPr="00000C03" w:rsidRDefault="00C927B8" w:rsidP="00C927B8">
      <w:pPr>
        <w:tabs>
          <w:tab w:val="left" w:pos="1418"/>
          <w:tab w:val="left" w:pos="4823"/>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12.8 : </w:t>
      </w:r>
      <w:r w:rsidRPr="00000C03">
        <w:rPr>
          <w:rFonts w:ascii="KievitPro-Regular" w:hAnsi="KievitPro-Regular" w:cs="Arial"/>
          <w:i/>
          <w:snapToGrid/>
          <w:lang w:val="fr-CH" w:eastAsia="en-US" w:bidi="en-US"/>
        </w:rPr>
        <w:tab/>
        <w:t>Règlement relatif à la participation à des doubles mandats</w:t>
      </w:r>
    </w:p>
    <w:p w14:paraId="4790ADF3" w14:textId="77777777" w:rsidR="00C927B8" w:rsidRPr="00000C03" w:rsidRDefault="00C927B8" w:rsidP="00C927B8">
      <w:pPr>
        <w:tabs>
          <w:tab w:val="left" w:pos="1418"/>
          <w:tab w:val="left" w:pos="4823"/>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12.9 : </w:t>
      </w:r>
      <w:r w:rsidRPr="00000C03">
        <w:rPr>
          <w:rFonts w:ascii="KievitPro-Regular" w:hAnsi="KievitPro-Regular" w:cs="Arial"/>
          <w:i/>
          <w:snapToGrid/>
          <w:lang w:val="fr-CH" w:eastAsia="en-US" w:bidi="en-US"/>
        </w:rPr>
        <w:tab/>
        <w:t>Check-list de retrait d'un mandat</w:t>
      </w:r>
    </w:p>
    <w:p w14:paraId="146E2A15" w14:textId="77777777" w:rsidR="00C927B8" w:rsidRPr="00000C03" w:rsidRDefault="00C927B8" w:rsidP="00C927B8">
      <w:pPr>
        <w:numPr>
          <w:ilvl w:val="0"/>
          <w:numId w:val="23"/>
        </w:numPr>
        <w:spacing w:before="480" w:line="276" w:lineRule="auto"/>
        <w:ind w:left="426" w:hanging="426"/>
        <w:contextualSpacing/>
        <w:jc w:val="left"/>
        <w:outlineLvl w:val="0"/>
        <w:rPr>
          <w:rFonts w:ascii="KievitPro-Regular" w:hAnsi="KievitPro-Regular" w:cs="Arial"/>
          <w:b/>
          <w:smallCaps/>
          <w:snapToGrid/>
          <w:spacing w:val="5"/>
          <w:sz w:val="24"/>
          <w:szCs w:val="32"/>
          <w:lang w:val="fr-CH" w:eastAsia="en-US"/>
        </w:rPr>
      </w:pPr>
      <w:r w:rsidRPr="00000C03">
        <w:rPr>
          <w:rFonts w:ascii="KievitPro-Regular" w:hAnsi="KievitPro-Regular" w:cs="Arial"/>
          <w:b/>
          <w:smallCaps/>
          <w:snapToGrid/>
          <w:color w:val="FF0000"/>
          <w:spacing w:val="5"/>
          <w:sz w:val="22"/>
          <w:szCs w:val="22"/>
          <w:lang w:val="fr-CH" w:eastAsia="en-US"/>
        </w:rPr>
        <w:br w:type="page"/>
      </w:r>
      <w:bookmarkStart w:id="17" w:name="_Toc242109345"/>
      <w:r w:rsidRPr="00000C03">
        <w:rPr>
          <w:rFonts w:ascii="KievitPro-Regular" w:hAnsi="KievitPro-Regular" w:cs="Arial"/>
          <w:b/>
          <w:smallCaps/>
          <w:snapToGrid/>
          <w:spacing w:val="5"/>
          <w:sz w:val="24"/>
          <w:szCs w:val="32"/>
          <w:lang w:val="fr-CH" w:eastAsia="en-US"/>
        </w:rPr>
        <w:lastRenderedPageBreak/>
        <w:t>Ressources</w:t>
      </w:r>
      <w:bookmarkEnd w:id="17"/>
    </w:p>
    <w:p w14:paraId="61512332" w14:textId="77777777" w:rsidR="00C927B8" w:rsidRPr="00000C03" w:rsidRDefault="00C927B8" w:rsidP="00C927B8">
      <w:pPr>
        <w:tabs>
          <w:tab w:val="right" w:pos="9405"/>
        </w:tabs>
        <w:spacing w:before="12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ressources nécessaires au système de gestion de la qualité comprennent notamment :</w:t>
      </w:r>
    </w:p>
    <w:p w14:paraId="00C01E84"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w:t>
      </w:r>
      <w:r w:rsidRPr="00000C03">
        <w:rPr>
          <w:rFonts w:ascii="KievitPro-Regular" w:hAnsi="KievitPro-Regular" w:cs="Arial"/>
          <w:b/>
          <w:bCs/>
          <w:snapToGrid/>
          <w:lang w:val="fr-CH" w:eastAsia="en-US" w:bidi="en-US"/>
        </w:rPr>
        <w:t>ressources humaines</w:t>
      </w:r>
      <w:r w:rsidRPr="00000C03">
        <w:rPr>
          <w:rFonts w:ascii="KievitPro-Regular" w:hAnsi="KievitPro-Regular" w:cs="Arial"/>
          <w:snapToGrid/>
          <w:lang w:val="fr-CH" w:eastAsia="en-US" w:bidi="en-US"/>
        </w:rPr>
        <w:t>, y compris un personnel suffisamment qualifié et approprié ;</w:t>
      </w:r>
    </w:p>
    <w:p w14:paraId="655F7043"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w:t>
      </w:r>
      <w:r w:rsidRPr="00000C03">
        <w:rPr>
          <w:rFonts w:ascii="KievitPro-Regular" w:hAnsi="KievitPro-Regular" w:cs="Arial"/>
          <w:b/>
          <w:bCs/>
          <w:snapToGrid/>
          <w:lang w:val="fr-CH" w:eastAsia="en-US" w:bidi="en-US"/>
        </w:rPr>
        <w:t>ressources technologiques</w:t>
      </w:r>
      <w:r w:rsidRPr="00000C03">
        <w:rPr>
          <w:rFonts w:ascii="KievitPro-Regular" w:hAnsi="KievitPro-Regular" w:cs="Arial"/>
          <w:snapToGrid/>
          <w:lang w:val="fr-CH" w:eastAsia="en-US" w:bidi="en-US"/>
        </w:rPr>
        <w:t>, telles que les systèmes informatiques, les solutions logicielles ou les applications numériques ;</w:t>
      </w:r>
    </w:p>
    <w:p w14:paraId="1962B108"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w:t>
      </w:r>
      <w:r w:rsidRPr="00000C03">
        <w:rPr>
          <w:rFonts w:ascii="KievitPro-Regular" w:hAnsi="KievitPro-Regular" w:cs="Arial"/>
          <w:b/>
          <w:bCs/>
          <w:snapToGrid/>
          <w:lang w:val="fr-CH" w:eastAsia="en-US" w:bidi="en-US"/>
        </w:rPr>
        <w:t>ressources intellectuelles</w:t>
      </w:r>
      <w:r w:rsidRPr="00000C03">
        <w:rPr>
          <w:rFonts w:ascii="KievitPro-Regular" w:hAnsi="KievitPro-Regular" w:cs="Arial"/>
          <w:snapToGrid/>
          <w:lang w:val="fr-CH" w:eastAsia="en-US" w:bidi="en-US"/>
        </w:rPr>
        <w:t>, telles que les directives internes, les méthodologies, les outils de travail, les processus ou les guides professionnels.</w:t>
      </w:r>
    </w:p>
    <w:p w14:paraId="7A2E340E" w14:textId="77777777" w:rsidR="00C927B8" w:rsidRPr="00000C03" w:rsidRDefault="00C927B8" w:rsidP="00C927B8">
      <w:pPr>
        <w:tabs>
          <w:tab w:val="right" w:pos="9405"/>
        </w:tabs>
        <w:spacing w:before="12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outre, des ressources financières suffisantes constituent une condition essentielle au développement, au maintien et à l'amélioration de ces ressources, ainsi qu'au bon fonctionnement du système de gestion de la qualité dans son ensemble.</w:t>
      </w:r>
    </w:p>
    <w:p w14:paraId="598FE71C" w14:textId="77777777" w:rsidR="00C927B8" w:rsidRPr="00000C03" w:rsidRDefault="00C927B8" w:rsidP="00C927B8">
      <w:pPr>
        <w:tabs>
          <w:tab w:val="right" w:pos="9405"/>
        </w:tabs>
        <w:spacing w:after="200" w:line="276" w:lineRule="auto"/>
        <w:rPr>
          <w:rFonts w:ascii="KievitPro-Regular" w:hAnsi="KievitPro-Regular" w:cs="Arial"/>
          <w:b/>
          <w:snapToGrid/>
          <w:lang w:val="fr-CH" w:eastAsia="en-US" w:bidi="en-US"/>
        </w:rPr>
      </w:pPr>
      <w:r w:rsidRPr="00000C03">
        <w:rPr>
          <w:rFonts w:ascii="KievitPro-Regular" w:hAnsi="KievitPro-Regular" w:cs="Arial"/>
          <w:snapToGrid/>
          <w:lang w:val="fr-CH" w:eastAsia="en-US" w:bidi="en-US"/>
        </w:rPr>
        <w:t>Les ressources nécessaires peuvent être disponibles au sein même de l'entreprise de révision ou être obtenues auprès de tiers, par exemple par l'intermédiaire d'un réseau, d'entreprises liées ou de prestataires externes.</w:t>
      </w:r>
    </w:p>
    <w:p w14:paraId="00A1F7EA" w14:textId="77777777" w:rsidR="00C927B8" w:rsidRPr="00000C03" w:rsidRDefault="00C927B8" w:rsidP="00C927B8">
      <w:pPr>
        <w:numPr>
          <w:ilvl w:val="1"/>
          <w:numId w:val="23"/>
        </w:numPr>
        <w:spacing w:before="240" w:after="120" w:line="278" w:lineRule="auto"/>
        <w:ind w:left="142" w:hanging="142"/>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Gestion des ressources humaines</w:t>
      </w:r>
    </w:p>
    <w:p w14:paraId="60B07E35"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Dispositions</w:t>
      </w:r>
    </w:p>
    <w:p w14:paraId="6DE6ABEA"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Nos collaborateurs se distinguent par leur haut niveau de compétence. Nous encourageons leur développement professionnel et exigeons d'eux une formation continue ainsi qu'un perfectionnement permanents. La formation et la formation continue sont assurées de manière continue et ciblée à tous les niveaux. Les besoins en matière de formation et de perfectionnement sont examinés dans le cadre de l'évaluation annuelle des performances et du développement. À cet égard, nous appliquons les directives en matière de formation continue et respectons les exigences de nos associations professionnelles.</w:t>
      </w:r>
    </w:p>
    <w:p w14:paraId="455E348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veillons à ce que les tâches et les responsabilités soient attribuées en fonction des compétences et des aptitudes des collaborateurs. Lors de l'attribution des mandats, nous veillons tant à assurer une continuité appropriée dans le suivi du mandant qu'au respect des éventuelles exigences légales ou réglementaires en matière de rotation. Nous garantissons ainsi que les mandats sont exécutés conformément aux normes professionnelles ainsi qu'aux exigences légales et autres exigences juridiques applicables, et que les responsables de mission sont en mesure d'établir des rapports appropriés aux circonstances.</w:t>
      </w:r>
    </w:p>
    <w:p w14:paraId="4A1311DD"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Mesures</w:t>
      </w:r>
    </w:p>
    <w:p w14:paraId="58A122CD"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des ressources humaines est chargé de la mise en œuvre et de l'application continue des dispositions et procédures relatives au personnel. Il veille à ce qu'elles soient conformes aux dispositions applicables du droit du travail ainsi qu'aux exigences organisationnelles et professionnelles de l'entreprise de révision.</w:t>
      </w:r>
    </w:p>
    <w:p w14:paraId="38C0F24F"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domaine de la révision, seuls sont engagés ou affectés des collaborateurs disposant des qualifications professionnelles, des compétences et des aptitudes personnelles nécessaires à l'exécution conforme de leurs tâches.</w:t>
      </w:r>
    </w:p>
    <w:p w14:paraId="5D1C8063"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collaborateurs font l'objet, au minimum une fois par an, d'une évaluation de leurs performances et de leur développement par leur supérieur hiérarchique. Outre les critères économiques, cette évaluation tient notamment compte des aspects qualitatifs de l'exercice de la profession. Les objectifs, les mesures de développement ainsi que les besoins en matière de formation et de formation continue sont définis et documentés conjointement avec les collaborateurs.</w:t>
      </w:r>
    </w:p>
    <w:p w14:paraId="29763EF1"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personnel professionnel est régulièrement informé des évolutions légales, réglementaires, professionnelles et internes en lien avec ses tâches et responsabilités et bénéficie de formations internes et/ou externes.</w:t>
      </w:r>
    </w:p>
    <w:p w14:paraId="38596962"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 respect des exigences en matière de formation continue est notamment attesté au moyen d'extraits ou de relevés issus des systèmes d'enregistrement de FIDUCIAIRE|SUISSE et/ou d'EXPERTsuisse. Lorsqu'aucune solution proposée par une association professionnelle n'est utilisée, un relevé interne équivalent mentionnant la date, l'intitulé du </w:t>
      </w:r>
      <w:r w:rsidRPr="00000C03">
        <w:rPr>
          <w:rFonts w:ascii="KievitPro-Regular" w:hAnsi="KievitPro-Regular" w:cs="Arial"/>
          <w:snapToGrid/>
          <w:lang w:val="fr-CH" w:eastAsia="en-US" w:bidi="en-US"/>
        </w:rPr>
        <w:lastRenderedPageBreak/>
        <w:t>cours, l'organisateur ainsi que le nombre d'heures ou de jours reconnus doit être tenu</w:t>
      </w:r>
      <w:r w:rsidRPr="00000C03">
        <w:rPr>
          <w:rFonts w:ascii="KievitPro-Regular" w:hAnsi="KievitPro-Regular" w:cs="Arial"/>
          <w:i/>
          <w:snapToGrid/>
          <w:vertAlign w:val="superscript"/>
          <w:lang w:val="fr-CH" w:eastAsia="en-US" w:bidi="en-US"/>
        </w:rPr>
        <w:footnoteReference w:id="2"/>
      </w:r>
      <w:r w:rsidRPr="00000C03">
        <w:rPr>
          <w:rFonts w:ascii="KievitPro-Regular" w:hAnsi="KievitPro-Regular" w:cs="Arial"/>
          <w:snapToGrid/>
          <w:lang w:val="fr-CH" w:eastAsia="en-US" w:bidi="en-US"/>
        </w:rPr>
        <w:t>. Les relevés de formation continue, accompagnés des attestations de participation correspondantes, sont contrôlés, visés et documentés</w:t>
      </w:r>
      <w:r w:rsidRPr="00000C03">
        <w:rPr>
          <w:rFonts w:ascii="KievitPro-Regular" w:hAnsi="KievitPro-Regular" w:cs="Arial"/>
          <w:i/>
          <w:snapToGrid/>
          <w:vertAlign w:val="superscript"/>
          <w:lang w:val="fr-CH" w:eastAsia="en-US" w:bidi="en-US"/>
        </w:rPr>
        <w:footnoteReference w:id="3"/>
      </w:r>
      <w:r w:rsidRPr="00000C03">
        <w:rPr>
          <w:rFonts w:ascii="KievitPro-Regular" w:hAnsi="KievitPro-Regular" w:cs="Arial"/>
          <w:snapToGrid/>
          <w:lang w:val="fr-CH" w:eastAsia="en-US" w:bidi="en-US"/>
        </w:rPr>
        <w:t xml:space="preserve"> au moins une fois par an selon le principe du double contrôle.</w:t>
      </w:r>
    </w:p>
    <w:p w14:paraId="592CB98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veille à ce que les ressources humaines, professionnelles, technologiques et financières nécessaires soient mises à disposition en temps utile afin que les exigences en matière de qualité puissent être satisfaites.</w:t>
      </w:r>
    </w:p>
    <w:p w14:paraId="23D66396"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Il est attendu de l'ensemble des collaborateurs qu'ils soutiennent, par leur comportement et leur manière de travailler, la culture qualité de l'entreprise de révision, qu'ils développent continuellement leurs compétences professionnelles et qu'ils accomplissent les tâches qui leur sont confiées avec la diligence requise.</w:t>
      </w:r>
    </w:p>
    <w:p w14:paraId="72B72869" w14:textId="77777777" w:rsidR="00C927B8" w:rsidRPr="00000C03" w:rsidRDefault="00C927B8" w:rsidP="00C927B8">
      <w:pPr>
        <w:tabs>
          <w:tab w:val="left" w:pos="1560"/>
          <w:tab w:val="right" w:pos="9405"/>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12.10 : </w:t>
      </w:r>
      <w:r w:rsidRPr="00000C03">
        <w:rPr>
          <w:rFonts w:ascii="KievitPro-Regular" w:hAnsi="KievitPro-Regular" w:cs="Arial"/>
          <w:i/>
          <w:snapToGrid/>
          <w:lang w:val="fr-CH" w:eastAsia="en-US" w:bidi="en-US"/>
        </w:rPr>
        <w:tab/>
        <w:t>Évaluation périodique des collaborateurs</w:t>
      </w:r>
    </w:p>
    <w:p w14:paraId="779649D0" w14:textId="77777777" w:rsidR="00C927B8" w:rsidRPr="00000C03" w:rsidRDefault="00C927B8" w:rsidP="00C927B8">
      <w:pPr>
        <w:tabs>
          <w:tab w:val="left" w:pos="1560"/>
          <w:tab w:val="right" w:pos="9405"/>
        </w:tabs>
        <w:spacing w:before="60" w:after="60"/>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 xml:space="preserve">Annexe 12.11 : </w:t>
      </w:r>
      <w:r w:rsidRPr="00000C03">
        <w:rPr>
          <w:rFonts w:ascii="KievitPro-Regular" w:hAnsi="KievitPro-Regular" w:cs="Arial"/>
          <w:i/>
          <w:snapToGrid/>
          <w:lang w:val="fr-CH" w:eastAsia="en-US" w:bidi="en-US"/>
        </w:rPr>
        <w:tab/>
        <w:t>Modèle de contrôle de la formation continue au niveau de l'entreprise</w:t>
      </w:r>
    </w:p>
    <w:p w14:paraId="5B9AB290" w14:textId="77777777" w:rsidR="00C927B8" w:rsidRPr="00000C03" w:rsidRDefault="00C927B8" w:rsidP="00C927B8">
      <w:pPr>
        <w:tabs>
          <w:tab w:val="right" w:pos="9405"/>
        </w:tabs>
        <w:spacing w:after="200" w:line="276" w:lineRule="auto"/>
        <w:ind w:left="360"/>
        <w:contextualSpacing/>
        <w:rPr>
          <w:rFonts w:ascii="KievitPro-Regular" w:hAnsi="KievitPro-Regular" w:cs="Arial"/>
          <w:snapToGrid/>
          <w:lang w:val="fr-CH" w:eastAsia="en-US" w:bidi="en-US"/>
        </w:rPr>
      </w:pPr>
    </w:p>
    <w:p w14:paraId="58C11DD8" w14:textId="77777777" w:rsidR="00C927B8" w:rsidRPr="00000C03" w:rsidRDefault="00C927B8" w:rsidP="00C927B8">
      <w:pPr>
        <w:numPr>
          <w:ilvl w:val="1"/>
          <w:numId w:val="23"/>
        </w:numPr>
        <w:spacing w:before="240" w:after="120" w:line="278" w:lineRule="auto"/>
        <w:ind w:left="709"/>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Ressources technologiques</w:t>
      </w:r>
    </w:p>
    <w:p w14:paraId="03A2D804"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soutenir les processus internes et les activités de révision, l'entreprise de révision utilise des ressources technologiques et des systèmes informatiques appropriés. Ceux-ci comprennent notamment des logiciels standard destinés aux processus administratifs et documentaires ainsi que des applications spécialisées pour la réalisation et la documentation des travaux de révision.</w:t>
      </w:r>
    </w:p>
    <w:p w14:paraId="1945BE30"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L'infrastructure informatique est protégée par des mesures techniques et organisationnelles appropriées. Celles-ci comprennent notamment des concepts d'accès et d'autorisation, la protection par mot de passe, les sauvegardes de données, les pare-feu ainsi que d'autres mesures visant à garantir la confidentialité, l'intégrité et la disponibilité des données.</w:t>
      </w:r>
    </w:p>
    <w:p w14:paraId="239DFBC6"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Un logiciel d'audit approprié est utilisé pour la réalisation et la documentation des mandats de révision. Les systèmes et applications utilisés sont régulièrement contrôlés et, si nécessaire, mis à jour.</w:t>
      </w:r>
    </w:p>
    <w:p w14:paraId="7ED0A794" w14:textId="77777777" w:rsidR="00C927B8" w:rsidRPr="00000C03" w:rsidRDefault="00C927B8" w:rsidP="00C927B8">
      <w:pPr>
        <w:numPr>
          <w:ilvl w:val="1"/>
          <w:numId w:val="23"/>
        </w:numPr>
        <w:spacing w:before="240" w:after="120" w:line="278" w:lineRule="auto"/>
        <w:ind w:left="709"/>
        <w:jc w:val="left"/>
        <w:rPr>
          <w:rFonts w:ascii="KievitPro-Regular" w:hAnsi="KievitPro-Regular" w:cs="Arial"/>
          <w:b/>
          <w:bCs/>
          <w:snapToGrid/>
          <w:sz w:val="22"/>
          <w:szCs w:val="22"/>
          <w:lang w:val="fr-CH" w:eastAsia="en-US" w:bidi="en-US"/>
        </w:rPr>
      </w:pPr>
      <w:r w:rsidRPr="00000C03">
        <w:rPr>
          <w:rFonts w:ascii="KievitPro-Regular" w:hAnsi="KievitPro-Regular" w:cs="Arial"/>
          <w:b/>
          <w:bCs/>
          <w:snapToGrid/>
          <w:sz w:val="22"/>
          <w:szCs w:val="22"/>
          <w:lang w:val="fr-CH" w:eastAsia="en-US" w:bidi="en-US"/>
        </w:rPr>
        <w:t>Ressources intellectuelles</w:t>
      </w:r>
    </w:p>
    <w:p w14:paraId="25B9D200"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garantir un exercice de la profession conforme aux exigences techniques et orienté vers la qualité, l'entreprise de révision dispose de diverses ressources intellectuelles. Celles-ci comprennent notamment des directives internes, des outils de travail, des modèles, des check-lists, de la littérature spécialisée, des publications et prises de position des associations professionnelles ainsi que les principales bases légales et réglementaires, telles que le Code des obligations suisse ou Swiss GAAP RPC.</w:t>
      </w:r>
    </w:p>
    <w:p w14:paraId="64BA1FF1" w14:textId="50F01FB4"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informations professionnelles pertinentes sont mises à la disposition des collaborateurs sous forme électronique ou papier. Le responsable de la gestion de la qualité ainsi que les collaborateurs veillent à ce que les documents, modèles et références professionnelles utilisés soient à jour. Tout contenu obsolète ou incomplet constaté est signalé afin qu'il puisse être actualisé.</w:t>
      </w:r>
    </w:p>
    <w:p w14:paraId="26FD2584" w14:textId="77777777" w:rsidR="00C927B8" w:rsidRPr="00000C03" w:rsidRDefault="00C927B8">
      <w:pPr>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br w:type="page"/>
      </w:r>
    </w:p>
    <w:p w14:paraId="53684780" w14:textId="184F000B" w:rsidR="00C927B8" w:rsidRPr="00000C03" w:rsidRDefault="00C927B8" w:rsidP="00C927B8">
      <w:pPr>
        <w:numPr>
          <w:ilvl w:val="0"/>
          <w:numId w:val="23"/>
        </w:numPr>
        <w:spacing w:before="480"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18" w:name="_Toc242109346"/>
      <w:r w:rsidRPr="00000C03">
        <w:rPr>
          <w:rFonts w:ascii="KievitPro-Regular" w:hAnsi="KievitPro-Regular" w:cs="Arial"/>
          <w:b/>
          <w:smallCaps/>
          <w:snapToGrid/>
          <w:spacing w:val="5"/>
          <w:sz w:val="24"/>
          <w:szCs w:val="32"/>
          <w:lang w:val="fr-CH" w:eastAsia="en-US"/>
        </w:rPr>
        <w:lastRenderedPageBreak/>
        <w:t>E</w:t>
      </w:r>
      <w:r w:rsidR="002369D3" w:rsidRPr="00000C03">
        <w:rPr>
          <w:rFonts w:ascii="KievitPro-Regular" w:hAnsi="KievitPro-Regular" w:cs="Arial"/>
          <w:b/>
          <w:smallCaps/>
          <w:snapToGrid/>
          <w:spacing w:val="5"/>
          <w:sz w:val="24"/>
          <w:szCs w:val="32"/>
          <w:lang w:val="fr-CH" w:eastAsia="en-US"/>
        </w:rPr>
        <w:t>xécutions des mandats</w:t>
      </w:r>
      <w:bookmarkEnd w:id="18"/>
      <w:r w:rsidR="002369D3" w:rsidRPr="00000C03">
        <w:rPr>
          <w:rFonts w:ascii="KievitPro-Regular" w:hAnsi="KievitPro-Regular" w:cs="Arial"/>
          <w:b/>
          <w:smallCaps/>
          <w:snapToGrid/>
          <w:spacing w:val="5"/>
          <w:sz w:val="24"/>
          <w:szCs w:val="32"/>
          <w:lang w:val="fr-CH" w:eastAsia="en-US"/>
        </w:rPr>
        <w:t xml:space="preserve"> </w:t>
      </w:r>
      <w:r w:rsidRPr="00000C03">
        <w:rPr>
          <w:rFonts w:ascii="KievitPro-Regular" w:hAnsi="KievitPro-Regular" w:cs="Arial"/>
          <w:b/>
          <w:smallCaps/>
          <w:snapToGrid/>
          <w:spacing w:val="5"/>
          <w:sz w:val="24"/>
          <w:szCs w:val="32"/>
          <w:lang w:val="fr-CH" w:eastAsia="en-US"/>
        </w:rPr>
        <w:t xml:space="preserve"> </w:t>
      </w:r>
    </w:p>
    <w:p w14:paraId="628BE95E" w14:textId="2831ED63"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19" w:name="_Toc242109347"/>
      <w:r w:rsidRPr="00000C03">
        <w:rPr>
          <w:rFonts w:ascii="KievitPro-Regular" w:hAnsi="KievitPro-Regular" w:cs="Arial"/>
          <w:b/>
          <w:smallCaps/>
          <w:snapToGrid/>
          <w:sz w:val="22"/>
          <w:szCs w:val="24"/>
          <w:lang w:val="fr-CH" w:eastAsia="en-US"/>
        </w:rPr>
        <w:t>D</w:t>
      </w:r>
      <w:r w:rsidR="002369D3" w:rsidRPr="00000C03">
        <w:rPr>
          <w:rFonts w:ascii="KievitPro-Regular" w:hAnsi="KievitPro-Regular" w:cs="Arial"/>
          <w:b/>
          <w:smallCaps/>
          <w:snapToGrid/>
          <w:sz w:val="22"/>
          <w:szCs w:val="24"/>
          <w:lang w:val="fr-CH" w:eastAsia="en-US"/>
        </w:rPr>
        <w:t>ispositions et mesures</w:t>
      </w:r>
      <w:bookmarkEnd w:id="19"/>
      <w:r w:rsidR="002369D3" w:rsidRPr="00000C03">
        <w:rPr>
          <w:rFonts w:ascii="KievitPro-Regular" w:hAnsi="KievitPro-Regular" w:cs="Arial"/>
          <w:b/>
          <w:smallCaps/>
          <w:snapToGrid/>
          <w:sz w:val="22"/>
          <w:szCs w:val="24"/>
          <w:lang w:val="fr-CH" w:eastAsia="en-US"/>
        </w:rPr>
        <w:t xml:space="preserve"> </w:t>
      </w:r>
    </w:p>
    <w:p w14:paraId="2C849C42"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Dispositions</w:t>
      </w:r>
    </w:p>
    <w:p w14:paraId="766B5309"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Nous planifions et surveillons nos mandats de manière à garantir que les missions soient exécutées conformément aux principes professionnels et achevées dans les délais. Les mandats de révision font notamment l’objet d’un suivi quant au respect des délais légaux. Nous examinons les missions et établissons des rapports de révision appropriés.</w:t>
      </w:r>
    </w:p>
    <w:p w14:paraId="0E5D6FEB"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 de la planification des missions, un responsable de mission est désigné. Il dispose des compétences, aptitudes et pouvoirs nécessaires à l’exercice de sa fonction. Ses obligations sont clairement définies. L’identité et le rôle du réviseur responsable sont communiqués aux membres de la direction du mandant occupant des fonctions clés ainsi qu’aux personnes responsables de la surveillance.</w:t>
      </w:r>
    </w:p>
    <w:p w14:paraId="319B305C" w14:textId="77777777" w:rsidR="00C927B8" w:rsidRPr="00000C03" w:rsidRDefault="00C927B8" w:rsidP="00C927B8">
      <w:pPr>
        <w:numPr>
          <w:ilvl w:val="2"/>
          <w:numId w:val="23"/>
        </w:numPr>
        <w:spacing w:before="240" w:after="120" w:line="278" w:lineRule="auto"/>
        <w:ind w:left="709"/>
        <w:jc w:val="left"/>
        <w:rPr>
          <w:rFonts w:ascii="KievitPro-Regular" w:hAnsi="KievitPro-Regular" w:cs="Arial"/>
          <w:b/>
          <w:bCs/>
          <w:snapToGrid/>
          <w:lang w:val="fr-CH" w:eastAsia="en-US" w:bidi="en-US"/>
        </w:rPr>
      </w:pPr>
      <w:r w:rsidRPr="00000C03">
        <w:rPr>
          <w:rFonts w:ascii="KievitPro-Regular" w:hAnsi="KievitPro-Regular" w:cs="Arial"/>
          <w:b/>
          <w:bCs/>
          <w:snapToGrid/>
          <w:lang w:val="fr-CH" w:eastAsia="en-US" w:bidi="en-US"/>
        </w:rPr>
        <w:t>Mesures</w:t>
      </w:r>
    </w:p>
    <w:p w14:paraId="299B16C9"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tient une liste continuellement mise à jour de l’ensemble des mandats de révision. Cette liste de contrôle sert également d’instrument de conduite et de monitoring des mandats de révision. Elle contient toutes les informations essentielles nécessaires à la planification, à la surveillance et à l’exécution conforme des mandats de révision. Il s’agit notamment des informations relatives aux personnes responsables, à la catégorie de risque, aux échéances principales, au type de révision, au statut de l’exécution du mandat ainsi qu’à l’exhaustivité de la documentation. Si nécessaire, la vue d’ensemble des mandats est complétée par d’autres informations pertinentes, par exemple concernant les obligations de rotation, les revues de la qualité de la mission ou les risques économiques particuliers du mandant.</w:t>
      </w:r>
    </w:p>
    <w:p w14:paraId="3DC5DCEF"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 mission, respectivement le réviseur responsable, est chargé du respect des délais et échéances pertinents ainsi que de l’introduction en temps utile de mesures appropriées en cas de retards ou d’écarts constatés.</w:t>
      </w:r>
    </w:p>
    <w:p w14:paraId="6AB9945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garantir une planification appropriée de la saison de révision ainsi qu’une utilisation adéquate des ressources, la vue d’ensemble des mandats est régulièrement examinée et contrôlée par les personnes responsables compétentes.</w:t>
      </w:r>
    </w:p>
    <w:p w14:paraId="6C7CAD70" w14:textId="5A8BB7DE"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En cas de doubles mandats, les mesures personnelles et organisationnelles nécessaires au maintien de l’indépendance et à la prévention des conflits d’intérêts sont prises en considération. Les doubles mandats sont acceptés exclusivement dans le cadre de </w:t>
      </w:r>
      <w:r w:rsidR="007E1C4D" w:rsidRPr="00000C03">
        <w:rPr>
          <w:rFonts w:ascii="KievitPro-Regular" w:hAnsi="KievitPro-Regular" w:cs="Arial"/>
          <w:snapToGrid/>
          <w:lang w:val="fr-CH" w:eastAsia="en-US" w:bidi="en-US"/>
        </w:rPr>
        <w:t xml:space="preserve">contrôles </w:t>
      </w:r>
      <w:r w:rsidRPr="00000C03">
        <w:rPr>
          <w:rFonts w:ascii="KievitPro-Regular" w:hAnsi="KievitPro-Regular" w:cs="Arial"/>
          <w:snapToGrid/>
          <w:lang w:val="fr-CH" w:eastAsia="en-US" w:bidi="en-US"/>
        </w:rPr>
        <w:t>restreints. Ils doivent être confirmés par écrit au moyen de lettres de mission séparées. La participation de collaborateurs à la tenue de la comptabilité, respectivement la participation à d’autres prestations comportant un risque d’autorévision par l’entreprise, doit être mentionnée dans le rapport de révision. Cela vaut également lorsque la prestation complémentaire est fournie par une société du groupe ou par une entreprise proche.</w:t>
      </w:r>
    </w:p>
    <w:p w14:paraId="061687B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 </w:t>
      </w:r>
    </w:p>
    <w:p w14:paraId="296246C9" w14:textId="77777777" w:rsidR="00C927B8" w:rsidRPr="00000C03" w:rsidRDefault="00C927B8" w:rsidP="00C927B8">
      <w:pPr>
        <w:tabs>
          <w:tab w:val="left" w:pos="1418"/>
        </w:tabs>
        <w:spacing w:after="20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Annexe 12.12 : Modèle de liste de contrôle des mandats de révision</w:t>
      </w:r>
    </w:p>
    <w:p w14:paraId="3A4260CA"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r w:rsidRPr="00000C03">
        <w:rPr>
          <w:rFonts w:ascii="KievitPro-Regular" w:hAnsi="KievitPro-Regular" w:cs="Arial"/>
          <w:b/>
          <w:smallCaps/>
          <w:snapToGrid/>
          <w:color w:val="FF0000"/>
          <w:sz w:val="22"/>
          <w:szCs w:val="22"/>
          <w:lang w:val="fr-CH" w:eastAsia="en-US"/>
        </w:rPr>
        <w:br w:type="page"/>
      </w:r>
      <w:r w:rsidRPr="00000C03">
        <w:rPr>
          <w:rFonts w:ascii="KievitPro-Regular" w:hAnsi="KievitPro-Regular" w:cs="Arial"/>
          <w:b/>
          <w:smallCaps/>
          <w:snapToGrid/>
          <w:sz w:val="22"/>
          <w:szCs w:val="24"/>
          <w:lang w:val="fr-CH" w:eastAsia="en-US"/>
        </w:rPr>
        <w:lastRenderedPageBreak/>
        <w:t xml:space="preserve"> </w:t>
      </w:r>
      <w:bookmarkStart w:id="20" w:name="_Toc242109348"/>
      <w:r w:rsidRPr="00000C03">
        <w:rPr>
          <w:rFonts w:ascii="KievitPro-Regular" w:hAnsi="KievitPro-Regular" w:cs="Arial"/>
          <w:b/>
          <w:smallCaps/>
          <w:snapToGrid/>
          <w:sz w:val="22"/>
          <w:szCs w:val="24"/>
          <w:lang w:val="fr-CH" w:eastAsia="en-US"/>
        </w:rPr>
        <w:t>Qualité constante lors de l’exécution des mandats</w:t>
      </w:r>
      <w:bookmarkEnd w:id="20"/>
      <w:r w:rsidRPr="00000C03">
        <w:rPr>
          <w:rFonts w:ascii="KievitPro-Regular" w:hAnsi="KievitPro-Regular" w:cs="Arial"/>
          <w:b/>
          <w:smallCaps/>
          <w:snapToGrid/>
          <w:sz w:val="22"/>
          <w:szCs w:val="24"/>
          <w:lang w:val="fr-CH" w:eastAsia="en-US"/>
        </w:rPr>
        <w:t xml:space="preserve"> </w:t>
      </w:r>
    </w:p>
    <w:p w14:paraId="1F880212"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prescriptions techniques et organisationnelles, outils de travail et processus prévus pour l’exécution des mandats de révision doivent être appliqués de manière obligatoire par le personnel professionnel. L’entreprise de révision veille à ce que les informations pertinentes soient clairement identifiées, tenues à jour et mises à disposition des collaborateurs compétents sous une forme appropriée.</w:t>
      </w:r>
    </w:p>
    <w:p w14:paraId="3FC43A7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soutenir une exécution uniforme, traçable et conforme à la loi des mandats, des papiers de travail standardisés ainsi qu’un logiciel de révision approprié sont utilisés. Il est veillé à ce que l’équipe de mission soit composée de manière adéquate et qu’en règle générale au moins un cinquième (20 %) des personnes participant à l’exécution du mandat disposent de l’agrément professionnel requis et réalisent un cinquième (20 %) des heures de révision facturées au client.</w:t>
      </w:r>
    </w:p>
    <w:p w14:paraId="6603BD79"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membres des équipes de révision exécutent leurs tâches en faisant usage de leur jugement professionnel et, dans la mesure requise par la nature de la mission, avec l’esprit critique nécessaire.</w:t>
      </w:r>
    </w:p>
    <w:p w14:paraId="3888A76B"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Lorsque des spécialistes externes ou des partenaires sont impliqués dans le domaine des prestations de révision, les conditions-cadres, les responsabilités et les exigences de qualité de la collaboration sont réglées par écrit. Le respect de ces prescriptions est contrôlé régulièrement.</w:t>
      </w:r>
    </w:p>
    <w:p w14:paraId="6D8B9341" w14:textId="340B331B"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mandats de révision sont exécutés conformément aux normes suisses de révision applicables. Les </w:t>
      </w:r>
      <w:r w:rsidR="007E1C4D" w:rsidRPr="00000C03">
        <w:rPr>
          <w:rFonts w:ascii="KievitPro-Regular" w:hAnsi="KievitPro-Regular" w:cs="Arial"/>
          <w:snapToGrid/>
          <w:lang w:val="fr-CH" w:eastAsia="en-US" w:bidi="en-US"/>
        </w:rPr>
        <w:t>contrôles r</w:t>
      </w:r>
      <w:r w:rsidRPr="00000C03">
        <w:rPr>
          <w:rFonts w:ascii="KievitPro-Regular" w:hAnsi="KievitPro-Regular" w:cs="Arial"/>
          <w:snapToGrid/>
          <w:lang w:val="fr-CH" w:eastAsia="en-US" w:bidi="en-US"/>
        </w:rPr>
        <w:t>estreints sont effectués selon la Norme suisse relative au contrôle restreint (NCR), les révisions ordinaires selon les Normes suisses d’audit des états financiers (</w:t>
      </w:r>
      <w:r w:rsidR="007E1C4D" w:rsidRPr="00000C03">
        <w:rPr>
          <w:rFonts w:ascii="KievitPro-Regular" w:hAnsi="KievitPro-Regular" w:cs="Arial"/>
          <w:snapToGrid/>
          <w:lang w:val="fr-CH" w:eastAsia="en-US" w:bidi="en-US"/>
        </w:rPr>
        <w:t>N</w:t>
      </w:r>
      <w:r w:rsidRPr="00000C03">
        <w:rPr>
          <w:rFonts w:ascii="KievitPro-Regular" w:hAnsi="KievitPro-Regular" w:cs="Arial"/>
          <w:snapToGrid/>
          <w:lang w:val="fr-CH" w:eastAsia="en-US" w:bidi="en-US"/>
        </w:rPr>
        <w:t>A-CH). Les dispositions légales pertinentes, les législations spéciales ainsi que les normes de présentation des comptes applicables sont également prises en considération.</w:t>
      </w:r>
    </w:p>
    <w:p w14:paraId="1E9D0739"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soutenir le travail technique, diverses sources d’information externes et bases professionnelles sont en outre mises à disposition du personnel professionnel, notamment lois, normes, directives, publications et communications pratiques d’EXPERTsuisse et/ou de FIDUCIAIRE|SUISSE. Il est ainsi garanti que les développements professionnels et les modifications réglementaires pertinents puissent être pris en compte en temps utile.</w:t>
      </w:r>
    </w:p>
    <w:p w14:paraId="092ACAAF"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21" w:name="_Toc242109349"/>
      <w:bookmarkStart w:id="22" w:name="_Toc331493577"/>
      <w:bookmarkStart w:id="23" w:name="_Toc331493993"/>
      <w:bookmarkStart w:id="24" w:name="_Toc331495025"/>
      <w:bookmarkStart w:id="25" w:name="_Toc331495817"/>
      <w:bookmarkStart w:id="26" w:name="_Toc331510681"/>
      <w:r w:rsidRPr="00000C03">
        <w:rPr>
          <w:rFonts w:ascii="KievitPro-Regular" w:hAnsi="KievitPro-Regular" w:cs="Arial"/>
          <w:b/>
          <w:smallCaps/>
          <w:snapToGrid/>
          <w:sz w:val="22"/>
          <w:szCs w:val="24"/>
          <w:lang w:val="fr-CH" w:eastAsia="en-US"/>
        </w:rPr>
        <w:t>Surveillance de l’exécution des mandats</w:t>
      </w:r>
      <w:bookmarkEnd w:id="21"/>
      <w:r w:rsidRPr="00000C03">
        <w:rPr>
          <w:rFonts w:ascii="KievitPro-Regular" w:hAnsi="KievitPro-Regular" w:cs="Arial"/>
          <w:b/>
          <w:smallCaps/>
          <w:snapToGrid/>
          <w:sz w:val="22"/>
          <w:szCs w:val="24"/>
          <w:lang w:val="fr-CH" w:eastAsia="en-US"/>
        </w:rPr>
        <w:t xml:space="preserve"> </w:t>
      </w:r>
    </w:p>
    <w:p w14:paraId="49AE5F29"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L’exécution d’audits d’états financiers, de reviews ainsi que d’autres contrôles de gestion et prestations apparentées fait l’objet d’une surveillance continue. Les enseignements tirés de l’exécution pratique des mandats, des contrôles internes ou des développements professionnels sont pris en compte de manière appropriée et intégrés dans le développement des travaux de révision et des processus appliqués.</w:t>
      </w:r>
    </w:p>
    <w:p w14:paraId="41857B9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 mission assume la responsabilité de la surveillance et de la conduite continues du mandat concerné. Il évalue notamment si les membres de l’équipe affectés disposent des connaissances techniques, des aptitudes et des ressources temporelles nécessaires pour exécuter correctement les tâches qui leur sont confiées. Il veille en outre à ce que les faits, risques et constatations essentiels soient identifiés, évalués et traités de manière appropriée en temps utile au cours de l’exécution du mandat.</w:t>
      </w:r>
    </w:p>
    <w:p w14:paraId="38E32593"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faits d’importance particulière ou présentant une complexité accrue doivent, si nécessaire, être discutés avec des spécialistes expérimentés ou faire l’objet d’une consultation.</w:t>
      </w:r>
    </w:p>
    <w:p w14:paraId="7D254A72"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rapports de révision comportant une opinion modifiée ainsi que les rapports contenant des paragraphes d’observation ou d’autres indications particulières sont examinés par une personne qualifiée avant leur libération. La réalisation de telles consultations et secondes appréciations est régie par les prescriptions internes relatives à la consultation technique.</w:t>
      </w:r>
    </w:p>
    <w:p w14:paraId="1AA5F3A6"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Avant la signature et la remise du rapport de révision, le responsable de mission évalue et approuve l’ensemble des constatations d’audit essentielles ainsi que les conclusions qui en découlent. L’appréciation finale du mandat est documentée et visée de manière appropriée.</w:t>
      </w:r>
    </w:p>
    <w:p w14:paraId="6B80E112"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27" w:name="_Toc242109350"/>
      <w:r w:rsidRPr="00000C03">
        <w:rPr>
          <w:rFonts w:ascii="KievitPro-Regular" w:hAnsi="KievitPro-Regular" w:cs="Arial"/>
          <w:b/>
          <w:smallCaps/>
          <w:snapToGrid/>
          <w:sz w:val="22"/>
          <w:szCs w:val="24"/>
          <w:lang w:val="fr-CH" w:eastAsia="en-US"/>
        </w:rPr>
        <w:lastRenderedPageBreak/>
        <w:t>Revue</w:t>
      </w:r>
      <w:bookmarkEnd w:id="27"/>
      <w:r w:rsidRPr="00000C03">
        <w:rPr>
          <w:rFonts w:ascii="KievitPro-Regular" w:hAnsi="KievitPro-Regular" w:cs="Arial"/>
          <w:b/>
          <w:smallCaps/>
          <w:snapToGrid/>
          <w:sz w:val="22"/>
          <w:szCs w:val="24"/>
          <w:lang w:val="fr-CH" w:eastAsia="en-US"/>
        </w:rPr>
        <w:t xml:space="preserve"> </w:t>
      </w:r>
    </w:p>
    <w:p w14:paraId="4A47717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travaux des membres moins expérimentés de l’équipe sont revus et accompagnés par des collaborateurs plus expérimentés ou par le responsable de mission. Une revue appropriée des papiers de travail et du dossier de révision permet de s’assurer que les mandats sont exécutés conformément aux normes de révision applicables, aux dispositions légales ainsi qu’aux exigences internes en matière de qualité.</w:t>
      </w:r>
    </w:p>
    <w:p w14:paraId="31D8BADF"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comprend notamment l’appréciation du caractère suffisant de la documentation des procédures de révision réalisées, de l’appréciation appropriée des faits constatés ainsi que du caractère compréhensible et conforme des conclusions tirées. Une appréciation finale documentée du mandat est établie comme base du rapport.</w:t>
      </w:r>
    </w:p>
    <w:p w14:paraId="6285D24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présence de faits complexes, difficiles ou controversés, une consultation technique appropriée doit être effectuée. Les prescriptions internes correspondantes relatives à la consultation doivent être respectées (cf. chap. 6.5 « Consultation »).</w:t>
      </w:r>
    </w:p>
    <w:p w14:paraId="42E0E2C2"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des travaux intervient en principe avant la libération et la remise du rapport de révision. Pour les mandats plus étendus ou présentant des risques accrus, des appréciations intermédiaires ou des reviews continues de certains domaines peuvent également être appropriées.</w:t>
      </w:r>
    </w:p>
    <w:p w14:paraId="4867F4B5"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papiers de travail et la documentation de révision doivent être contrôlés et visés par le responsable de mission. Avant la signature et la remise du rapport de révision, il convient de s’assurer que la documentation est complète et clôturée de manière conforme.</w:t>
      </w:r>
    </w:p>
    <w:p w14:paraId="5723A17D" w14:textId="77777777" w:rsidR="00C927B8" w:rsidRPr="00000C03" w:rsidRDefault="00C927B8" w:rsidP="00C927B8">
      <w:pPr>
        <w:tabs>
          <w:tab w:val="left" w:pos="1418"/>
        </w:tabs>
        <w:jc w:val="left"/>
        <w:rPr>
          <w:rFonts w:ascii="KievitPro-Regular" w:hAnsi="KievitPro-Regular" w:cs="Arial"/>
          <w:i/>
          <w:snapToGrid/>
          <w:sz w:val="12"/>
          <w:szCs w:val="12"/>
          <w:lang w:val="fr-CH" w:eastAsia="en-US" w:bidi="en-US"/>
        </w:rPr>
      </w:pPr>
    </w:p>
    <w:p w14:paraId="0CF71B2B" w14:textId="77777777" w:rsidR="00C927B8" w:rsidRPr="00000C03" w:rsidRDefault="00C927B8" w:rsidP="00C927B8">
      <w:pPr>
        <w:tabs>
          <w:tab w:val="left" w:pos="1418"/>
        </w:tabs>
        <w:spacing w:after="200" w:line="276" w:lineRule="auto"/>
        <w:jc w:val="left"/>
        <w:rPr>
          <w:rFonts w:ascii="KievitPro-Regular" w:hAnsi="KievitPro-Regular" w:cs="Arial"/>
          <w:i/>
          <w:snapToGrid/>
          <w:lang w:val="fr-CH" w:eastAsia="en-US" w:bidi="en-US"/>
        </w:rPr>
      </w:pPr>
      <w:r w:rsidRPr="00000C03">
        <w:rPr>
          <w:rFonts w:ascii="KievitPro-Regular" w:hAnsi="KievitPro-Regular" w:cs="Arial"/>
          <w:i/>
          <w:snapToGrid/>
          <w:lang w:val="fr-CH" w:eastAsia="en-US" w:bidi="en-US"/>
        </w:rPr>
        <w:t>Annexe 12.13 : Check-list Surveillance et revue</w:t>
      </w:r>
    </w:p>
    <w:p w14:paraId="7EDA0387"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28" w:name="_Toc242109351"/>
      <w:r w:rsidRPr="00000C03">
        <w:rPr>
          <w:rFonts w:ascii="KievitPro-Regular" w:hAnsi="KievitPro-Regular" w:cs="Arial"/>
          <w:b/>
          <w:smallCaps/>
          <w:snapToGrid/>
          <w:sz w:val="22"/>
          <w:szCs w:val="24"/>
          <w:lang w:val="fr-CH" w:eastAsia="en-US"/>
        </w:rPr>
        <w:t>Consultation</w:t>
      </w:r>
      <w:bookmarkEnd w:id="28"/>
      <w:r w:rsidRPr="00000C03">
        <w:rPr>
          <w:rFonts w:ascii="KievitPro-Regular" w:hAnsi="KievitPro-Regular" w:cs="Arial"/>
          <w:b/>
          <w:smallCaps/>
          <w:snapToGrid/>
          <w:sz w:val="22"/>
          <w:szCs w:val="24"/>
          <w:lang w:val="fr-CH" w:eastAsia="en-US"/>
        </w:rPr>
        <w:t xml:space="preserve"> </w:t>
      </w:r>
    </w:p>
    <w:p w14:paraId="0CC65A1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présence de faits difficiles, complexes ou controversés, une consultation technique appropriée doit impérativement être effectuée dans le cadre de l’acceptation du mandat, de la planification de la révision ou de l’exécution du mandat. L’appréciation de la nécessité d’une consultation relève du responsable de mission, selon son jugement professionnel et compte tenu des circonstances concrètes du mandat.</w:t>
      </w:r>
    </w:p>
    <w:p w14:paraId="307BDEFB"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consultations visent à promouvoir la qualité de la révision ainsi qu’à assurer l’application appropriée du jugement professionnel. Selon la question traitée, des spécialistes internes ou, en concertation avec la direction, des spécialistes externes disposant des connaissances techniques correspondantes peuvent être consultés. Il convient de s’assurer que toutes les informations nécessaires à l’appréciation soient mises à disposition des personnes consultées de manière complète et en temps utile.</w:t>
      </w:r>
    </w:p>
    <w:p w14:paraId="1B2611DC"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encourage les échanges techniques au sein de l’organisation. Dans la mesure où cela est approprié et admissible, les enseignements tirés de consultations importantes doivent également être rendus accessibles à d’autres collaborateurs afin de soutenir le transfert de connaissances et l’application uniforme des normes professionnelles.</w:t>
      </w:r>
    </w:p>
    <w:p w14:paraId="1E87F420"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Si des divergences d’opinion surviennent dans le cadre d’une consultation au sein de l’équipe de mission ou entre les spécialistes impliqués, des mesures appropriées doivent être prises afin de clarifier les faits. Si nécessaire, d’autres services spécialisés internes et/ou externes, organisations professionnelles ou autres instances qualifiées peuvent être consultés.</w:t>
      </w:r>
    </w:p>
    <w:p w14:paraId="60AD22E0" w14:textId="77777777" w:rsidR="00C927B8" w:rsidRPr="00000C03" w:rsidRDefault="00C927B8" w:rsidP="00C927B8">
      <w:pPr>
        <w:spacing w:after="200" w:line="276" w:lineRule="auto"/>
        <w:rPr>
          <w:rFonts w:ascii="KievitPro-Regular" w:hAnsi="KievitPro-Regular" w:cs="Arial"/>
          <w:snapToGrid/>
          <w:lang w:val="fr-CH" w:eastAsia="en-US" w:bidi="en-US"/>
        </w:rPr>
      </w:pPr>
    </w:p>
    <w:p w14:paraId="7842109D" w14:textId="79ED3400" w:rsidR="00C927B8" w:rsidRPr="00000C03" w:rsidRDefault="00C927B8" w:rsidP="00C927B8">
      <w:pPr>
        <w:spacing w:after="200" w:line="276" w:lineRule="auto"/>
        <w:rPr>
          <w:rFonts w:ascii="KievitPro-Regular" w:hAnsi="KievitPro-Regular" w:cs="Arial"/>
          <w:b/>
          <w:smallCaps/>
          <w:snapToGrid/>
          <w:sz w:val="22"/>
          <w:szCs w:val="24"/>
          <w:lang w:val="fr-CH" w:eastAsia="en-US"/>
        </w:rPr>
      </w:pPr>
      <w:r w:rsidRPr="00000C03">
        <w:rPr>
          <w:rFonts w:ascii="KievitPro-Regular" w:hAnsi="KievitPro-Regular" w:cs="Arial"/>
          <w:snapToGrid/>
          <w:lang w:val="fr-CH" w:eastAsia="en-US" w:bidi="en-US"/>
        </w:rPr>
        <w:t xml:space="preserve">La nature, l’étendue, le contenu et les conclusions de la consultation doivent être documentés de manière appropriée et traçable. La mise en œuvre des conclusions et mesures qui en découlent doit impérativement être assurée et surveillée. </w:t>
      </w:r>
      <w:r w:rsidRPr="00000C03">
        <w:rPr>
          <w:rFonts w:ascii="KievitPro-Regular" w:hAnsi="KievitPro-Regular" w:cs="Arial"/>
          <w:b/>
          <w:snapToGrid/>
          <w:sz w:val="22"/>
          <w:szCs w:val="24"/>
          <w:lang w:val="fr-CH" w:eastAsia="en-US" w:bidi="en-US"/>
        </w:rPr>
        <w:br w:type="page"/>
      </w:r>
    </w:p>
    <w:p w14:paraId="19844AA7"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29" w:name="_Toc242109352"/>
      <w:r w:rsidRPr="00000C03">
        <w:rPr>
          <w:rFonts w:ascii="KievitPro-Regular" w:hAnsi="KievitPro-Regular" w:cs="Arial"/>
          <w:b/>
          <w:smallCaps/>
          <w:snapToGrid/>
          <w:sz w:val="22"/>
          <w:szCs w:val="24"/>
          <w:lang w:val="fr-CH" w:eastAsia="en-US"/>
        </w:rPr>
        <w:lastRenderedPageBreak/>
        <w:t>Revue de la qualité de la mission</w:t>
      </w:r>
      <w:bookmarkEnd w:id="29"/>
    </w:p>
    <w:p w14:paraId="0330A6A3"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certains cas, une revue de la qualité de la mission est nécessaire afin de garantir que les risques accrus liés à un mandat soient identifiés de manière appropriée et traités de manière adéquate au sein de notre entreprise de révision. La décision de procéder à une revue de la qualité de la mission ainsi que les appréciations correspondantes sont dûment documentées.</w:t>
      </w:r>
    </w:p>
    <w:p w14:paraId="7C757701"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 la qualité de la mission comprend notamment la revue des principaux résultats des travaux, des jugements importants et des conclusions tirées, ainsi que du rapport de révision prévu. L'étendue de la revue dépend de la nature, du niveau de risque et de la complexité du mandat concerné, ainsi que du caractère approprié du rapport proposé au regard des circonstances. La décision de procéder ou non à une revue de la qualité de la mission est documentée au moyen de la check-list « Évaluation de la nécessité d'une revue de la qualité de la mission ».</w:t>
      </w:r>
    </w:p>
    <w:p w14:paraId="41635F9F" w14:textId="77777777" w:rsidR="00C927B8" w:rsidRPr="00000C03" w:rsidRDefault="00C927B8" w:rsidP="00C927B8">
      <w:pPr>
        <w:tabs>
          <w:tab w:val="left" w:pos="6465"/>
        </w:tabs>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 la qualité de la mission comprend notamment :</w:t>
      </w:r>
    </w:p>
    <w:p w14:paraId="1C5823B7"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La discussion des faits importants avec le responsable de mission ;</w:t>
      </w:r>
    </w:p>
    <w:p w14:paraId="7C5EEBDC"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des états financiers, respectivement des informations pertinentes relatives aux faits examinés, ainsi que du rapport prévu ;</w:t>
      </w:r>
    </w:p>
    <w:p w14:paraId="608B4298"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 certaines parties de la documentation de la mission, en particulier des jugements importants et des conclusions de l'équipe de mission ;</w:t>
      </w:r>
    </w:p>
    <w:p w14:paraId="59869BCE"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L’appréciation du caractère approprié des conclusions tirées et du rapport proposé.</w:t>
      </w:r>
    </w:p>
    <w:p w14:paraId="1C141ED5"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revue de la qualité de la mission doit impérativement être achevée avant la signature ou la remise du rapport de révision.</w:t>
      </w:r>
    </w:p>
    <w:p w14:paraId="4AEF818F"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réalisation de la revue de la qualité de la mission doit être documentée de manière compréhensible. La documentation doit notamment démontrer :</w:t>
      </w:r>
    </w:p>
    <w:p w14:paraId="614A1CEB"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Que les mesures de qualité prévues ont été mises en œuvre ;</w:t>
      </w:r>
    </w:p>
    <w:p w14:paraId="734458A2"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Que la revue a été achevée avant la date du rapport de révision ;</w:t>
      </w:r>
    </w:p>
    <w:p w14:paraId="200922F5"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Qu’aucun fait non résolu n'indique que les jugements importants ou les conclusions de l'équipe de mission étaient inappropriés.</w:t>
      </w:r>
    </w:p>
    <w:p w14:paraId="198EDE42"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réalisation d'une revue de la qualité de la mission ne décharge pas le responsable de mission de sa responsabilité globale à l'égard du mandat et des conclusions formulées.</w:t>
      </w:r>
    </w:p>
    <w:p w14:paraId="18F147DF" w14:textId="77777777" w:rsidR="00C927B8" w:rsidRPr="00000C03" w:rsidRDefault="00C927B8" w:rsidP="00C927B8">
      <w:pPr>
        <w:rPr>
          <w:rFonts w:ascii="KievitPro-Regular" w:hAnsi="KievitPro-Regular" w:cs="Arial"/>
          <w:snapToGrid/>
          <w:sz w:val="10"/>
          <w:szCs w:val="10"/>
          <w:lang w:val="fr-CH" w:eastAsia="en-US" w:bidi="en-US"/>
        </w:rPr>
      </w:pPr>
    </w:p>
    <w:p w14:paraId="7B5EEAD5" w14:textId="77777777" w:rsidR="00C927B8" w:rsidRPr="00000C03" w:rsidRDefault="00C927B8" w:rsidP="00C927B8">
      <w:pPr>
        <w:spacing w:before="120" w:after="120" w:line="278" w:lineRule="auto"/>
        <w:rPr>
          <w:rFonts w:ascii="KievitPro-Regular" w:hAnsi="KievitPro-Regular" w:cs="Arial"/>
          <w:i/>
          <w:iCs/>
          <w:snapToGrid/>
          <w:lang w:val="fr-CH" w:eastAsia="en-US" w:bidi="en-US"/>
        </w:rPr>
      </w:pPr>
      <w:r w:rsidRPr="00000C03">
        <w:rPr>
          <w:rFonts w:ascii="KievitPro-Regular" w:hAnsi="KievitPro-Regular" w:cs="Arial"/>
          <w:i/>
          <w:iCs/>
          <w:snapToGrid/>
          <w:lang w:val="fr-CH" w:eastAsia="en-US" w:bidi="en-US"/>
        </w:rPr>
        <w:t>Annexe 12.14 : Check-list d'évaluation de la nécessité d'une revue de la qualité de la mission</w:t>
      </w:r>
    </w:p>
    <w:p w14:paraId="0363EFC2" w14:textId="77777777" w:rsidR="00C927B8" w:rsidRPr="00000C03" w:rsidRDefault="00C927B8" w:rsidP="00C927B8">
      <w:pPr>
        <w:jc w:val="left"/>
        <w:rPr>
          <w:rFonts w:ascii="KievitPro-Regular" w:hAnsi="KievitPro-Regular" w:cs="Arial"/>
          <w:b/>
          <w:smallCaps/>
          <w:snapToGrid/>
          <w:sz w:val="22"/>
          <w:szCs w:val="24"/>
          <w:lang w:val="fr-CH" w:eastAsia="en-US"/>
        </w:rPr>
      </w:pPr>
      <w:r w:rsidRPr="00000C03">
        <w:rPr>
          <w:rFonts w:ascii="KievitPro-Regular" w:hAnsi="KievitPro-Regular" w:cs="Arial"/>
          <w:b/>
          <w:snapToGrid/>
          <w:sz w:val="22"/>
          <w:szCs w:val="24"/>
          <w:lang w:val="fr-CH" w:eastAsia="en-US" w:bidi="en-US"/>
        </w:rPr>
        <w:br w:type="page"/>
      </w:r>
    </w:p>
    <w:p w14:paraId="2BF19B0D"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30" w:name="_Toc242109353"/>
      <w:r w:rsidRPr="00000C03">
        <w:rPr>
          <w:rFonts w:ascii="KievitPro-Regular" w:hAnsi="KievitPro-Regular" w:cs="Arial"/>
          <w:b/>
          <w:smallCaps/>
          <w:snapToGrid/>
          <w:sz w:val="22"/>
          <w:szCs w:val="24"/>
          <w:lang w:val="fr-CH" w:eastAsia="en-US"/>
        </w:rPr>
        <w:lastRenderedPageBreak/>
        <w:t>Critères d’aptitude du responsable de la revue de la qualité de la mission</w:t>
      </w:r>
      <w:bookmarkEnd w:id="30"/>
      <w:r w:rsidRPr="00000C03">
        <w:rPr>
          <w:rFonts w:ascii="KievitPro-Regular" w:hAnsi="KievitPro-Regular" w:cs="Arial"/>
          <w:b/>
          <w:smallCaps/>
          <w:snapToGrid/>
          <w:sz w:val="22"/>
          <w:szCs w:val="24"/>
          <w:lang w:val="fr-CH" w:eastAsia="en-US"/>
        </w:rPr>
        <w:t xml:space="preserve"> </w:t>
      </w:r>
    </w:p>
    <w:p w14:paraId="6ED616B0"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 la revue de la qualité de la mission doit disposer des qualifications professionnelles, de l'expérience pratique ainsi que de l'agrément requis pour le mandat concerné. Il assiste le responsable de mission pour les questions techniques et les consultations.</w:t>
      </w:r>
    </w:p>
    <w:p w14:paraId="26315D64"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tâches du responsable de la revue de la qualité de la mission doivent être exercées avec l'indépendance et l'objectivité requises. Il convient notamment de s'assurer :</w:t>
      </w:r>
    </w:p>
    <w:p w14:paraId="4ED89E1E"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Que le responsable de la revue de la qualité de la mission n'est pas désigné par le responsable de mission lui-même ;</w:t>
      </w:r>
    </w:p>
    <w:p w14:paraId="6736C81A"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Qu’il ne participe pas à l'exécution du mandat concerné ;</w:t>
      </w:r>
    </w:p>
    <w:p w14:paraId="3BA77A2B"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Qu’il ne prenne aucune décision relevant de la responsabilité de l'équipe de mission.</w:t>
      </w:r>
    </w:p>
    <w:p w14:paraId="23068C9A"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principe, la revue de la qualité de la mission est réalisée par le responsable de la gestion de la qualité ou par une autre personne suffisamment qualifiée et indépendante.</w:t>
      </w:r>
    </w:p>
    <w:p w14:paraId="4D4CC6A3" w14:textId="77777777" w:rsidR="00C927B8" w:rsidRPr="00000C03" w:rsidRDefault="00C927B8" w:rsidP="00C927B8">
      <w:pPr>
        <w:spacing w:before="240" w:after="120" w:line="276" w:lineRule="auto"/>
        <w:rPr>
          <w:rFonts w:ascii="KievitPro-Regular" w:hAnsi="KievitPro-Regular"/>
          <w:snapToGrid/>
          <w:sz w:val="22"/>
          <w:szCs w:val="22"/>
          <w:lang w:val="fr-CH" w:eastAsia="en-US"/>
        </w:rPr>
      </w:pPr>
      <w:r w:rsidRPr="00000C03">
        <w:rPr>
          <w:rFonts w:ascii="KievitPro-Regular" w:hAnsi="KievitPro-Regular" w:cs="Arial"/>
          <w:snapToGrid/>
          <w:lang w:val="fr-CH" w:eastAsia="en-US" w:bidi="en-US"/>
        </w:rPr>
        <w:t>S'il existe des circonstances susceptibles de compromettre ou de menacer l'objectivité ou l'indépendance du responsable de la revue de la qualité de la mission, la direction désigne un remplaçant approprié. Si aucune personne suffisamment indépendante ou qualifiée n'est disponible en interne, une personne externe qualifiée ou une autre entreprise de révision est mandatée pour réaliser la revue de la qualité de la mission.</w:t>
      </w:r>
    </w:p>
    <w:p w14:paraId="156D3B20"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31" w:name="_Toc242109354"/>
      <w:r w:rsidRPr="00000C03">
        <w:rPr>
          <w:rFonts w:ascii="KievitPro-Regular" w:hAnsi="KievitPro-Regular" w:cs="Arial"/>
          <w:b/>
          <w:smallCaps/>
          <w:snapToGrid/>
          <w:sz w:val="22"/>
          <w:szCs w:val="24"/>
          <w:lang w:val="fr-CH" w:eastAsia="en-US"/>
        </w:rPr>
        <w:t>Divergences d’opinion</w:t>
      </w:r>
      <w:bookmarkEnd w:id="31"/>
    </w:p>
    <w:p w14:paraId="1A820149"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Des dispositions et procédures internes régissent le traitement des divergences d'opinion et garantissent que les divergences au sein de l'équipe de mission, avec les spécialistes consultés ou – le cas échéant – entre le responsable de mission et le responsable de la revue de la qualité de la mission (RQM) soient identifiées en temps utile, évaluées et résolues de manière appropriée. </w:t>
      </w:r>
    </w:p>
    <w:p w14:paraId="08780C03"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divergences d'opinion doivent être abordées ouvertement et traitées de manière objective et en temps utile avec la participation des personnes responsables compétentes. Il convient de rechercher des solutions objectives, professionnelles et dûment motivées. Si nécessaire, d'autres spécialistes internes et/ou externes, des organisations professionnelles ou d'autres instances qualifiées peuvent être consultés.</w:t>
      </w:r>
    </w:p>
    <w:p w14:paraId="0071954D"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Lorsqu'une divergence d'opinion ne peut être résolue au niveau opérationnel ou qu'elle porte sur des questions importantes relatives au système de gestion de la qualité, le cas est soumis au responsable de mission ou à la direction. La décision définitive doit intervenir avant la signature ou la remise du rapport de révision, respectivement avant l'achèvement des travaux concernés.</w:t>
      </w:r>
    </w:p>
    <w:p w14:paraId="20796605"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conclusions tirées ainsi que les mesures qui en découlent doivent être dûment documentées et mises en œuvre.</w:t>
      </w:r>
    </w:p>
    <w:p w14:paraId="6C4B8663"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Outre les consultations relatives aux questions liées au mandat, les litiges ainsi que les divergences d'opinion doivent également être documentés.</w:t>
      </w:r>
    </w:p>
    <w:p w14:paraId="286F6EA1" w14:textId="77777777" w:rsidR="00C927B8" w:rsidRPr="00000C03" w:rsidRDefault="00C927B8" w:rsidP="00C927B8">
      <w:pPr>
        <w:jc w:val="left"/>
        <w:rPr>
          <w:rFonts w:ascii="KievitPro-Regular" w:hAnsi="KievitPro-Regular" w:cs="Arial"/>
          <w:b/>
          <w:smallCaps/>
          <w:snapToGrid/>
          <w:sz w:val="22"/>
          <w:szCs w:val="24"/>
          <w:lang w:val="fr-CH" w:eastAsia="en-US"/>
        </w:rPr>
      </w:pPr>
      <w:r w:rsidRPr="00000C03">
        <w:rPr>
          <w:rFonts w:ascii="KievitPro-Regular" w:hAnsi="KievitPro-Regular" w:cs="Arial"/>
          <w:b/>
          <w:snapToGrid/>
          <w:sz w:val="22"/>
          <w:szCs w:val="24"/>
          <w:lang w:val="fr-CH" w:eastAsia="en-US" w:bidi="en-US"/>
        </w:rPr>
        <w:br w:type="page"/>
      </w:r>
    </w:p>
    <w:p w14:paraId="55F3CC83"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32" w:name="_Toc242109355"/>
      <w:r w:rsidRPr="00000C03">
        <w:rPr>
          <w:rFonts w:ascii="KievitPro-Regular" w:hAnsi="KievitPro-Regular" w:cs="Arial"/>
          <w:b/>
          <w:smallCaps/>
          <w:snapToGrid/>
          <w:sz w:val="22"/>
          <w:szCs w:val="24"/>
          <w:lang w:val="fr-CH" w:eastAsia="en-US"/>
        </w:rPr>
        <w:lastRenderedPageBreak/>
        <w:t>Documentation de la mission</w:t>
      </w:r>
      <w:bookmarkEnd w:id="32"/>
      <w:r w:rsidRPr="00000C03">
        <w:rPr>
          <w:rFonts w:ascii="KievitPro-Regular" w:hAnsi="KievitPro-Regular" w:cs="Arial"/>
          <w:b/>
          <w:smallCaps/>
          <w:snapToGrid/>
          <w:sz w:val="22"/>
          <w:szCs w:val="24"/>
          <w:lang w:val="fr-CH" w:eastAsia="en-US"/>
        </w:rPr>
        <w:t xml:space="preserve"> </w:t>
      </w:r>
    </w:p>
    <w:p w14:paraId="04F99602"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Afin de garantir la traçabilité et la conformité des travaux, l'ensemble des travaux de révision est documenté de manière systématique, complète et uniforme. Les papiers de travail et la documentation de la mission sont, en principe, archivés sous forme électronique dans le logiciel de révision utilisé </w:t>
      </w:r>
      <w:r w:rsidRPr="00000C03">
        <w:rPr>
          <w:rFonts w:ascii="KievitPro-Regular" w:hAnsi="KievitPro-Regular" w:cs="Arial"/>
          <w:snapToGrid/>
          <w:highlight w:val="yellow"/>
          <w:lang w:val="fr-CH" w:eastAsia="en-US" w:bidi="en-US"/>
        </w:rPr>
        <w:t>(Alternative 1 : L'ensemble des papiers de travail et des documents est archivé électroniquement au format PDF sur le lecteur X:. Il convient de veiller à ce que les fichiers archivés soient protégés contre toute modification et ne puissent plus être modifiés / Alternative 2 : Les papiers de travail peuvent être imprimés et classés dans un dossier de révision</w:t>
      </w:r>
      <w:r w:rsidRPr="00000C03">
        <w:rPr>
          <w:rFonts w:ascii="KievitPro-Regular" w:hAnsi="KievitPro-Regular" w:cs="Arial"/>
          <w:snapToGrid/>
          <w:highlight w:val="yellow"/>
          <w:vertAlign w:val="superscript"/>
          <w:lang w:val="fr-CH" w:eastAsia="en-US" w:bidi="en-US"/>
        </w:rPr>
        <w:footnoteReference w:id="4"/>
      </w:r>
      <w:r w:rsidRPr="00000C03">
        <w:rPr>
          <w:rFonts w:ascii="KievitPro-Regular" w:hAnsi="KievitPro-Regular" w:cs="Arial"/>
          <w:snapToGrid/>
          <w:highlight w:val="yellow"/>
          <w:lang w:val="fr-CH" w:eastAsia="en-US" w:bidi="en-US"/>
        </w:rPr>
        <w:t>).</w:t>
      </w:r>
    </w:p>
    <w:p w14:paraId="75FC8B16"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constitution du dossier définitif de la mission doit être achevée dans un délai raisonnable après la clôture de la mission, en règle générale au plus tard dans les 60 jours suivant la signature ou la date du rapport de révision.</w:t>
      </w:r>
    </w:p>
    <w:p w14:paraId="7470CC51"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Avant la remise du rapport de révision, il convient de s'assurer que toutes les procédures de révision essentielles ont été réalisées, que les points en suspens ont été réglés et que tous les documents requis, dûment signés par le mandant, sont disponibles.</w:t>
      </w:r>
    </w:p>
    <w:p w14:paraId="265B2D0C"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documentation de la mission doit être conservée de manière à garantir son intégrité, sa disponibilité, sa lisibilité et sa traçabilité pendant toute la durée légale de conservation. L'archivage électronique est effectué conformément aux exigences légales en vigueur, notamment aux dispositions relatives à l'archivage électronique des documents commerciaux. Sauf disposition légale contraire, le délai de conservation est de dix ans.</w:t>
      </w:r>
    </w:p>
    <w:p w14:paraId="12DBF550"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L'entreprise de révision veille, au moyen de mesures techniques et organisationnelles appropriées, à ce que l'accès aux dossiers de révision soit limité aux personnes autorisées et à ce que la sécurité des données soit garantie en tout temps. Ces mesures comprennent notamment la gestion des droits d'accès, les sauvegardes des données ainsi que les mesures destinées à préserver la confidentialité des informations contenues dans les dossiers.</w:t>
      </w:r>
    </w:p>
    <w:p w14:paraId="1B5EAA46"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Tous les collaborateurs sont tenus de préserver la confidentialité des informations contenues dans la documentation de la mission, sauf obligation légale de divulgation ou consentement exprès du mandant.</w:t>
      </w:r>
    </w:p>
    <w:p w14:paraId="19B6F95A"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papiers de travail et les dossiers de mission demeurent la propriété de l'entreprise de révision. Des documents ou des extraits de ceux-ci ne sont remis au mandant que dans la mesure où cela est admissible et pour autant que cette remise ne compromette pas, notamment, les exigences légales, réglementaires ou les exigences en matière d'indépendance. </w:t>
      </w:r>
    </w:p>
    <w:p w14:paraId="1B88B4D5" w14:textId="77777777" w:rsidR="00C927B8" w:rsidRPr="00000C03" w:rsidRDefault="00C927B8" w:rsidP="00C927B8">
      <w:pPr>
        <w:jc w:val="left"/>
        <w:rPr>
          <w:rFonts w:ascii="KievitPro-Regular" w:hAnsi="KievitPro-Regular" w:cs="Arial"/>
          <w:b/>
          <w:smallCaps/>
          <w:snapToGrid/>
          <w:sz w:val="22"/>
          <w:szCs w:val="24"/>
          <w:lang w:val="fr-CH" w:eastAsia="en-US"/>
        </w:rPr>
      </w:pPr>
      <w:r w:rsidRPr="00000C03">
        <w:rPr>
          <w:rFonts w:ascii="KievitPro-Regular" w:hAnsi="KievitPro-Regular" w:cs="Arial"/>
          <w:b/>
          <w:snapToGrid/>
          <w:sz w:val="22"/>
          <w:szCs w:val="24"/>
          <w:lang w:val="fr-CH" w:eastAsia="en-US" w:bidi="en-US"/>
        </w:rPr>
        <w:br w:type="page"/>
      </w:r>
    </w:p>
    <w:p w14:paraId="668E1FA0" w14:textId="77777777" w:rsidR="00C927B8" w:rsidRPr="00000C03" w:rsidRDefault="00C927B8" w:rsidP="00C927B8">
      <w:pPr>
        <w:numPr>
          <w:ilvl w:val="1"/>
          <w:numId w:val="23"/>
        </w:numPr>
        <w:spacing w:before="360" w:after="240" w:line="271" w:lineRule="auto"/>
        <w:ind w:left="425" w:hanging="425"/>
        <w:jc w:val="left"/>
        <w:outlineLvl w:val="1"/>
        <w:rPr>
          <w:rFonts w:ascii="KievitPro-Regular" w:hAnsi="KievitPro-Regular" w:cs="Arial"/>
          <w:b/>
          <w:smallCaps/>
          <w:snapToGrid/>
          <w:sz w:val="22"/>
          <w:szCs w:val="24"/>
          <w:lang w:val="fr-CH" w:eastAsia="en-US"/>
        </w:rPr>
      </w:pPr>
      <w:bookmarkStart w:id="33" w:name="_Toc242109356"/>
      <w:r w:rsidRPr="00000C03">
        <w:rPr>
          <w:rFonts w:ascii="KievitPro-Regular" w:hAnsi="KievitPro-Regular" w:cs="Arial"/>
          <w:b/>
          <w:smallCaps/>
          <w:snapToGrid/>
          <w:sz w:val="22"/>
          <w:szCs w:val="24"/>
          <w:lang w:val="fr-CH" w:eastAsia="en-US"/>
        </w:rPr>
        <w:lastRenderedPageBreak/>
        <w:t>Recours à des personnes externes ou à une autre entreprise de révision</w:t>
      </w:r>
      <w:bookmarkEnd w:id="33"/>
      <w:r w:rsidRPr="00000C03">
        <w:rPr>
          <w:rFonts w:ascii="KievitPro-Regular" w:hAnsi="KievitPro-Regular" w:cs="Arial"/>
          <w:b/>
          <w:smallCaps/>
          <w:snapToGrid/>
          <w:sz w:val="22"/>
          <w:szCs w:val="24"/>
          <w:lang w:val="fr-CH" w:eastAsia="en-US"/>
        </w:rPr>
        <w:t xml:space="preserve"> </w:t>
      </w:r>
    </w:p>
    <w:p w14:paraId="75602B91"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Pour la réalisation d'une revue de la qualité de la mission (RQM), d'une consultation ou d'une revue interne, il peut être fait appel à une personne externe qualifiée ou à une autre entreprise de révision.</w:t>
      </w:r>
    </w:p>
    <w:p w14:paraId="05744FD7"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de tels cas, le client de révision concerné est, en règle générale, invité à libérer par écrit l’entreprise de révision du secret de révision, généralement dans le cadre de la lettre de mission ou d’un complément à celle-ci.</w:t>
      </w:r>
    </w:p>
    <w:p w14:paraId="5A27AFD0"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outre, une convention de confidentialité écrite est conclue avec la personne externe ou l’entreprise de révision externe sollicitée afin de garantir le respect des obligations de confidentialité (cf. modèle de lettre de mission – recours à des personnes externes).</w:t>
      </w:r>
    </w:p>
    <w:p w14:paraId="3F90AE0E" w14:textId="77777777" w:rsidR="00C927B8" w:rsidRPr="00000C03" w:rsidRDefault="00C927B8" w:rsidP="00C927B8">
      <w:pPr>
        <w:jc w:val="left"/>
        <w:rPr>
          <w:rFonts w:ascii="KievitPro-Regular" w:hAnsi="KievitPro-Regular" w:cs="Arial"/>
          <w:b/>
          <w:smallCaps/>
          <w:snapToGrid/>
          <w:spacing w:val="5"/>
          <w:sz w:val="24"/>
          <w:szCs w:val="32"/>
          <w:lang w:val="fr-CH" w:eastAsia="en-US"/>
        </w:rPr>
      </w:pPr>
      <w:bookmarkStart w:id="34" w:name="_Toc331510683"/>
      <w:bookmarkStart w:id="35" w:name="_Toc359071936"/>
      <w:bookmarkEnd w:id="22"/>
      <w:bookmarkEnd w:id="23"/>
      <w:bookmarkEnd w:id="24"/>
      <w:bookmarkEnd w:id="25"/>
      <w:bookmarkEnd w:id="26"/>
      <w:r w:rsidRPr="00000C03">
        <w:rPr>
          <w:rFonts w:ascii="KievitPro-Regular" w:hAnsi="KievitPro-Regular" w:cs="Arial"/>
          <w:b/>
          <w:snapToGrid/>
          <w:sz w:val="24"/>
          <w:szCs w:val="32"/>
          <w:lang w:val="fr-CH" w:eastAsia="en-US" w:bidi="en-US"/>
        </w:rPr>
        <w:br w:type="page"/>
      </w:r>
    </w:p>
    <w:p w14:paraId="2C7233B7" w14:textId="77777777" w:rsidR="00C927B8" w:rsidRPr="00000C03" w:rsidRDefault="00C927B8" w:rsidP="00C927B8">
      <w:pPr>
        <w:numPr>
          <w:ilvl w:val="0"/>
          <w:numId w:val="23"/>
        </w:numPr>
        <w:spacing w:before="48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36" w:name="_Toc242109357"/>
      <w:bookmarkEnd w:id="34"/>
      <w:bookmarkEnd w:id="35"/>
      <w:r w:rsidRPr="00000C03">
        <w:rPr>
          <w:rFonts w:ascii="KievitPro-Regular" w:hAnsi="KievitPro-Regular" w:cs="Arial"/>
          <w:b/>
          <w:smallCaps/>
          <w:snapToGrid/>
          <w:spacing w:val="5"/>
          <w:sz w:val="24"/>
          <w:szCs w:val="32"/>
          <w:lang w:val="fr-CH" w:eastAsia="en-US"/>
        </w:rPr>
        <w:lastRenderedPageBreak/>
        <w:t>information et communication</w:t>
      </w:r>
      <w:bookmarkEnd w:id="36"/>
      <w:r w:rsidRPr="00000C03">
        <w:rPr>
          <w:rFonts w:ascii="KievitPro-Regular" w:hAnsi="KievitPro-Regular" w:cs="Arial"/>
          <w:b/>
          <w:smallCaps/>
          <w:snapToGrid/>
          <w:spacing w:val="5"/>
          <w:sz w:val="24"/>
          <w:szCs w:val="32"/>
          <w:lang w:val="fr-CH" w:eastAsia="en-US"/>
        </w:rPr>
        <w:t xml:space="preserve"> </w:t>
      </w:r>
    </w:p>
    <w:p w14:paraId="3436CB26"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responsable de la gestion de la qualité définit un objectif qualité portant sur la gestion systématique des informations relatives au système de gestion de la qualité. Celle-ci comprend notamment la collecte, la production, l'utilisation ainsi que la transmission, en temps utile, des informations pertinentes au sein de l'entreprise de révision et, le cas échéant, à des instances externes. Les informations sont considérées comme fiables lorsqu'elles sont exactes, complètes, à jour et adaptées à leur finalité.</w:t>
      </w:r>
    </w:p>
    <w:p w14:paraId="351C3836" w14:textId="77777777" w:rsidR="00C927B8" w:rsidRPr="00000C03" w:rsidRDefault="00C927B8" w:rsidP="00C927B8">
      <w:pPr>
        <w:spacing w:before="24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communication interne s'effectue en règle générale par écrit, par courrier électronique, et est complétée au moins une fois par an par une réunion d'équipe. Les thèmes suivants sont notamment abordés :</w:t>
      </w:r>
    </w:p>
    <w:p w14:paraId="16A54D6E"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responsabilités liées à la mise en œuvre des mesures et des réponses définies par l'entreprise ;</w:t>
      </w:r>
    </w:p>
    <w:p w14:paraId="5E983852"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adaptations et le développement du système de gestion de la qualité ;</w:t>
      </w:r>
    </w:p>
    <w:p w14:paraId="10B586F2"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modifications des exigences en matière d'indépendance ainsi que des règles et mesures qui en découlent ;</w:t>
      </w:r>
    </w:p>
    <w:p w14:paraId="1F06ADA2"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principaux enseignements issus du processus d'acceptation et de poursuite des mandats.</w:t>
      </w:r>
    </w:p>
    <w:p w14:paraId="5E3FF0C6" w14:textId="77777777" w:rsidR="00C927B8" w:rsidRPr="00000C03" w:rsidRDefault="00C927B8" w:rsidP="00C927B8">
      <w:pPr>
        <w:spacing w:before="24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équipes de mission veillent à ce que les informations importantes obtenues dans le cadre de l'exécution des mandats soient transmises au responsable de la gestion de la qualité. Il s'agit notamment :</w:t>
      </w:r>
    </w:p>
    <w:p w14:paraId="5604BC5D"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Des constatations relatives aux mandats issues de l'exécution des travaux ;</w:t>
      </w:r>
    </w:p>
    <w:p w14:paraId="0EBB0CDC" w14:textId="77777777" w:rsidR="00C927B8" w:rsidRPr="00000C03" w:rsidRDefault="00C927B8" w:rsidP="00C927B8">
      <w:pPr>
        <w:numPr>
          <w:ilvl w:val="0"/>
          <w:numId w:val="28"/>
        </w:numPr>
        <w:tabs>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Des informations concernant l'efficacité des mesures et des réponses définies par l'entreprise ;</w:t>
      </w:r>
    </w:p>
    <w:p w14:paraId="38E91BEE" w14:textId="77777777" w:rsidR="00C927B8" w:rsidRPr="00000C03" w:rsidRDefault="00C927B8" w:rsidP="00C927B8">
      <w:pPr>
        <w:numPr>
          <w:ilvl w:val="0"/>
          <w:numId w:val="28"/>
        </w:numPr>
        <w:tabs>
          <w:tab w:val="num" w:pos="720"/>
          <w:tab w:val="right" w:pos="9405"/>
        </w:tabs>
        <w:spacing w:before="120"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Des éléments significatifs pertinents dans le cadre d'une revue de la qualité de la mission ou d'une consultation.</w:t>
      </w:r>
    </w:p>
    <w:p w14:paraId="61E1424A"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des audits de groupe, un échange d'informations approprié est en outre assuré entre l'auditeur du groupe et les auditeurs des composantes afin de garantir une exécution de l'audit cohérente et coordonnée.</w:t>
      </w:r>
    </w:p>
    <w:p w14:paraId="19B90001" w14:textId="1CF5F7C0" w:rsidR="00C927B8" w:rsidRPr="00000C03" w:rsidRDefault="00C927B8" w:rsidP="00C927B8">
      <w:pPr>
        <w:numPr>
          <w:ilvl w:val="0"/>
          <w:numId w:val="23"/>
        </w:numPr>
        <w:spacing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37" w:name="_Toc242109358"/>
      <w:r w:rsidRPr="00000C03">
        <w:rPr>
          <w:rFonts w:ascii="KievitPro-Regular" w:hAnsi="KievitPro-Regular" w:cs="Arial"/>
          <w:b/>
          <w:smallCaps/>
          <w:snapToGrid/>
          <w:spacing w:val="5"/>
          <w:sz w:val="24"/>
          <w:szCs w:val="32"/>
          <w:lang w:val="fr-CH" w:eastAsia="en-US"/>
        </w:rPr>
        <w:t xml:space="preserve">Réponses </w:t>
      </w:r>
      <w:r w:rsidR="00000C03">
        <w:rPr>
          <w:rFonts w:ascii="KievitPro-Regular" w:hAnsi="KievitPro-Regular" w:cs="Arial"/>
          <w:b/>
          <w:smallCaps/>
          <w:snapToGrid/>
          <w:spacing w:val="5"/>
          <w:sz w:val="24"/>
          <w:szCs w:val="32"/>
          <w:lang w:val="fr-CH" w:eastAsia="en-US"/>
        </w:rPr>
        <w:t>spécifiques</w:t>
      </w:r>
      <w:bookmarkEnd w:id="37"/>
      <w:r w:rsidR="00000C03">
        <w:rPr>
          <w:rFonts w:ascii="KievitPro-Regular" w:hAnsi="KievitPro-Regular" w:cs="Arial"/>
          <w:b/>
          <w:smallCaps/>
          <w:snapToGrid/>
          <w:spacing w:val="5"/>
          <w:sz w:val="24"/>
          <w:szCs w:val="32"/>
          <w:lang w:val="fr-CH" w:eastAsia="en-US"/>
        </w:rPr>
        <w:t xml:space="preserve"> </w:t>
      </w:r>
      <w:r w:rsidRPr="00000C03">
        <w:rPr>
          <w:rFonts w:ascii="KievitPro-Regular" w:hAnsi="KievitPro-Regular" w:cs="Arial"/>
          <w:b/>
          <w:smallCaps/>
          <w:snapToGrid/>
          <w:spacing w:val="5"/>
          <w:sz w:val="24"/>
          <w:szCs w:val="32"/>
          <w:lang w:val="fr-CH" w:eastAsia="en-US"/>
        </w:rPr>
        <w:t xml:space="preserve"> </w:t>
      </w:r>
    </w:p>
    <w:p w14:paraId="6941E826" w14:textId="77777777" w:rsidR="00C927B8" w:rsidRPr="00000C03" w:rsidRDefault="00C927B8" w:rsidP="00D110EA">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Dans le cadre de l'évaluation des risques, les objectifs qualité ont été définis (cf. section 1). Lorsque des risques susceptibles de compromettre la qualité sont identifiés, ils doivent être analysés et évalués. Sur cette base, des mesures appropriées sont planifiées, décidées et mises en œuvre.</w:t>
      </w:r>
    </w:p>
    <w:p w14:paraId="2073E614" w14:textId="77777777" w:rsidR="00C927B8" w:rsidRPr="00000C03" w:rsidRDefault="00C927B8" w:rsidP="00C927B8">
      <w:pPr>
        <w:spacing w:before="24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réponses prévues doivent notamment couvrir les domaines suivants :</w:t>
      </w:r>
    </w:p>
    <w:p w14:paraId="194E52CD"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risques de non-respect des lois, ordonnances, circulaires, directives et exigences déontologiques applicables, ainsi que les cas de non-respect de celles-ci ;</w:t>
      </w:r>
    </w:p>
    <w:p w14:paraId="6CCB4B86"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mesures destinées à garantir l'indépendance du personnel spécialisé ;</w:t>
      </w:r>
    </w:p>
    <w:p w14:paraId="4E1D57B4"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situations liées à des plaintes ou à des allégations concernant un éventuel non-respect des normes professionnelles ;</w:t>
      </w:r>
    </w:p>
    <w:p w14:paraId="56BA7054"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informations obtenues ultérieurement concernant des relations de mandat ou des missions déjà acceptées ou poursuivies ;</w:t>
      </w:r>
    </w:p>
    <w:p w14:paraId="49741B7C" w14:textId="77777777" w:rsidR="00C927B8" w:rsidRPr="00000C03" w:rsidRDefault="00C927B8" w:rsidP="00C927B8">
      <w:pPr>
        <w:numPr>
          <w:ilvl w:val="0"/>
          <w:numId w:val="28"/>
        </w:numPr>
        <w:tabs>
          <w:tab w:val="num" w:pos="720"/>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L’évaluation des situations dans lesquelles une revue de la qualité de la mission est requise.</w:t>
      </w:r>
    </w:p>
    <w:p w14:paraId="064F3D24" w14:textId="77777777" w:rsidR="00C927B8" w:rsidRPr="00000C03" w:rsidRDefault="00C927B8" w:rsidP="00C927B8">
      <w:pPr>
        <w:jc w:val="left"/>
        <w:rPr>
          <w:rFonts w:ascii="KievitPro-Regular" w:hAnsi="KievitPro-Regular" w:cs="Arial"/>
          <w:snapToGrid/>
          <w:lang w:val="fr-CH" w:eastAsia="en-US" w:bidi="en-US"/>
        </w:rPr>
      </w:pPr>
    </w:p>
    <w:p w14:paraId="28E9406F" w14:textId="77777777" w:rsidR="00C927B8" w:rsidRPr="00000C03" w:rsidRDefault="00C927B8" w:rsidP="00C927B8">
      <w:pPr>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réponses prescrites par l'ISQM-CH 1 comprennent également les règles et les mesures relatives à la revue de la qualité de la mission. L'entreprise définit les situations dans lesquelles une revue de la qualité de la mission doit être effectuée et veille à ce qu'elle soit planifiée, réalisée et documentée conformément aux exigences de l'ISQM-CH 2.</w:t>
      </w:r>
    </w:p>
    <w:p w14:paraId="17599833" w14:textId="77777777" w:rsidR="00C927B8" w:rsidRPr="00000C03" w:rsidRDefault="00C927B8" w:rsidP="00C927B8">
      <w:pPr>
        <w:spacing w:before="240" w:after="200" w:line="276" w:lineRule="auto"/>
        <w:rPr>
          <w:rFonts w:ascii="KievitPro-Regular" w:hAnsi="KievitPro-Regular" w:cs="Arial"/>
          <w:snapToGrid/>
          <w:lang w:val="fr-CH" w:eastAsia="en-US" w:bidi="en-US"/>
        </w:rPr>
      </w:pPr>
    </w:p>
    <w:p w14:paraId="6330A701"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 </w:t>
      </w:r>
    </w:p>
    <w:p w14:paraId="5C83C055" w14:textId="3ED54F46" w:rsidR="00C927B8" w:rsidRPr="00000C03" w:rsidRDefault="00B8349A" w:rsidP="00C927B8">
      <w:pPr>
        <w:numPr>
          <w:ilvl w:val="0"/>
          <w:numId w:val="23"/>
        </w:numPr>
        <w:spacing w:before="48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38" w:name="_Toc242109359"/>
      <w:r w:rsidRPr="00000C03">
        <w:rPr>
          <w:rFonts w:ascii="KievitPro-Regular" w:hAnsi="KievitPro-Regular" w:cs="Arial"/>
          <w:b/>
          <w:smallCaps/>
          <w:snapToGrid/>
          <w:spacing w:val="5"/>
          <w:sz w:val="24"/>
          <w:szCs w:val="32"/>
          <w:lang w:val="fr-CH" w:eastAsia="en-US"/>
        </w:rPr>
        <w:lastRenderedPageBreak/>
        <w:t>S</w:t>
      </w:r>
      <w:r w:rsidR="00C927B8" w:rsidRPr="00000C03">
        <w:rPr>
          <w:rFonts w:ascii="KievitPro-Regular" w:hAnsi="KievitPro-Regular" w:cs="Arial"/>
          <w:b/>
          <w:smallCaps/>
          <w:snapToGrid/>
          <w:spacing w:val="5"/>
          <w:sz w:val="24"/>
          <w:szCs w:val="32"/>
          <w:lang w:val="fr-CH" w:eastAsia="en-US"/>
        </w:rPr>
        <w:t xml:space="preserve">urveillance interne et </w:t>
      </w:r>
      <w:r w:rsidRPr="00000C03">
        <w:rPr>
          <w:rFonts w:ascii="KievitPro-Regular" w:hAnsi="KievitPro-Regular" w:cs="Arial"/>
          <w:b/>
          <w:smallCaps/>
          <w:snapToGrid/>
          <w:spacing w:val="5"/>
          <w:sz w:val="24"/>
          <w:szCs w:val="32"/>
          <w:lang w:val="fr-CH" w:eastAsia="en-US"/>
        </w:rPr>
        <w:t>prise de mesures correctives</w:t>
      </w:r>
      <w:bookmarkEnd w:id="38"/>
      <w:r w:rsidRPr="00000C03">
        <w:rPr>
          <w:rFonts w:ascii="KievitPro-Regular" w:hAnsi="KievitPro-Regular" w:cs="Arial"/>
          <w:b/>
          <w:smallCaps/>
          <w:snapToGrid/>
          <w:spacing w:val="5"/>
          <w:sz w:val="24"/>
          <w:szCs w:val="32"/>
          <w:lang w:val="fr-CH" w:eastAsia="en-US"/>
        </w:rPr>
        <w:t xml:space="preserve"> </w:t>
      </w:r>
    </w:p>
    <w:p w14:paraId="45765718" w14:textId="77777777" w:rsidR="00C927B8" w:rsidRPr="00000C03" w:rsidRDefault="00C927B8" w:rsidP="00C927B8">
      <w:pPr>
        <w:spacing w:before="240"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surveillance interne (monitoring) a pour objectif de surveiller et d'évaluer le système de gestion de la qualité propre à l'entreprise de révision. Elle comprend la vérification de l'application effective des règles et procédures définies ainsi que l'évaluation de leur pertinence, de leur caractère approprié et de leur respect dans les activités quotidiennes. Les résultats de la surveillance interne, les écarts constatés ainsi que les mesures correctives mises en œuvre sont consignés chaque année dans un rapport de surveillance interne.</w:t>
      </w:r>
    </w:p>
    <w:p w14:paraId="67F801DE"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système de gestion de la qualité constitue un élément central du système de contrôle interne. La surveillance interne comprend notamment la compréhension de ce système ainsi que la vérification de son efficacité dans la pratique. Cette vérification est effectuée au moyen de procédures appropriées, telles que des entretiens, des tests de cheminement (walkthrough tests) ainsi que la revue des dossiers de révision et d'autres documents pertinents (par ex. justificatifs de formation, déclarations d'indépendance, normes professionnelles et directives internes). La surveillance interne comprend également l'élaboration de propositions d'amélioration, notamment lorsque des faiblesses sont constatées ou que les exigences professionnelles et réglementaires évoluent.</w:t>
      </w:r>
    </w:p>
    <w:p w14:paraId="306C8CCC"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Tous les collaborateurs, en particulier les associés et les personnes exerçant des fonctions dirigeantes, sont tenus de porter un regard critique sur leurs propres activités et de contribuer activement à l'assurance de la qualité. Cette autoévaluation continue constitue un élément essentiel de l'exercice de la profession de réviseur. Les personnes assumant des responsabilités de direction et de décision portent à cet égard une responsabilité accrue.</w:t>
      </w:r>
    </w:p>
    <w:p w14:paraId="4F623E35"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surveillance interne comprend une revue de l'entreprise (Firm Review) ainsi qu'une revue des dossiers (File Review). La Firm Review et la File Review doivent être réalisées chaque année. Un document de planification doit garantir que chaque réviseur responsable fait l'objet d'une File Review au moins une fois tous les trois ans</w:t>
      </w:r>
      <w:r w:rsidRPr="00000C03">
        <w:rPr>
          <w:rFonts w:ascii="KievitPro-Regular" w:hAnsi="KievitPro-Regular" w:cs="Arial"/>
          <w:snapToGrid/>
          <w:vertAlign w:val="superscript"/>
          <w:lang w:val="fr-CH" w:eastAsia="en-US" w:bidi="en-US"/>
        </w:rPr>
        <w:footnoteReference w:id="5"/>
      </w:r>
      <w:r w:rsidRPr="00000C03">
        <w:rPr>
          <w:rFonts w:ascii="KievitPro-Regular" w:hAnsi="KievitPro-Regular" w:cs="Arial"/>
          <w:snapToGrid/>
          <w:lang w:val="fr-CH" w:eastAsia="en-US" w:bidi="en-US"/>
        </w:rPr>
        <w:t>.</w:t>
      </w:r>
    </w:p>
    <w:p w14:paraId="06F957C4" w14:textId="77777777" w:rsidR="00C927B8" w:rsidRPr="00000C03" w:rsidRDefault="00C927B8" w:rsidP="00C927B8">
      <w:pPr>
        <w:spacing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sélection des mandats à examiner repose sur une approche fondée sur les risques et les priorités. Les critères suivants sont notamment pris en considération :</w:t>
      </w:r>
    </w:p>
    <w:p w14:paraId="26A8ABE2" w14:textId="7606475D" w:rsidR="00C927B8" w:rsidRPr="00000C03" w:rsidRDefault="00C927B8" w:rsidP="00C927B8">
      <w:pPr>
        <w:numPr>
          <w:ilvl w:val="0"/>
          <w:numId w:val="28"/>
        </w:numPr>
        <w:tabs>
          <w:tab w:val="num" w:pos="720"/>
          <w:tab w:val="right" w:pos="9405"/>
        </w:tabs>
        <w:spacing w:after="80" w:line="276" w:lineRule="auto"/>
        <w:ind w:left="357" w:hanging="357"/>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Les révisions ordinaires et les contrôles spéciaux sont, en règle générale, prioritaires par rapport aux mandats de </w:t>
      </w:r>
      <w:r w:rsidR="007E1C4D" w:rsidRPr="00000C03">
        <w:rPr>
          <w:rFonts w:ascii="KievitPro-Regular" w:hAnsi="KievitPro-Regular" w:cs="Arial"/>
          <w:snapToGrid/>
          <w:lang w:val="fr-CH" w:eastAsia="en-US" w:bidi="en-US"/>
        </w:rPr>
        <w:t xml:space="preserve">contrôles </w:t>
      </w:r>
      <w:r w:rsidRPr="00000C03">
        <w:rPr>
          <w:rFonts w:ascii="KievitPro-Regular" w:hAnsi="KievitPro-Regular" w:cs="Arial"/>
          <w:snapToGrid/>
          <w:lang w:val="fr-CH" w:eastAsia="en-US" w:bidi="en-US"/>
        </w:rPr>
        <w:t>restreint</w:t>
      </w:r>
      <w:r w:rsidR="00000C03" w:rsidRPr="00000C03">
        <w:rPr>
          <w:rFonts w:ascii="KievitPro-Regular" w:hAnsi="KievitPro-Regular" w:cs="Arial"/>
          <w:snapToGrid/>
          <w:lang w:val="fr-CH" w:eastAsia="en-US" w:bidi="en-US"/>
        </w:rPr>
        <w:t>s</w:t>
      </w:r>
      <w:r w:rsidRPr="00000C03">
        <w:rPr>
          <w:rFonts w:ascii="KievitPro-Regular" w:hAnsi="KievitPro-Regular" w:cs="Arial"/>
          <w:snapToGrid/>
          <w:lang w:val="fr-CH" w:eastAsia="en-US" w:bidi="en-US"/>
        </w:rPr>
        <w:t xml:space="preserve">, compte tenu de l'opinion d'audit émise ; </w:t>
      </w:r>
    </w:p>
    <w:p w14:paraId="2FD6C0FD" w14:textId="77777777" w:rsidR="00C927B8" w:rsidRPr="00000C03" w:rsidRDefault="00C927B8" w:rsidP="00C927B8">
      <w:pPr>
        <w:numPr>
          <w:ilvl w:val="0"/>
          <w:numId w:val="28"/>
        </w:numPr>
        <w:tabs>
          <w:tab w:val="num" w:pos="720"/>
          <w:tab w:val="right" w:pos="9405"/>
        </w:tabs>
        <w:spacing w:after="80" w:line="276" w:lineRule="auto"/>
        <w:ind w:left="357" w:hanging="357"/>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mandats présentant un risque élevé sont prioritaires par rapport aux mandats à faible risque.</w:t>
      </w:r>
    </w:p>
    <w:p w14:paraId="5CB6731D"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responsabilité de la surveillance interne incombe à une personne possédant les compétences requises et répondant au minimum aux exigences suivantes :</w:t>
      </w:r>
    </w:p>
    <w:p w14:paraId="5E6B0B21" w14:textId="77777777" w:rsidR="00C927B8" w:rsidRPr="00000C03" w:rsidRDefault="00C927B8" w:rsidP="00C927B8">
      <w:pPr>
        <w:numPr>
          <w:ilvl w:val="0"/>
          <w:numId w:val="28"/>
        </w:numPr>
        <w:tabs>
          <w:tab w:val="right" w:pos="9405"/>
        </w:tabs>
        <w:spacing w:after="8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Elle dispose de l'agrément nécessaire à l'exercice de cette fonction (au minimum celui de réviseur agréé ou de l'agrément requis pour les mandats réalisés par l'entreprise) ;</w:t>
      </w:r>
    </w:p>
    <w:p w14:paraId="4B96EAE5" w14:textId="77777777" w:rsidR="00C927B8" w:rsidRPr="00000C03" w:rsidRDefault="00C927B8" w:rsidP="00C927B8">
      <w:pPr>
        <w:numPr>
          <w:ilvl w:val="0"/>
          <w:numId w:val="28"/>
        </w:numPr>
        <w:tabs>
          <w:tab w:val="right" w:pos="9405"/>
        </w:tabs>
        <w:spacing w:after="8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Elle possède une expérience pratique suffisante, les compétences professionnelles requises ainsi qu'un niveau d'ancienneté approprié ;</w:t>
      </w:r>
    </w:p>
    <w:p w14:paraId="77BE4155" w14:textId="77777777" w:rsidR="00C927B8" w:rsidRPr="00000C03" w:rsidRDefault="00C927B8" w:rsidP="00C927B8">
      <w:pPr>
        <w:numPr>
          <w:ilvl w:val="0"/>
          <w:numId w:val="28"/>
        </w:numPr>
        <w:tabs>
          <w:tab w:val="num" w:pos="720"/>
          <w:tab w:val="right" w:pos="9405"/>
        </w:tabs>
        <w:spacing w:after="8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Elle n'a participé ni à l'exécution du mandat examiné ni à la revue de la qualité de la mission y afférente</w:t>
      </w:r>
    </w:p>
    <w:p w14:paraId="58DD5A88" w14:textId="77777777" w:rsidR="00C927B8" w:rsidRPr="00000C03" w:rsidRDefault="00C927B8" w:rsidP="00C927B8">
      <w:pPr>
        <w:spacing w:before="240"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surveillance interne est effectuée en temps utile, de manière indépendante et selon l'appréciation consciencieuse de la personne responsable. La personne chargée de cette tâche est désignée de manière à garantir son objectivité en tout temps.</w:t>
      </w:r>
    </w:p>
    <w:p w14:paraId="3EE6E89A"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 surveillance interne est réalisée sur la base de critères définis et de listes de contrôle. Les prescriptions externes, les recommandations ainsi que les constatations des associations professionnelles et des autorités de surveillance doivent être prises en considération.</w:t>
      </w:r>
    </w:p>
    <w:p w14:paraId="3B762394"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lastRenderedPageBreak/>
        <w:t>Les résultats de la surveillance interne sont résumés chaque année dans un rapport écrit. Celui-ci constitue un instrument de gestion et de pilotage et est porté à la connaissance de la direction ainsi que des autres responsables concernés (conseil d'administration, associés, responsables de mandat et responsable de la gestion de la qualité).</w:t>
      </w:r>
    </w:p>
    <w:p w14:paraId="3E3FB11E" w14:textId="77777777" w:rsidR="00C927B8" w:rsidRPr="00000C03" w:rsidRDefault="00C927B8" w:rsidP="00C927B8">
      <w:pPr>
        <w:spacing w:before="240" w:after="12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rapport de surveillance interne contient au minimum les éléments suivants :</w:t>
      </w:r>
    </w:p>
    <w:p w14:paraId="2C7AA943"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Une description des travaux de surveillance interne effectués ainsi que de la période examinée. (</w:t>
      </w:r>
      <w:r w:rsidRPr="00000C03">
        <w:rPr>
          <w:rFonts w:ascii="KievitPro-Regular" w:hAnsi="KievitPro-Regular" w:cs="Arial"/>
          <w:i/>
          <w:iCs/>
          <w:snapToGrid/>
          <w:lang w:val="fr-CH" w:eastAsia="en-US" w:bidi="en-US"/>
        </w:rPr>
        <w:t>Remarque : la période considérée se rapporte à la période de validité des règles internes de l'entreprise ayant fait l'objet de la revue ainsi qu'aux travaux de révision réalisés, et non à l'exercice des entreprises révisées.</w:t>
      </w:r>
      <w:r w:rsidRPr="00000C03">
        <w:rPr>
          <w:rFonts w:ascii="KievitPro-Regular" w:hAnsi="KievitPro-Regular" w:cs="Arial"/>
          <w:snapToGrid/>
          <w:lang w:val="fr-CH" w:eastAsia="en-US" w:bidi="en-US"/>
        </w:rPr>
        <w:t>) ;</w:t>
      </w:r>
    </w:p>
    <w:p w14:paraId="78BC2F40"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mandats sélectionnés ainsi que les personnes responsables ;</w:t>
      </w:r>
    </w:p>
    <w:p w14:paraId="666DA821"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principales constatations, recommandations et conclusions issues de la revue de l'entreprise et de la revue des dossiers ;</w:t>
      </w:r>
    </w:p>
    <w:p w14:paraId="17D7D9D3" w14:textId="77777777" w:rsidR="00C927B8" w:rsidRPr="00000C03" w:rsidRDefault="00C927B8" w:rsidP="00C927B8">
      <w:pPr>
        <w:numPr>
          <w:ilvl w:val="0"/>
          <w:numId w:val="28"/>
        </w:numPr>
        <w:tabs>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indications relatives aux faiblesses systématiques ou récurrentes ainsi qu'aux mesures qui en découlent ;</w:t>
      </w:r>
    </w:p>
    <w:p w14:paraId="4ECC3357" w14:textId="77777777" w:rsidR="00C927B8" w:rsidRPr="00000C03" w:rsidRDefault="00C927B8" w:rsidP="00C927B8">
      <w:pPr>
        <w:numPr>
          <w:ilvl w:val="0"/>
          <w:numId w:val="28"/>
        </w:numPr>
        <w:tabs>
          <w:tab w:val="num" w:pos="720"/>
          <w:tab w:val="right" w:pos="9405"/>
        </w:tabs>
        <w:spacing w:after="120" w:line="276" w:lineRule="auto"/>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L’état d'avancement de la mise en œuvre des constatations et recommandations formulées l'année précédente ou les années antérieures. Les constatations des années précédentes doivent, en règle générale, être mises en œuvre dans les meilleurs délais. Tout retard doit être mentionné dans le rapport de surveillance interne.</w:t>
      </w:r>
    </w:p>
    <w:p w14:paraId="0ADA7995" w14:textId="77777777" w:rsidR="00C927B8" w:rsidRPr="00000C03" w:rsidRDefault="00C927B8" w:rsidP="00C927B8">
      <w:pPr>
        <w:spacing w:before="240"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L'identification d'écarts ou de faiblesses est considérée comme un élément constitutif d'un système de gestion de la qualité efficace et est, en principe, appréciée positivement, dans la mesure où elle contribue à l'amélioration continue.</w:t>
      </w:r>
    </w:p>
    <w:p w14:paraId="7A770EF5"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rapport peut être complété si nécessaire. La direction veille à la mise en œuvre des mesures nécessaires pour remédier aux lacunes constatées.</w:t>
      </w:r>
    </w:p>
    <w:p w14:paraId="4485D84C" w14:textId="77777777" w:rsidR="00C927B8" w:rsidRPr="00000C03" w:rsidRDefault="00C927B8" w:rsidP="00C927B8">
      <w:pPr>
        <w:spacing w:before="120" w:after="120" w:line="278" w:lineRule="auto"/>
        <w:rPr>
          <w:rFonts w:ascii="KievitPro-Regular" w:hAnsi="KievitPro-Regular" w:cs="Arial"/>
          <w:i/>
          <w:iCs/>
          <w:snapToGrid/>
          <w:lang w:val="fr-CH" w:eastAsia="en-US" w:bidi="en-US"/>
        </w:rPr>
      </w:pPr>
      <w:r w:rsidRPr="00000C03">
        <w:rPr>
          <w:rFonts w:ascii="KievitPro-Regular" w:hAnsi="KievitPro-Regular" w:cs="Arial"/>
          <w:i/>
          <w:iCs/>
          <w:snapToGrid/>
          <w:lang w:val="fr-CH" w:eastAsia="en-US" w:bidi="en-US"/>
        </w:rPr>
        <w:t>Annexe 12.15 : Liste de contrôle – Documentation des travaux de surveillance interne</w:t>
      </w:r>
    </w:p>
    <w:p w14:paraId="5DC7A8DC" w14:textId="77777777" w:rsidR="00C927B8" w:rsidRPr="00000C03" w:rsidRDefault="00C927B8" w:rsidP="00C927B8">
      <w:pPr>
        <w:spacing w:before="120" w:after="120" w:line="278" w:lineRule="auto"/>
        <w:rPr>
          <w:rFonts w:ascii="KievitPro-Regular" w:hAnsi="KievitPro-Regular" w:cs="Arial"/>
          <w:i/>
          <w:iCs/>
          <w:snapToGrid/>
          <w:lang w:val="fr-CH" w:eastAsia="en-US" w:bidi="en-US"/>
        </w:rPr>
      </w:pPr>
      <w:r w:rsidRPr="00000C03">
        <w:rPr>
          <w:rFonts w:ascii="KievitPro-Regular" w:hAnsi="KievitPro-Regular" w:cs="Arial"/>
          <w:i/>
          <w:iCs/>
          <w:snapToGrid/>
          <w:lang w:val="fr-CH" w:eastAsia="en-US" w:bidi="en-US"/>
        </w:rPr>
        <w:t>Annexe 12.16 : Modèle de rapport de surveillance interne</w:t>
      </w:r>
    </w:p>
    <w:p w14:paraId="4FA5E42D" w14:textId="77777777" w:rsidR="00C927B8" w:rsidRPr="00000C03" w:rsidRDefault="00C927B8" w:rsidP="00C927B8">
      <w:pPr>
        <w:numPr>
          <w:ilvl w:val="0"/>
          <w:numId w:val="23"/>
        </w:numPr>
        <w:spacing w:before="48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39" w:name="_Toc242109360"/>
      <w:r w:rsidRPr="00000C03">
        <w:rPr>
          <w:rFonts w:ascii="KievitPro-Regular" w:hAnsi="KievitPro-Regular" w:cs="Arial"/>
          <w:b/>
          <w:smallCaps/>
          <w:snapToGrid/>
          <w:spacing w:val="5"/>
          <w:sz w:val="24"/>
          <w:szCs w:val="32"/>
          <w:lang w:val="fr-CH" w:eastAsia="en-US"/>
        </w:rPr>
        <w:t>Evaluation du système de gestion de la qualité</w:t>
      </w:r>
      <w:bookmarkEnd w:id="39"/>
      <w:r w:rsidRPr="00000C03">
        <w:rPr>
          <w:rFonts w:ascii="KievitPro-Regular" w:hAnsi="KievitPro-Regular" w:cs="Arial"/>
          <w:b/>
          <w:smallCaps/>
          <w:snapToGrid/>
          <w:spacing w:val="5"/>
          <w:sz w:val="24"/>
          <w:szCs w:val="32"/>
          <w:lang w:val="fr-CH" w:eastAsia="en-US"/>
        </w:rPr>
        <w:t xml:space="preserve"> </w:t>
      </w:r>
    </w:p>
    <w:p w14:paraId="2A2F6D89" w14:textId="77777777" w:rsidR="00C927B8" w:rsidRPr="00000C03" w:rsidRDefault="00C927B8" w:rsidP="00C927B8">
      <w:pPr>
        <w:spacing w:before="240"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 système de gestion de la qualité est évalué au moins une fois par an par la ou les personnes auxquelles ont été confiées la responsabilité ultime et l'obligation de rendre compte de ce système. Cette évaluation peut être assistée par d'autres personnes possédant les compétences appropriées.</w:t>
      </w:r>
    </w:p>
    <w:p w14:paraId="7889FCC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 xml:space="preserve">Au sein de l'entreprise de révision, la responsabilité globale de l'évaluation du système de gestion de la qualité incombe au </w:t>
      </w:r>
      <w:r w:rsidRPr="00000C03">
        <w:rPr>
          <w:rFonts w:ascii="KievitPro-Regular" w:hAnsi="KievitPro-Regular" w:cs="Arial"/>
          <w:snapToGrid/>
          <w:highlight w:val="yellow"/>
          <w:lang w:val="fr-CH" w:eastAsia="en-US" w:bidi="en-US"/>
        </w:rPr>
        <w:t>président du conseil d'administration</w:t>
      </w:r>
      <w:r w:rsidRPr="00000C03">
        <w:rPr>
          <w:rFonts w:ascii="KievitPro-Regular" w:hAnsi="KievitPro-Regular" w:cs="Arial"/>
          <w:snapToGrid/>
          <w:lang w:val="fr-CH" w:eastAsia="en-US" w:bidi="en-US"/>
        </w:rPr>
        <w:t xml:space="preserve">, qui assume la plus haute fonction de surveillance et de responsabilité au sein de l'entreprise. </w:t>
      </w:r>
    </w:p>
    <w:p w14:paraId="60B36097"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L'évaluation repose sur une appréciation globale du système de gestion de la qualité et porte notamment sur sa conception, sa mise en œuvre et son efficacité, ainsi que sur l'identification d'éventuelles lacunes et faiblesses. Elle a pour objectif de fournir une vue d'ensemble de l'état actuel du système.</w:t>
      </w:r>
    </w:p>
    <w:p w14:paraId="5C8D7C43"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Pour procéder à cette évaluation, différentes sources d'information sont prises en considération, notamment le rapport de surveillance interne (établi par le responsable de la gestion de la qualité). Elle peut également être complétée par des entretiens avec les personnes responsables de la surveillance interne, par la consultation de la documentation relative à la surveillance interne ainsi que d'autres documents pertinents.</w:t>
      </w:r>
    </w:p>
    <w:p w14:paraId="3AE4F666"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L'aide de travail « Évaluation du système de gestion de la qualité » est mise à disposition pour la réalisation et la documentation de cette évaluation.</w:t>
      </w:r>
    </w:p>
    <w:p w14:paraId="7CCD7BA5"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responsabilités organisationnelles en matière de gestion de la qualité sont définies dans l'organigramme de l'entreprise de révision.</w:t>
      </w:r>
    </w:p>
    <w:p w14:paraId="720D6BEA"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lastRenderedPageBreak/>
        <w:t xml:space="preserve">Tous les membres de l'équipe de révision disposent de l'agrément professionnel requis pour l'exercice de leur activité, au minimum en </w:t>
      </w:r>
      <w:r w:rsidRPr="00000C03">
        <w:rPr>
          <w:rFonts w:ascii="KievitPro-Regular" w:hAnsi="KievitPro-Regular" w:cs="Arial"/>
          <w:snapToGrid/>
          <w:highlight w:val="yellow"/>
          <w:lang w:val="fr-CH" w:eastAsia="en-US" w:bidi="en-US"/>
        </w:rPr>
        <w:t>qualité de réviseur agréé ou d'expert-réviseur agréé</w:t>
      </w:r>
      <w:r w:rsidRPr="00000C03">
        <w:rPr>
          <w:rFonts w:ascii="KievitPro-Regular" w:hAnsi="KievitPro-Regular" w:cs="Arial"/>
          <w:snapToGrid/>
          <w:lang w:val="fr-CH" w:eastAsia="en-US" w:bidi="en-US"/>
        </w:rPr>
        <w:t>.</w:t>
      </w:r>
    </w:p>
    <w:p w14:paraId="07F1DD55" w14:textId="77777777" w:rsidR="00C927B8" w:rsidRPr="00000C03" w:rsidRDefault="00C927B8" w:rsidP="00C927B8">
      <w:pPr>
        <w:spacing w:before="120" w:after="120" w:line="278" w:lineRule="auto"/>
        <w:rPr>
          <w:rFonts w:ascii="KievitPro-Regular" w:hAnsi="KievitPro-Regular" w:cs="Arial"/>
          <w:i/>
          <w:iCs/>
          <w:snapToGrid/>
          <w:lang w:val="fr-CH" w:eastAsia="en-US" w:bidi="en-US"/>
        </w:rPr>
      </w:pPr>
      <w:r w:rsidRPr="00000C03">
        <w:rPr>
          <w:rFonts w:ascii="KievitPro-Regular" w:hAnsi="KievitPro-Regular" w:cs="Arial"/>
          <w:i/>
          <w:iCs/>
          <w:snapToGrid/>
          <w:lang w:val="fr-CH" w:eastAsia="en-US" w:bidi="en-US"/>
        </w:rPr>
        <w:t>Annexe 12.17 : Liste de contrôle – Évaluation du système de gestion de la qualité</w:t>
      </w:r>
    </w:p>
    <w:p w14:paraId="64C4B9F4" w14:textId="77777777" w:rsidR="00C927B8" w:rsidRPr="00000C03" w:rsidRDefault="00C927B8" w:rsidP="00D110EA">
      <w:pPr>
        <w:numPr>
          <w:ilvl w:val="0"/>
          <w:numId w:val="23"/>
        </w:numPr>
        <w:spacing w:before="480"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40" w:name="_Toc242109361"/>
      <w:r w:rsidRPr="00000C03">
        <w:rPr>
          <w:rFonts w:ascii="KievitPro-Regular" w:hAnsi="KievitPro-Regular" w:cs="Arial"/>
          <w:b/>
          <w:smallCaps/>
          <w:snapToGrid/>
          <w:spacing w:val="5"/>
          <w:sz w:val="24"/>
          <w:szCs w:val="32"/>
          <w:lang w:val="fr-CH" w:eastAsia="en-US"/>
        </w:rPr>
        <w:t>Documentation du système de gestion de la qualité</w:t>
      </w:r>
      <w:bookmarkEnd w:id="40"/>
      <w:r w:rsidRPr="00000C03">
        <w:rPr>
          <w:rFonts w:ascii="KievitPro-Regular" w:hAnsi="KievitPro-Regular" w:cs="Arial"/>
          <w:b/>
          <w:smallCaps/>
          <w:snapToGrid/>
          <w:spacing w:val="5"/>
          <w:sz w:val="24"/>
          <w:szCs w:val="32"/>
          <w:lang w:val="fr-CH" w:eastAsia="en-US"/>
        </w:rPr>
        <w:t xml:space="preserve"> </w:t>
      </w:r>
    </w:p>
    <w:p w14:paraId="6A1EA8B2" w14:textId="77777777" w:rsidR="00C927B8" w:rsidRPr="00000C03" w:rsidRDefault="00C927B8" w:rsidP="00D110EA">
      <w:pPr>
        <w:spacing w:before="240"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En fonction de l'étendue et de la complexité de nos activités, nous conservons les documents nécessaires attestant de l'efficacité de notre système de gestion de la qualité pendant une durée minimale de dix ans. Il s'agit notamment des documents relatifs à la surveillance interne (rapports de surveillance interne et listes de contrôle), datés et signés par les personnes responsables, de la documentation relative à la revue de la qualité de la mission ainsi que, le cas échéant, des plaintes, des allégations et des prises de position correspondantes de l'entreprise de révision.</w:t>
      </w:r>
    </w:p>
    <w:p w14:paraId="353A9373"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Afin de garantir la traçabilité, l'ensemble des travaux de révision est documenté de manière systématique, uniforme et complète.</w:t>
      </w:r>
    </w:p>
    <w:p w14:paraId="23377400"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snapToGrid/>
          <w:lang w:val="fr-CH" w:eastAsia="en-US" w:bidi="en-US"/>
        </w:rPr>
        <w:t>Les dossiers de mission sont conservés pendant le délai légal de conservation, qui est en principe de dix ans, puis sont détruits conformément aux dispositions en vigueur.</w:t>
      </w:r>
    </w:p>
    <w:p w14:paraId="2169F9F2" w14:textId="77777777" w:rsidR="00C927B8" w:rsidRPr="00000C03" w:rsidRDefault="00C927B8" w:rsidP="00D110EA">
      <w:pPr>
        <w:numPr>
          <w:ilvl w:val="0"/>
          <w:numId w:val="23"/>
        </w:numPr>
        <w:spacing w:before="480" w:after="240" w:line="276" w:lineRule="auto"/>
        <w:ind w:left="426" w:hanging="426"/>
        <w:contextualSpacing/>
        <w:jc w:val="left"/>
        <w:outlineLvl w:val="0"/>
        <w:rPr>
          <w:rFonts w:ascii="KievitPro-Regular" w:hAnsi="KievitPro-Regular" w:cs="Arial"/>
          <w:smallCaps/>
          <w:snapToGrid/>
          <w:spacing w:val="5"/>
          <w:lang w:val="fr-CH" w:eastAsia="en-US"/>
        </w:rPr>
      </w:pPr>
      <w:bookmarkStart w:id="41" w:name="_Toc242109362"/>
      <w:r w:rsidRPr="00000C03">
        <w:rPr>
          <w:rFonts w:ascii="KievitPro-Regular" w:hAnsi="KievitPro-Regular" w:cs="Arial"/>
          <w:b/>
          <w:smallCaps/>
          <w:snapToGrid/>
          <w:spacing w:val="5"/>
          <w:sz w:val="24"/>
          <w:szCs w:val="32"/>
          <w:lang w:val="fr-CH" w:eastAsia="en-US"/>
        </w:rPr>
        <w:t>Aperçu</w:t>
      </w:r>
      <w:bookmarkEnd w:id="41"/>
      <w:r w:rsidRPr="00000C03">
        <w:rPr>
          <w:rFonts w:ascii="KievitPro-Regular" w:hAnsi="KievitPro-Regular" w:cs="Arial"/>
          <w:b/>
          <w:smallCaps/>
          <w:snapToGrid/>
          <w:spacing w:val="5"/>
          <w:sz w:val="24"/>
          <w:szCs w:val="32"/>
          <w:lang w:val="fr-CH" w:eastAsia="en-US"/>
        </w:rPr>
        <w:t xml:space="preserve"> </w:t>
      </w:r>
    </w:p>
    <w:p w14:paraId="79A67980"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 Évaluation des risques de l'entreprise et mesures spécifiques qui en découlent »</w:t>
      </w:r>
    </w:p>
    <w:p w14:paraId="0290135F"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Déclaration annuelle relative au respect de l’indépendance</w:t>
      </w:r>
    </w:p>
    <w:p w14:paraId="6C43DE54"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Déclaration de confidentialité visant au respect du secret professionnel (pour les collaborateurs)</w:t>
      </w:r>
    </w:p>
    <w:p w14:paraId="02B52CEA"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Respect des directives de comportement informatique (consentement)</w:t>
      </w:r>
    </w:p>
    <w:p w14:paraId="7B88C2E1"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d'évaluation de l'acceptation d'un mandat</w:t>
      </w:r>
    </w:p>
    <w:p w14:paraId="48A92295"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d'évaluation de la poursuite des mandats</w:t>
      </w:r>
    </w:p>
    <w:p w14:paraId="1BA08DD1"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Modèle de lettre de mission en cas de doubles mandats</w:t>
      </w:r>
    </w:p>
    <w:p w14:paraId="796D3CAD"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Règlement relatif à la participation à des doubles mandats</w:t>
      </w:r>
    </w:p>
    <w:p w14:paraId="6EBDAA10"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de retrait d'un mandat</w:t>
      </w:r>
    </w:p>
    <w:p w14:paraId="7D321355"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Évaluation périodique des collaborateurs</w:t>
      </w:r>
    </w:p>
    <w:p w14:paraId="051C96E6"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Modèle de contrôle de la formation continue au niveau de l'entreprise</w:t>
      </w:r>
    </w:p>
    <w:p w14:paraId="34D5A223"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Modèle de liste de contrôle des mandats de révision</w:t>
      </w:r>
    </w:p>
    <w:p w14:paraId="02B9F57B"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Surveillance et revue</w:t>
      </w:r>
    </w:p>
    <w:p w14:paraId="330B1E37"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d'évaluation de la nécessité d'une revue de la qualité de la mission</w:t>
      </w:r>
    </w:p>
    <w:p w14:paraId="4C92F61B"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documentation des travaux de surveillance interne</w:t>
      </w:r>
    </w:p>
    <w:p w14:paraId="3CF83749" w14:textId="77777777" w:rsidR="00C927B8"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Modèle de rapport de surveillance interne</w:t>
      </w:r>
    </w:p>
    <w:p w14:paraId="196DBE51" w14:textId="5E14DE9D" w:rsidR="00D110EA" w:rsidRPr="00000C03" w:rsidRDefault="00C927B8" w:rsidP="00C927B8">
      <w:pPr>
        <w:numPr>
          <w:ilvl w:val="1"/>
          <w:numId w:val="23"/>
        </w:numPr>
        <w:spacing w:before="120" w:after="120" w:line="276" w:lineRule="auto"/>
        <w:ind w:left="1134" w:hanging="1134"/>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t>Check-list Évaluation du système de gestion de la qualité</w:t>
      </w:r>
    </w:p>
    <w:p w14:paraId="61AD24EB" w14:textId="77777777" w:rsidR="00D110EA" w:rsidRPr="00000C03" w:rsidRDefault="00D110EA">
      <w:pPr>
        <w:jc w:val="left"/>
        <w:rPr>
          <w:rFonts w:ascii="KievitPro-Regular" w:hAnsi="KievitPro-Regular" w:cs="Arial"/>
          <w:snapToGrid/>
          <w:lang w:val="fr-CH" w:eastAsia="en-US" w:bidi="en-US"/>
        </w:rPr>
      </w:pPr>
      <w:r w:rsidRPr="00000C03">
        <w:rPr>
          <w:rFonts w:ascii="KievitPro-Regular" w:hAnsi="KievitPro-Regular" w:cs="Arial"/>
          <w:snapToGrid/>
          <w:lang w:val="fr-CH" w:eastAsia="en-US" w:bidi="en-US"/>
        </w:rPr>
        <w:br w:type="page"/>
      </w:r>
    </w:p>
    <w:p w14:paraId="045F7B96" w14:textId="77777777" w:rsidR="00C927B8" w:rsidRPr="00000C03" w:rsidRDefault="00C927B8" w:rsidP="00D110EA">
      <w:pPr>
        <w:spacing w:before="120" w:after="120" w:line="276" w:lineRule="auto"/>
        <w:ind w:left="1134"/>
        <w:jc w:val="left"/>
        <w:rPr>
          <w:rFonts w:ascii="KievitPro-Regular" w:hAnsi="KievitPro-Regular" w:cs="Arial"/>
          <w:snapToGrid/>
          <w:lang w:val="fr-CH" w:eastAsia="en-US" w:bidi="en-US"/>
        </w:rPr>
      </w:pPr>
    </w:p>
    <w:p w14:paraId="222AF841" w14:textId="77777777" w:rsidR="00C927B8" w:rsidRPr="00000C03" w:rsidRDefault="00C927B8" w:rsidP="00C927B8">
      <w:pPr>
        <w:numPr>
          <w:ilvl w:val="0"/>
          <w:numId w:val="23"/>
        </w:numPr>
        <w:spacing w:before="480" w:after="240" w:line="276" w:lineRule="auto"/>
        <w:ind w:left="426" w:hanging="426"/>
        <w:contextualSpacing/>
        <w:jc w:val="left"/>
        <w:outlineLvl w:val="0"/>
        <w:rPr>
          <w:rFonts w:ascii="KievitPro-Regular" w:hAnsi="KievitPro-Regular" w:cs="Arial"/>
          <w:b/>
          <w:smallCaps/>
          <w:snapToGrid/>
          <w:spacing w:val="5"/>
          <w:sz w:val="24"/>
          <w:szCs w:val="32"/>
          <w:lang w:val="fr-CH" w:eastAsia="en-US"/>
        </w:rPr>
      </w:pPr>
      <w:bookmarkStart w:id="42" w:name="_Toc242109363"/>
      <w:r w:rsidRPr="00000C03">
        <w:rPr>
          <w:rFonts w:ascii="KievitPro-Regular" w:hAnsi="KievitPro-Regular" w:cs="Arial"/>
          <w:b/>
          <w:smallCaps/>
          <w:snapToGrid/>
          <w:spacing w:val="5"/>
          <w:sz w:val="24"/>
          <w:szCs w:val="32"/>
          <w:lang w:val="fr-CH" w:eastAsia="en-US"/>
        </w:rPr>
        <w:t>Organigramme de la société Exemple SA</w:t>
      </w:r>
      <w:bookmarkEnd w:id="42"/>
      <w:r w:rsidRPr="00000C03">
        <w:rPr>
          <w:rFonts w:ascii="KievitPro-Regular" w:hAnsi="KievitPro-Regular" w:cs="Arial"/>
          <w:b/>
          <w:smallCaps/>
          <w:snapToGrid/>
          <w:spacing w:val="5"/>
          <w:sz w:val="24"/>
          <w:szCs w:val="32"/>
          <w:lang w:val="fr-CH" w:eastAsia="en-US"/>
        </w:rPr>
        <w:t xml:space="preserve"> </w:t>
      </w:r>
    </w:p>
    <w:p w14:paraId="65828C62" w14:textId="77777777" w:rsidR="00C927B8" w:rsidRPr="00000C03" w:rsidRDefault="00C927B8" w:rsidP="00C927B8">
      <w:pPr>
        <w:spacing w:after="200" w:line="276" w:lineRule="auto"/>
        <w:rPr>
          <w:rFonts w:ascii="KievitPro-Regular" w:hAnsi="KievitPro-Regular" w:cs="Arial"/>
          <w:snapToGrid/>
          <w:lang w:val="fr-CH" w:eastAsia="en-US" w:bidi="en-US"/>
        </w:rPr>
      </w:pPr>
    </w:p>
    <w:p w14:paraId="5C508356" w14:textId="77777777" w:rsidR="00C927B8" w:rsidRPr="00000C03" w:rsidRDefault="00C927B8" w:rsidP="00C927B8">
      <w:pPr>
        <w:spacing w:after="200" w:line="276" w:lineRule="auto"/>
        <w:rPr>
          <w:rFonts w:ascii="KievitPro-Regular" w:hAnsi="KievitPro-Regular" w:cs="Arial"/>
          <w:snapToGrid/>
          <w:lang w:val="fr-CH" w:eastAsia="en-US" w:bidi="en-US"/>
        </w:rPr>
      </w:pPr>
    </w:p>
    <w:p w14:paraId="17CB5E20" w14:textId="77777777" w:rsidR="00C927B8" w:rsidRPr="00000C03" w:rsidRDefault="00C927B8" w:rsidP="00C927B8">
      <w:pPr>
        <w:spacing w:after="200" w:line="276" w:lineRule="auto"/>
        <w:rPr>
          <w:rFonts w:ascii="KievitPro-Regular" w:hAnsi="KievitPro-Regular" w:cs="Arial"/>
          <w:snapToGrid/>
          <w:lang w:val="fr-CH" w:eastAsia="en-US" w:bidi="en-US"/>
        </w:rPr>
      </w:pPr>
      <w:r w:rsidRPr="00000C03">
        <w:rPr>
          <w:rFonts w:ascii="KievitPro-Regular" w:hAnsi="KievitPro-Regular" w:cs="Arial"/>
          <w:noProof/>
          <w:snapToGrid/>
          <w:lang w:val="fr-CH" w:eastAsia="en-US" w:bidi="en-US"/>
        </w:rPr>
        <w:drawing>
          <wp:inline distT="0" distB="0" distL="0" distR="0" wp14:anchorId="59DD80D3" wp14:editId="21A3FE0A">
            <wp:extent cx="4631186" cy="3943020"/>
            <wp:effectExtent l="0" t="0" r="0" b="635"/>
            <wp:docPr id="18310119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11979" name="Grafik 18310119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6128" cy="3947227"/>
                    </a:xfrm>
                    <a:prstGeom prst="rect">
                      <a:avLst/>
                    </a:prstGeom>
                  </pic:spPr>
                </pic:pic>
              </a:graphicData>
            </a:graphic>
          </wp:inline>
        </w:drawing>
      </w:r>
    </w:p>
    <w:p w14:paraId="6FE6A9F8" w14:textId="77777777" w:rsidR="00C927B8" w:rsidRPr="00000C03" w:rsidRDefault="00C927B8" w:rsidP="00C927B8">
      <w:pPr>
        <w:spacing w:after="200" w:line="276" w:lineRule="auto"/>
        <w:rPr>
          <w:rFonts w:ascii="KievitPro-Regular" w:hAnsi="KievitPro-Regular" w:cs="Arial"/>
          <w:snapToGrid/>
          <w:lang w:val="fr-CH" w:eastAsia="en-US" w:bidi="en-US"/>
        </w:rPr>
      </w:pPr>
    </w:p>
    <w:p w14:paraId="7F137FB5" w14:textId="77777777" w:rsidR="00C927B8" w:rsidRPr="00000C03" w:rsidRDefault="00C927B8" w:rsidP="00C927B8">
      <w:pPr>
        <w:spacing w:after="200" w:line="276" w:lineRule="auto"/>
        <w:rPr>
          <w:rFonts w:ascii="KievitPro-Regular" w:hAnsi="KievitPro-Regular" w:cs="Arial"/>
          <w:snapToGrid/>
          <w:lang w:val="fr-CH" w:eastAsia="en-US" w:bidi="en-US"/>
        </w:rPr>
      </w:pPr>
    </w:p>
    <w:p w14:paraId="2A174342" w14:textId="77777777" w:rsidR="00C927B8" w:rsidRPr="00000C03" w:rsidRDefault="00C927B8" w:rsidP="00C927B8">
      <w:pPr>
        <w:spacing w:after="200" w:line="276" w:lineRule="auto"/>
        <w:rPr>
          <w:rFonts w:ascii="KievitPro-Regular" w:hAnsi="KievitPro-Regular" w:cs="Arial"/>
          <w:snapToGrid/>
          <w:lang w:val="fr-CH" w:eastAsia="en-US" w:bidi="en-US"/>
        </w:rPr>
      </w:pPr>
    </w:p>
    <w:p w14:paraId="597C023B" w14:textId="77777777" w:rsidR="00C927B8" w:rsidRPr="00000C03" w:rsidRDefault="00C927B8" w:rsidP="00C927B8">
      <w:pPr>
        <w:spacing w:after="200" w:line="276" w:lineRule="auto"/>
        <w:rPr>
          <w:rFonts w:ascii="KievitPro-Regular" w:hAnsi="KievitPro-Regular" w:cs="Arial"/>
          <w:snapToGrid/>
          <w:lang w:val="fr-CH" w:eastAsia="en-US" w:bidi="en-US"/>
        </w:rPr>
      </w:pPr>
    </w:p>
    <w:p w14:paraId="056E87AD" w14:textId="77777777" w:rsidR="00C927B8" w:rsidRPr="00000C03" w:rsidRDefault="00C927B8" w:rsidP="00C927B8">
      <w:pPr>
        <w:spacing w:after="200" w:line="276" w:lineRule="auto"/>
        <w:rPr>
          <w:rFonts w:ascii="KievitPro-Regular" w:hAnsi="KievitPro-Regular" w:cs="Arial"/>
          <w:snapToGrid/>
          <w:lang w:val="fr-CH" w:eastAsia="en-US" w:bidi="en-US"/>
        </w:rPr>
      </w:pPr>
    </w:p>
    <w:p w14:paraId="7C579D15" w14:textId="77777777" w:rsidR="00C927B8" w:rsidRPr="00000C03" w:rsidRDefault="00C927B8" w:rsidP="00C927B8">
      <w:pPr>
        <w:spacing w:after="200" w:line="276" w:lineRule="auto"/>
        <w:rPr>
          <w:rFonts w:ascii="KievitPro-Regular" w:hAnsi="KievitPro-Regular" w:cs="Arial"/>
          <w:snapToGrid/>
          <w:lang w:val="fr-CH" w:eastAsia="en-US" w:bidi="en-US"/>
        </w:rPr>
      </w:pPr>
    </w:p>
    <w:p w14:paraId="48323965" w14:textId="77777777" w:rsidR="00C927B8" w:rsidRPr="00000C03" w:rsidRDefault="00C927B8" w:rsidP="00C927B8">
      <w:pPr>
        <w:spacing w:after="200" w:line="276" w:lineRule="auto"/>
        <w:rPr>
          <w:rFonts w:ascii="KievitPro-Regular" w:hAnsi="KievitPro-Regular" w:cs="Arial"/>
          <w:snapToGrid/>
          <w:lang w:val="fr-CH" w:eastAsia="en-US" w:bidi="en-US"/>
        </w:rPr>
      </w:pPr>
    </w:p>
    <w:p w14:paraId="49D0C0D1" w14:textId="77777777" w:rsidR="00C927B8" w:rsidRPr="00000C03" w:rsidRDefault="00C927B8" w:rsidP="00C927B8">
      <w:pPr>
        <w:spacing w:after="200" w:line="276" w:lineRule="auto"/>
        <w:rPr>
          <w:rFonts w:ascii="KievitPro-Regular" w:hAnsi="KievitPro-Regular" w:cs="Arial"/>
          <w:snapToGrid/>
          <w:lang w:val="fr-CH" w:eastAsia="en-US" w:bidi="en-US"/>
        </w:rPr>
      </w:pPr>
    </w:p>
    <w:p w14:paraId="6881E5B2" w14:textId="77777777" w:rsidR="00C927B8" w:rsidRPr="00000C03" w:rsidRDefault="00C927B8" w:rsidP="00C927B8">
      <w:pPr>
        <w:spacing w:after="200" w:line="276" w:lineRule="auto"/>
        <w:rPr>
          <w:rFonts w:ascii="KievitPro-Regular" w:hAnsi="KievitPro-Regular" w:cs="Arial"/>
          <w:snapToGrid/>
          <w:lang w:val="fr-CH" w:eastAsia="en-US" w:bidi="en-US"/>
        </w:rPr>
      </w:pPr>
    </w:p>
    <w:p w14:paraId="5A55BA59" w14:textId="77777777" w:rsidR="00C927B8" w:rsidRPr="00000C03" w:rsidRDefault="00C927B8" w:rsidP="00D110EA">
      <w:pPr>
        <w:spacing w:before="480" w:after="240" w:line="276" w:lineRule="auto"/>
        <w:contextualSpacing/>
        <w:jc w:val="left"/>
        <w:outlineLvl w:val="0"/>
        <w:rPr>
          <w:rFonts w:ascii="KievitPro-Regular" w:hAnsi="KievitPro-Regular" w:cs="Arial"/>
          <w:b/>
          <w:smallCaps/>
          <w:snapToGrid/>
          <w:spacing w:val="5"/>
          <w:sz w:val="24"/>
          <w:szCs w:val="32"/>
          <w:lang w:val="fr-CH" w:eastAsia="en-US"/>
        </w:rPr>
      </w:pPr>
      <w:bookmarkStart w:id="43" w:name="gototop"/>
      <w:bookmarkStart w:id="44" w:name="Transactions"/>
      <w:bookmarkEnd w:id="43"/>
      <w:bookmarkEnd w:id="44"/>
    </w:p>
    <w:p w14:paraId="71631BA6" w14:textId="77777777" w:rsidR="004B66B4" w:rsidRPr="00000C03" w:rsidRDefault="004B66B4" w:rsidP="00C927B8">
      <w:pPr>
        <w:rPr>
          <w:rFonts w:ascii="KievitPro-Regular" w:hAnsi="KievitPro-Regular"/>
          <w:lang w:val="fr-CH"/>
        </w:rPr>
      </w:pPr>
    </w:p>
    <w:sectPr w:rsidR="004B66B4" w:rsidRPr="00000C03" w:rsidSect="00E80C21">
      <w:headerReference w:type="default" r:id="rId10"/>
      <w:footerReference w:type="default" r:id="rId11"/>
      <w:headerReference w:type="first" r:id="rId12"/>
      <w:footerReference w:type="first" r:id="rId13"/>
      <w:pgSz w:w="11907" w:h="16840"/>
      <w:pgMar w:top="1418" w:right="992" w:bottom="851" w:left="1418" w:header="0" w:footer="17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4FAAE" w14:textId="77777777" w:rsidR="00BF41A3" w:rsidRDefault="00BF41A3">
      <w:r>
        <w:separator/>
      </w:r>
    </w:p>
  </w:endnote>
  <w:endnote w:type="continuationSeparator" w:id="0">
    <w:p w14:paraId="2F366690" w14:textId="77777777" w:rsidR="00BF41A3" w:rsidRDefault="00BF4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evitPro-Regular">
    <w:panose1 w:val="020B0504030101020102"/>
    <w:charset w:val="00"/>
    <w:family w:val="swiss"/>
    <w:notTrueType/>
    <w:pitch w:val="variable"/>
    <w:sig w:usb0="A00002FF"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529883"/>
      <w:docPartObj>
        <w:docPartGallery w:val="Page Numbers (Bottom of Page)"/>
        <w:docPartUnique/>
      </w:docPartObj>
    </w:sdtPr>
    <w:sdtEndPr/>
    <w:sdtContent>
      <w:p w14:paraId="128D5518" w14:textId="149856F1" w:rsidR="0015513E" w:rsidRDefault="00C927B8" w:rsidP="0015513E">
        <w:pPr>
          <w:pStyle w:val="Fuzeile"/>
          <w:jc w:val="center"/>
        </w:pPr>
        <w:r>
          <w:rPr>
            <w:rFonts w:ascii="KievitPro-Regular" w:hAnsi="KievitPro-Regular"/>
            <w:sz w:val="18"/>
            <w:szCs w:val="18"/>
          </w:rPr>
          <w:t xml:space="preserve"> </w:t>
        </w:r>
        <w:r w:rsidR="00985540">
          <w:rPr>
            <w:rFonts w:ascii="KievitPro-Regular" w:hAnsi="KievitPro-Regular"/>
          </w:rPr>
          <w:tab/>
        </w:r>
        <w:r w:rsidR="00985540">
          <w:rPr>
            <w:rFonts w:ascii="KievitPro-Regular" w:hAnsi="KievitPro-Regular"/>
          </w:rPr>
          <w:tab/>
        </w:r>
      </w:p>
    </w:sdtContent>
  </w:sdt>
  <w:p w14:paraId="0ED510C5" w14:textId="77777777" w:rsidR="00C927B8" w:rsidRPr="00C927B8" w:rsidRDefault="00C927B8" w:rsidP="00C927B8">
    <w:pPr>
      <w:pStyle w:val="Fuzeile"/>
      <w:rPr>
        <w:rFonts w:ascii="KievitPro-Regular" w:hAnsi="KievitPro-Regular"/>
        <w:iCs/>
        <w:sz w:val="18"/>
        <w:szCs w:val="18"/>
      </w:rPr>
    </w:pPr>
    <w:r w:rsidRPr="00C927B8">
      <w:rPr>
        <w:rFonts w:ascii="KievitPro-Regular" w:hAnsi="KievitPro-Regular"/>
        <w:sz w:val="18"/>
        <w:szCs w:val="18"/>
      </w:rPr>
      <w:fldChar w:fldCharType="begin"/>
    </w:r>
    <w:r w:rsidRPr="00C927B8">
      <w:rPr>
        <w:rFonts w:ascii="KievitPro-Regular" w:hAnsi="KievitPro-Regular"/>
        <w:sz w:val="18"/>
        <w:szCs w:val="18"/>
      </w:rPr>
      <w:instrText>PAGE   \* MERGEFORMAT</w:instrText>
    </w:r>
    <w:r w:rsidRPr="00C927B8">
      <w:rPr>
        <w:rFonts w:ascii="KievitPro-Regular" w:hAnsi="KievitPro-Regular"/>
        <w:sz w:val="18"/>
        <w:szCs w:val="18"/>
      </w:rPr>
      <w:fldChar w:fldCharType="separate"/>
    </w:r>
    <w:r>
      <w:rPr>
        <w:rFonts w:ascii="KievitPro-Regular" w:hAnsi="KievitPro-Regular"/>
        <w:sz w:val="18"/>
        <w:szCs w:val="18"/>
      </w:rPr>
      <w:t>1</w:t>
    </w:r>
    <w:r w:rsidRPr="00C927B8">
      <w:rPr>
        <w:rFonts w:ascii="KievitPro-Regular" w:hAnsi="KievitPro-Regular"/>
        <w:sz w:val="18"/>
        <w:szCs w:val="18"/>
      </w:rPr>
      <w:fldChar w:fldCharType="end"/>
    </w:r>
    <w:r w:rsidRPr="00C927B8">
      <w:rPr>
        <w:rFonts w:ascii="KievitPro-Regular" w:hAnsi="KievitPro-Regular"/>
        <w:sz w:val="18"/>
        <w:szCs w:val="18"/>
      </w:rPr>
      <w:t>/</w:t>
    </w:r>
    <w:sdt>
      <w:sdtPr>
        <w:rPr>
          <w:rFonts w:ascii="KievitPro-Regular" w:hAnsi="KievitPro-Regular"/>
          <w:sz w:val="18"/>
          <w:szCs w:val="18"/>
        </w:rPr>
        <w:id w:val="-1980362739"/>
        <w:docPartObj>
          <w:docPartGallery w:val="Page Numbers (Top of Page)"/>
          <w:docPartUnique/>
        </w:docPartObj>
      </w:sdtPr>
      <w:sdtEndPr/>
      <w:sdtContent>
        <w:r w:rsidRPr="00C927B8">
          <w:rPr>
            <w:rFonts w:ascii="KievitPro-Regular" w:hAnsi="KievitPro-Regular"/>
            <w:sz w:val="18"/>
            <w:szCs w:val="18"/>
          </w:rPr>
          <w:fldChar w:fldCharType="begin"/>
        </w:r>
        <w:r w:rsidRPr="00C927B8">
          <w:rPr>
            <w:rFonts w:ascii="KievitPro-Regular" w:hAnsi="KievitPro-Regular"/>
            <w:sz w:val="18"/>
            <w:szCs w:val="18"/>
          </w:rPr>
          <w:instrText>NUMPAGES</w:instrText>
        </w:r>
        <w:r w:rsidRPr="00C927B8">
          <w:rPr>
            <w:rFonts w:ascii="KievitPro-Regular" w:hAnsi="KievitPro-Regular"/>
            <w:sz w:val="18"/>
            <w:szCs w:val="18"/>
          </w:rPr>
          <w:fldChar w:fldCharType="separate"/>
        </w:r>
        <w:r>
          <w:rPr>
            <w:rFonts w:ascii="KievitPro-Regular" w:hAnsi="KievitPro-Regular"/>
            <w:sz w:val="18"/>
            <w:szCs w:val="18"/>
          </w:rPr>
          <w:t>26</w:t>
        </w:r>
        <w:r w:rsidRPr="00C927B8">
          <w:rPr>
            <w:rFonts w:ascii="KievitPro-Regular" w:hAnsi="KievitPro-Regular"/>
            <w:sz w:val="18"/>
            <w:szCs w:val="18"/>
          </w:rPr>
          <w:fldChar w:fldCharType="end"/>
        </w:r>
        <w:r>
          <w:rPr>
            <w:rFonts w:ascii="KievitPro-Regular" w:hAnsi="KievitPro-Regular"/>
            <w:sz w:val="18"/>
            <w:szCs w:val="18"/>
          </w:rPr>
          <w:tab/>
        </w:r>
        <w:r>
          <w:rPr>
            <w:rFonts w:ascii="KievitPro-Regular" w:hAnsi="KievitPro-Regular"/>
            <w:sz w:val="18"/>
            <w:szCs w:val="18"/>
          </w:rPr>
          <w:tab/>
        </w:r>
        <w:r>
          <w:rPr>
            <w:rFonts w:ascii="KievitPro-Regular" w:hAnsi="KievitPro-Regular"/>
          </w:rPr>
          <w:t xml:space="preserve">www.fiduciairesuisse.ch </w:t>
        </w:r>
      </w:sdtContent>
    </w:sdt>
  </w:p>
  <w:p w14:paraId="53062ACC" w14:textId="77777777" w:rsidR="006A55E4" w:rsidRDefault="006A55E4">
    <w:pPr>
      <w:pStyle w:val="Fuzeile"/>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573571"/>
      <w:docPartObj>
        <w:docPartGallery w:val="Page Numbers (Bottom of Page)"/>
        <w:docPartUnique/>
      </w:docPartObj>
    </w:sdtPr>
    <w:sdtEndPr>
      <w:rPr>
        <w:rFonts w:ascii="KievitPro-Regular" w:hAnsi="KievitPro-Regular"/>
        <w:sz w:val="18"/>
        <w:szCs w:val="18"/>
      </w:rPr>
    </w:sdtEndPr>
    <w:sdtContent>
      <w:p w14:paraId="45A8187C" w14:textId="77777777" w:rsidR="00C927B8" w:rsidRDefault="00C927B8" w:rsidP="00C927B8">
        <w:pPr>
          <w:pStyle w:val="Fuzeile"/>
        </w:pPr>
      </w:p>
      <w:p w14:paraId="7835673D" w14:textId="161B258B" w:rsidR="00C927B8" w:rsidRPr="00C927B8" w:rsidRDefault="00C927B8" w:rsidP="00C927B8">
        <w:pPr>
          <w:pStyle w:val="Fuzeile"/>
          <w:rPr>
            <w:rFonts w:ascii="KievitPro-Regular" w:hAnsi="KievitPro-Regular"/>
            <w:iCs/>
            <w:sz w:val="18"/>
            <w:szCs w:val="18"/>
          </w:rPr>
        </w:pPr>
        <w:r w:rsidRPr="00C927B8">
          <w:rPr>
            <w:rFonts w:ascii="KievitPro-Regular" w:hAnsi="KievitPro-Regular"/>
            <w:sz w:val="18"/>
            <w:szCs w:val="18"/>
          </w:rPr>
          <w:fldChar w:fldCharType="begin"/>
        </w:r>
        <w:r w:rsidRPr="00C927B8">
          <w:rPr>
            <w:rFonts w:ascii="KievitPro-Regular" w:hAnsi="KievitPro-Regular"/>
            <w:sz w:val="18"/>
            <w:szCs w:val="18"/>
          </w:rPr>
          <w:instrText>PAGE   \* MERGEFORMAT</w:instrText>
        </w:r>
        <w:r w:rsidRPr="00C927B8">
          <w:rPr>
            <w:rFonts w:ascii="KievitPro-Regular" w:hAnsi="KievitPro-Regular"/>
            <w:sz w:val="18"/>
            <w:szCs w:val="18"/>
          </w:rPr>
          <w:fldChar w:fldCharType="separate"/>
        </w:r>
        <w:r>
          <w:rPr>
            <w:rFonts w:ascii="KievitPro-Regular" w:hAnsi="KievitPro-Regular"/>
            <w:sz w:val="18"/>
            <w:szCs w:val="18"/>
          </w:rPr>
          <w:t>1</w:t>
        </w:r>
        <w:r w:rsidRPr="00C927B8">
          <w:rPr>
            <w:rFonts w:ascii="KievitPro-Regular" w:hAnsi="KievitPro-Regular"/>
            <w:sz w:val="18"/>
            <w:szCs w:val="18"/>
          </w:rPr>
          <w:fldChar w:fldCharType="end"/>
        </w:r>
        <w:r w:rsidRPr="00C927B8">
          <w:rPr>
            <w:rFonts w:ascii="KievitPro-Regular" w:hAnsi="KievitPro-Regular"/>
            <w:sz w:val="18"/>
            <w:szCs w:val="18"/>
          </w:rPr>
          <w:t>/</w:t>
        </w:r>
        <w:sdt>
          <w:sdtPr>
            <w:rPr>
              <w:rFonts w:ascii="KievitPro-Regular" w:hAnsi="KievitPro-Regular"/>
              <w:sz w:val="18"/>
              <w:szCs w:val="18"/>
            </w:rPr>
            <w:id w:val="1728636285"/>
            <w:docPartObj>
              <w:docPartGallery w:val="Page Numbers (Top of Page)"/>
              <w:docPartUnique/>
            </w:docPartObj>
          </w:sdtPr>
          <w:sdtEndPr/>
          <w:sdtContent>
            <w:r w:rsidRPr="00C927B8">
              <w:rPr>
                <w:rFonts w:ascii="KievitPro-Regular" w:hAnsi="KievitPro-Regular"/>
                <w:sz w:val="18"/>
                <w:szCs w:val="18"/>
              </w:rPr>
              <w:fldChar w:fldCharType="begin"/>
            </w:r>
            <w:r w:rsidRPr="00C927B8">
              <w:rPr>
                <w:rFonts w:ascii="KievitPro-Regular" w:hAnsi="KievitPro-Regular"/>
                <w:sz w:val="18"/>
                <w:szCs w:val="18"/>
              </w:rPr>
              <w:instrText>NUMPAGES</w:instrText>
            </w:r>
            <w:r w:rsidRPr="00C927B8">
              <w:rPr>
                <w:rFonts w:ascii="KievitPro-Regular" w:hAnsi="KievitPro-Regular"/>
                <w:sz w:val="18"/>
                <w:szCs w:val="18"/>
              </w:rPr>
              <w:fldChar w:fldCharType="separate"/>
            </w:r>
            <w:r>
              <w:rPr>
                <w:rFonts w:ascii="KievitPro-Regular" w:hAnsi="KievitPro-Regular"/>
                <w:sz w:val="18"/>
                <w:szCs w:val="18"/>
              </w:rPr>
              <w:t>26</w:t>
            </w:r>
            <w:r w:rsidRPr="00C927B8">
              <w:rPr>
                <w:rFonts w:ascii="KievitPro-Regular" w:hAnsi="KievitPro-Regular"/>
                <w:sz w:val="18"/>
                <w:szCs w:val="18"/>
              </w:rPr>
              <w:fldChar w:fldCharType="end"/>
            </w:r>
            <w:r>
              <w:rPr>
                <w:rFonts w:ascii="KievitPro-Regular" w:hAnsi="KievitPro-Regular"/>
                <w:sz w:val="18"/>
                <w:szCs w:val="18"/>
              </w:rPr>
              <w:tab/>
            </w:r>
            <w:r>
              <w:rPr>
                <w:rFonts w:ascii="KievitPro-Regular" w:hAnsi="KievitPro-Regular"/>
                <w:sz w:val="18"/>
                <w:szCs w:val="18"/>
              </w:rPr>
              <w:tab/>
            </w:r>
            <w:r>
              <w:rPr>
                <w:rFonts w:ascii="KievitPro-Regular" w:hAnsi="KievitPro-Regular"/>
              </w:rPr>
              <w:t xml:space="preserve">www.fiduciairesuisse.ch </w:t>
            </w:r>
          </w:sdtContent>
        </w:sdt>
      </w:p>
    </w:sdtContent>
  </w:sdt>
  <w:p w14:paraId="7FB366B5" w14:textId="0AA6A7BF" w:rsidR="0015513E" w:rsidRDefault="001551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3B764" w14:textId="77777777" w:rsidR="00BF41A3" w:rsidRDefault="00BF41A3">
      <w:r>
        <w:separator/>
      </w:r>
    </w:p>
  </w:footnote>
  <w:footnote w:type="continuationSeparator" w:id="0">
    <w:p w14:paraId="765466C7" w14:textId="77777777" w:rsidR="00BF41A3" w:rsidRDefault="00BF41A3">
      <w:r>
        <w:continuationSeparator/>
      </w:r>
    </w:p>
  </w:footnote>
  <w:footnote w:id="1">
    <w:p w14:paraId="2B5581E0" w14:textId="77777777" w:rsidR="00C927B8" w:rsidRPr="00396ACE" w:rsidRDefault="00C927B8" w:rsidP="00C927B8">
      <w:pPr>
        <w:pStyle w:val="Funotentext"/>
        <w:rPr>
          <w:lang w:val="fr-CH"/>
        </w:rPr>
      </w:pPr>
      <w:r w:rsidRPr="00396ACE">
        <w:rPr>
          <w:rStyle w:val="Funotenzeichen"/>
          <w:lang w:val="fr-CH"/>
        </w:rPr>
        <w:footnoteRef/>
      </w:r>
      <w:r w:rsidRPr="00396ACE">
        <w:rPr>
          <w:lang w:val="fr-CH"/>
        </w:rPr>
        <w:t xml:space="preserve"> </w:t>
      </w:r>
      <w:r w:rsidRPr="00C927B8">
        <w:rPr>
          <w:i/>
          <w:iCs/>
          <w:sz w:val="18"/>
          <w:szCs w:val="18"/>
          <w:lang w:val="fr-CH"/>
        </w:rPr>
        <w:t>Les exigences des normes ISQM-CH 1, ISQM-CH 2 et ISA-CH 220 doivent être appliquées par les entreprises qui effectuent, par exemple, des contrôles ordinaires ainsi que des contrôles spéciaux. Pour les autres conditions d’application, voir la circulaire 1/2014 de l’ASR, ch. 8. Remarque : EXPERTsuisse exige en outre de ses membres l’application obligatoire des normes ISQM-CH 1, ISQM-CH 2 et ISA-CH 220.</w:t>
      </w:r>
    </w:p>
  </w:footnote>
  <w:footnote w:id="2">
    <w:p w14:paraId="0A6449B7" w14:textId="77777777" w:rsidR="00C927B8" w:rsidRPr="00C927B8" w:rsidRDefault="00C927B8" w:rsidP="00C927B8">
      <w:pPr>
        <w:pStyle w:val="Funotentext"/>
        <w:rPr>
          <w:i/>
          <w:iCs/>
          <w:sz w:val="18"/>
          <w:szCs w:val="18"/>
          <w:lang w:val="fr-CH"/>
        </w:rPr>
      </w:pPr>
      <w:r w:rsidRPr="00CB6791">
        <w:rPr>
          <w:rStyle w:val="Funotenzeichen"/>
          <w:lang w:val="fr-CH"/>
        </w:rPr>
        <w:footnoteRef/>
      </w:r>
      <w:r w:rsidRPr="00CB6791">
        <w:rPr>
          <w:lang w:val="fr-CH"/>
        </w:rPr>
        <w:t xml:space="preserve"> </w:t>
      </w:r>
      <w:r w:rsidRPr="00C927B8">
        <w:rPr>
          <w:i/>
          <w:iCs/>
          <w:sz w:val="18"/>
          <w:szCs w:val="18"/>
          <w:lang w:val="fr-CH"/>
        </w:rPr>
        <w:t>Remarque: Les entreprises de révision qui ne sont membres ni d’EXPERTsuisse ni de FIDUCIAIRE|SUISSE doivent, conformément aux exigences de l’ASR, veiller à ce que les exigences en matière de formation continue de l’une de ces deux associations soient respectées.</w:t>
      </w:r>
    </w:p>
  </w:footnote>
  <w:footnote w:id="3">
    <w:p w14:paraId="446CB511" w14:textId="77777777" w:rsidR="00C927B8" w:rsidRPr="00200D2B" w:rsidRDefault="00C927B8" w:rsidP="00C927B8">
      <w:pPr>
        <w:pStyle w:val="Funotentext"/>
        <w:rPr>
          <w:sz w:val="18"/>
          <w:szCs w:val="18"/>
        </w:rPr>
      </w:pPr>
      <w:r w:rsidRPr="00C927B8">
        <w:rPr>
          <w:rStyle w:val="Funotenzeichen"/>
          <w:i/>
          <w:iCs/>
          <w:sz w:val="18"/>
          <w:szCs w:val="18"/>
          <w:lang w:val="fr-CH"/>
        </w:rPr>
        <w:footnoteRef/>
      </w:r>
      <w:r w:rsidRPr="00C927B8">
        <w:rPr>
          <w:i/>
          <w:iCs/>
          <w:sz w:val="18"/>
          <w:szCs w:val="18"/>
          <w:lang w:val="fr-CH"/>
        </w:rPr>
        <w:t xml:space="preserve"> Remarque : L’affiliation d’une entreprise de révision ou d’une personne physique à une association professionnelle ne dispense pas l’entreprise de révision de l’obligation de mettre en place un contrôle interne de la formation continue et d’en assurer la documentation.</w:t>
      </w:r>
    </w:p>
  </w:footnote>
  <w:footnote w:id="4">
    <w:p w14:paraId="196B20E0" w14:textId="77777777" w:rsidR="00C927B8" w:rsidRPr="00A23C6C" w:rsidRDefault="00C927B8" w:rsidP="00C927B8">
      <w:pPr>
        <w:pStyle w:val="Funotentext"/>
      </w:pPr>
      <w:r>
        <w:rPr>
          <w:rStyle w:val="Funotenzeichen"/>
        </w:rPr>
        <w:footnoteRef/>
      </w:r>
      <w:r w:rsidRPr="00A23C6C">
        <w:t xml:space="preserve"> </w:t>
      </w:r>
      <w:r w:rsidRPr="00C927B8">
        <w:rPr>
          <w:i/>
          <w:iCs/>
          <w:sz w:val="18"/>
          <w:szCs w:val="18"/>
          <w:lang w:val="fr-CH"/>
        </w:rPr>
        <w:t>L'ASR considère que l'alternative 2 n'est plus conforme aux pratiques actuelles. Si cette alternative est néanmoins retenue, elle exige que les informations ne puissent plus être modifiées après l'impression, ni être réimprimées et classées une seconde fois. En outre, les documents imprimés doivent être datés sur chaque page et visés par le réviseur responsable. L'ASR recommande toutefois une solution entièrement électronique.</w:t>
      </w:r>
    </w:p>
  </w:footnote>
  <w:footnote w:id="5">
    <w:p w14:paraId="3DD8E0BB" w14:textId="77777777" w:rsidR="00C927B8" w:rsidRPr="004409DF" w:rsidRDefault="00C927B8" w:rsidP="00C927B8">
      <w:pPr>
        <w:pStyle w:val="Funotentext"/>
      </w:pPr>
      <w:r>
        <w:rPr>
          <w:rStyle w:val="Funotenzeichen"/>
        </w:rPr>
        <w:footnoteRef/>
      </w:r>
      <w:r w:rsidRPr="004409DF">
        <w:t xml:space="preserve"> </w:t>
      </w:r>
      <w:r w:rsidRPr="00C927B8">
        <w:rPr>
          <w:rFonts w:cs="Arial"/>
          <w:i/>
          <w:iCs/>
          <w:sz w:val="18"/>
          <w:szCs w:val="18"/>
        </w:rPr>
        <w:t>Un tel cycle de trois ans est considéré comme une bonne pratique, y compris pour les PME (cf. EXPERTsuisse, Guide suisse sur le contrôle qualité dans l’audit, mise en œuvre de la norme ISQC-CH 1 dans les PME, édition 2024, ch. 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CD71" w14:textId="4D8614AC" w:rsidR="006A55E4" w:rsidRPr="000A7994" w:rsidRDefault="00D9704D" w:rsidP="00985540">
    <w:pPr>
      <w:pStyle w:val="Kopfzeile"/>
      <w:tabs>
        <w:tab w:val="clear" w:pos="9072"/>
        <w:tab w:val="right" w:pos="9498"/>
      </w:tabs>
      <w:ind w:left="-1418"/>
      <w:rPr>
        <w:sz w:val="16"/>
      </w:rPr>
    </w:pPr>
    <w:r>
      <w:rPr>
        <w:noProof/>
        <w:lang w:eastAsia="de-CH"/>
      </w:rPr>
      <w:drawing>
        <wp:inline distT="0" distB="0" distL="0" distR="0" wp14:anchorId="471D829E" wp14:editId="481E4D3E">
          <wp:extent cx="7591425" cy="685800"/>
          <wp:effectExtent l="0" t="0" r="9525" b="0"/>
          <wp:docPr id="2" name="Grafik 2" descr="50744_Treuhand_Suisse_Dokument_Kopfzeile_210x19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744_Treuhand_Suisse_Dokument_Kopfzeile_210x19_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800"/>
                  </a:xfrm>
                  <a:prstGeom prst="rect">
                    <a:avLst/>
                  </a:prstGeom>
                  <a:noFill/>
                  <a:ln>
                    <a:noFill/>
                  </a:ln>
                </pic:spPr>
              </pic:pic>
            </a:graphicData>
          </a:graphic>
        </wp:inline>
      </w:drawing>
    </w:r>
    <w:r w:rsidR="006A55E4">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B6A0" w14:textId="3AE2AD95" w:rsidR="0015513E" w:rsidRDefault="00D9704D" w:rsidP="00985540">
    <w:pPr>
      <w:pStyle w:val="Kopfzeile"/>
      <w:ind w:left="-1418"/>
    </w:pPr>
    <w:r>
      <w:rPr>
        <w:noProof/>
        <w:lang w:eastAsia="de-CH"/>
      </w:rPr>
      <w:drawing>
        <wp:inline distT="0" distB="0" distL="0" distR="0" wp14:anchorId="16D8AC97" wp14:editId="22914A78">
          <wp:extent cx="7591425" cy="685800"/>
          <wp:effectExtent l="0" t="0" r="9525" b="0"/>
          <wp:docPr id="1" name="Grafik 1" descr="50744_Treuhand_Suisse_Dokument_Kopfzeile_210x19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744_Treuhand_Suisse_Dokument_Kopfzeile_210x19_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425"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E6A4E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EAC57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49ACC4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88279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52453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14E6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90262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B4A8D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4C28C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83ACCFD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864CE6"/>
    <w:multiLevelType w:val="multilevel"/>
    <w:tmpl w:val="A6741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CF5162"/>
    <w:multiLevelType w:val="multilevel"/>
    <w:tmpl w:val="A7BA2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0CD62BF2"/>
    <w:multiLevelType w:val="multilevel"/>
    <w:tmpl w:val="1FCA0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E53DA2"/>
    <w:multiLevelType w:val="multilevel"/>
    <w:tmpl w:val="04070025"/>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14" w15:restartNumberingAfterBreak="0">
    <w:nsid w:val="0EF20B42"/>
    <w:multiLevelType w:val="multilevel"/>
    <w:tmpl w:val="C9FA2F0A"/>
    <w:lvl w:ilvl="0">
      <w:start w:val="1"/>
      <w:numFmt w:val="decimal"/>
      <w:lvlText w:val="%1"/>
      <w:lvlJc w:val="left"/>
      <w:pPr>
        <w:ind w:left="2629"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1378213C"/>
    <w:multiLevelType w:val="multilevel"/>
    <w:tmpl w:val="800E29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56F7C68"/>
    <w:multiLevelType w:val="hybridMultilevel"/>
    <w:tmpl w:val="F21E04B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2B2E4FEE"/>
    <w:multiLevelType w:val="hybridMultilevel"/>
    <w:tmpl w:val="92A0889E"/>
    <w:lvl w:ilvl="0" w:tplc="0C800894">
      <w:start w:val="1"/>
      <w:numFmt w:val="decimal"/>
      <w:lvlText w:val="%1."/>
      <w:lvlJc w:val="left"/>
      <w:pPr>
        <w:ind w:left="720" w:hanging="360"/>
      </w:pPr>
    </w:lvl>
    <w:lvl w:ilvl="1" w:tplc="0807000F">
      <w:start w:val="1"/>
      <w:numFmt w:val="decimal"/>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2DD16AE0"/>
    <w:multiLevelType w:val="hybridMultilevel"/>
    <w:tmpl w:val="3EA23A1E"/>
    <w:lvl w:ilvl="0" w:tplc="C3844D42">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3F38059F"/>
    <w:multiLevelType w:val="multilevel"/>
    <w:tmpl w:val="987EA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58F4E8A"/>
    <w:multiLevelType w:val="hybridMultilevel"/>
    <w:tmpl w:val="28A6E728"/>
    <w:lvl w:ilvl="0" w:tplc="88467684">
      <w:start w:val="3"/>
      <w:numFmt w:val="bullet"/>
      <w:lvlText w:val="-"/>
      <w:lvlJc w:val="left"/>
      <w:pPr>
        <w:ind w:left="360" w:hanging="360"/>
      </w:pPr>
      <w:rPr>
        <w:rFonts w:ascii="KievitPro-Regular" w:eastAsia="Times New Roman" w:hAnsi="KievitPro-Regular" w:cs="Times New Roman"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15:restartNumberingAfterBreak="0">
    <w:nsid w:val="49BA3318"/>
    <w:multiLevelType w:val="hybridMultilevel"/>
    <w:tmpl w:val="A9D6151A"/>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9BA653B"/>
    <w:multiLevelType w:val="hybridMultilevel"/>
    <w:tmpl w:val="8D6018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6A5A5581"/>
    <w:multiLevelType w:val="hybridMultilevel"/>
    <w:tmpl w:val="0F1C1EA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981763784">
    <w:abstractNumId w:val="9"/>
  </w:num>
  <w:num w:numId="2" w16cid:durableId="34280793">
    <w:abstractNumId w:val="7"/>
  </w:num>
  <w:num w:numId="3" w16cid:durableId="1963657159">
    <w:abstractNumId w:val="6"/>
  </w:num>
  <w:num w:numId="4" w16cid:durableId="1636062395">
    <w:abstractNumId w:val="5"/>
  </w:num>
  <w:num w:numId="5" w16cid:durableId="1584486045">
    <w:abstractNumId w:val="4"/>
  </w:num>
  <w:num w:numId="6" w16cid:durableId="1505243982">
    <w:abstractNumId w:val="8"/>
  </w:num>
  <w:num w:numId="7" w16cid:durableId="352344465">
    <w:abstractNumId w:val="3"/>
  </w:num>
  <w:num w:numId="8" w16cid:durableId="1209490618">
    <w:abstractNumId w:val="2"/>
  </w:num>
  <w:num w:numId="9" w16cid:durableId="1720931464">
    <w:abstractNumId w:val="1"/>
  </w:num>
  <w:num w:numId="10" w16cid:durableId="870994332">
    <w:abstractNumId w:val="0"/>
  </w:num>
  <w:num w:numId="11" w16cid:durableId="684669562">
    <w:abstractNumId w:val="13"/>
  </w:num>
  <w:num w:numId="12" w16cid:durableId="1785733552">
    <w:abstractNumId w:val="21"/>
  </w:num>
  <w:num w:numId="13" w16cid:durableId="810052425">
    <w:abstractNumId w:val="15"/>
  </w:num>
  <w:num w:numId="14" w16cid:durableId="1666589387">
    <w:abstractNumId w:val="20"/>
  </w:num>
  <w:num w:numId="15" w16cid:durableId="239217564">
    <w:abstractNumId w:val="23"/>
  </w:num>
  <w:num w:numId="16" w16cid:durableId="1532259780">
    <w:abstractNumId w:val="24"/>
  </w:num>
  <w:num w:numId="17" w16cid:durableId="614480344">
    <w:abstractNumId w:val="17"/>
  </w:num>
  <w:num w:numId="18" w16cid:durableId="979729283">
    <w:abstractNumId w:val="13"/>
  </w:num>
  <w:num w:numId="19" w16cid:durableId="1473451142">
    <w:abstractNumId w:val="13"/>
  </w:num>
  <w:num w:numId="20" w16cid:durableId="1468627566">
    <w:abstractNumId w:val="13"/>
  </w:num>
  <w:num w:numId="21" w16cid:durableId="1448088697">
    <w:abstractNumId w:val="10"/>
  </w:num>
  <w:num w:numId="22" w16cid:durableId="1695577246">
    <w:abstractNumId w:val="12"/>
  </w:num>
  <w:num w:numId="23" w16cid:durableId="289675814">
    <w:abstractNumId w:val="14"/>
  </w:num>
  <w:num w:numId="24" w16cid:durableId="1354452233">
    <w:abstractNumId w:val="18"/>
  </w:num>
  <w:num w:numId="25" w16cid:durableId="2136481826">
    <w:abstractNumId w:val="22"/>
  </w:num>
  <w:num w:numId="26" w16cid:durableId="919025694">
    <w:abstractNumId w:val="16"/>
  </w:num>
  <w:num w:numId="27" w16cid:durableId="1837382830">
    <w:abstractNumId w:val="11"/>
  </w:num>
  <w:num w:numId="28" w16cid:durableId="2019699537">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PSpeechSession$" w:val="FALSE"/>
    <w:docVar w:name="IPSpeechSessionSaved$" w:val="FALSE"/>
  </w:docVars>
  <w:rsids>
    <w:rsidRoot w:val="00B06F23"/>
    <w:rsid w:val="00000C03"/>
    <w:rsid w:val="000027D7"/>
    <w:rsid w:val="00011F65"/>
    <w:rsid w:val="00014FE7"/>
    <w:rsid w:val="00022146"/>
    <w:rsid w:val="00030A1D"/>
    <w:rsid w:val="00031143"/>
    <w:rsid w:val="0003353D"/>
    <w:rsid w:val="00034EC8"/>
    <w:rsid w:val="00043367"/>
    <w:rsid w:val="00044DA3"/>
    <w:rsid w:val="0004654A"/>
    <w:rsid w:val="00051E56"/>
    <w:rsid w:val="00060285"/>
    <w:rsid w:val="0006474C"/>
    <w:rsid w:val="00066A1A"/>
    <w:rsid w:val="00072264"/>
    <w:rsid w:val="00077D95"/>
    <w:rsid w:val="00096A19"/>
    <w:rsid w:val="000A4888"/>
    <w:rsid w:val="000A7994"/>
    <w:rsid w:val="000B6002"/>
    <w:rsid w:val="000B7B7E"/>
    <w:rsid w:val="000C1B45"/>
    <w:rsid w:val="000C2409"/>
    <w:rsid w:val="000C6262"/>
    <w:rsid w:val="000C7C33"/>
    <w:rsid w:val="000D3F3A"/>
    <w:rsid w:val="000D6B47"/>
    <w:rsid w:val="000E11F3"/>
    <w:rsid w:val="000E6A05"/>
    <w:rsid w:val="000E747F"/>
    <w:rsid w:val="000F1A95"/>
    <w:rsid w:val="000F325B"/>
    <w:rsid w:val="00101061"/>
    <w:rsid w:val="00102EBF"/>
    <w:rsid w:val="00110148"/>
    <w:rsid w:val="0012328F"/>
    <w:rsid w:val="0012347A"/>
    <w:rsid w:val="0013786E"/>
    <w:rsid w:val="00144323"/>
    <w:rsid w:val="00145A51"/>
    <w:rsid w:val="001530A0"/>
    <w:rsid w:val="0015437A"/>
    <w:rsid w:val="0015513E"/>
    <w:rsid w:val="00164C3A"/>
    <w:rsid w:val="001679DB"/>
    <w:rsid w:val="00170985"/>
    <w:rsid w:val="001725F0"/>
    <w:rsid w:val="00174A28"/>
    <w:rsid w:val="00174A88"/>
    <w:rsid w:val="0018046C"/>
    <w:rsid w:val="001A4D24"/>
    <w:rsid w:val="001A54D8"/>
    <w:rsid w:val="001B0079"/>
    <w:rsid w:val="001B18F0"/>
    <w:rsid w:val="001D2316"/>
    <w:rsid w:val="001D2452"/>
    <w:rsid w:val="001E530F"/>
    <w:rsid w:val="00204444"/>
    <w:rsid w:val="002120A4"/>
    <w:rsid w:val="0021610B"/>
    <w:rsid w:val="00226832"/>
    <w:rsid w:val="00230144"/>
    <w:rsid w:val="002356A0"/>
    <w:rsid w:val="002369D3"/>
    <w:rsid w:val="00240800"/>
    <w:rsid w:val="002456E2"/>
    <w:rsid w:val="002653C6"/>
    <w:rsid w:val="002718A0"/>
    <w:rsid w:val="002723DB"/>
    <w:rsid w:val="0027665E"/>
    <w:rsid w:val="00281641"/>
    <w:rsid w:val="002A7AFF"/>
    <w:rsid w:val="002B0BE7"/>
    <w:rsid w:val="002C2C7D"/>
    <w:rsid w:val="002D2F05"/>
    <w:rsid w:val="002E3EF6"/>
    <w:rsid w:val="002E6CCA"/>
    <w:rsid w:val="002F4559"/>
    <w:rsid w:val="002F5F8A"/>
    <w:rsid w:val="00304E79"/>
    <w:rsid w:val="00310D19"/>
    <w:rsid w:val="003149D7"/>
    <w:rsid w:val="00315E83"/>
    <w:rsid w:val="00323419"/>
    <w:rsid w:val="003314C9"/>
    <w:rsid w:val="00337F3E"/>
    <w:rsid w:val="003429F7"/>
    <w:rsid w:val="00345540"/>
    <w:rsid w:val="003565AD"/>
    <w:rsid w:val="00375A89"/>
    <w:rsid w:val="00383EAE"/>
    <w:rsid w:val="00384BBA"/>
    <w:rsid w:val="00393036"/>
    <w:rsid w:val="00394B1E"/>
    <w:rsid w:val="00394E38"/>
    <w:rsid w:val="003B7168"/>
    <w:rsid w:val="003E1BCC"/>
    <w:rsid w:val="003E1C3E"/>
    <w:rsid w:val="003E26AD"/>
    <w:rsid w:val="003E2702"/>
    <w:rsid w:val="003E3625"/>
    <w:rsid w:val="003E69D0"/>
    <w:rsid w:val="003F12C0"/>
    <w:rsid w:val="00421161"/>
    <w:rsid w:val="00422058"/>
    <w:rsid w:val="00425784"/>
    <w:rsid w:val="004303D5"/>
    <w:rsid w:val="004377F1"/>
    <w:rsid w:val="00441B9B"/>
    <w:rsid w:val="00443E5B"/>
    <w:rsid w:val="00455D8E"/>
    <w:rsid w:val="004578A8"/>
    <w:rsid w:val="004601B6"/>
    <w:rsid w:val="0046052A"/>
    <w:rsid w:val="004624F4"/>
    <w:rsid w:val="00465695"/>
    <w:rsid w:val="00467CDC"/>
    <w:rsid w:val="00470147"/>
    <w:rsid w:val="004735F8"/>
    <w:rsid w:val="004759BC"/>
    <w:rsid w:val="00476B5A"/>
    <w:rsid w:val="0048052C"/>
    <w:rsid w:val="004862FE"/>
    <w:rsid w:val="00491672"/>
    <w:rsid w:val="00491BE7"/>
    <w:rsid w:val="00493F6A"/>
    <w:rsid w:val="004A1404"/>
    <w:rsid w:val="004A3868"/>
    <w:rsid w:val="004B66B4"/>
    <w:rsid w:val="004B7FCC"/>
    <w:rsid w:val="004C17BC"/>
    <w:rsid w:val="004C391A"/>
    <w:rsid w:val="004C7F44"/>
    <w:rsid w:val="004D06E9"/>
    <w:rsid w:val="004D6744"/>
    <w:rsid w:val="004D67B5"/>
    <w:rsid w:val="004F2FF0"/>
    <w:rsid w:val="004F73AE"/>
    <w:rsid w:val="00504080"/>
    <w:rsid w:val="0050586D"/>
    <w:rsid w:val="005107ED"/>
    <w:rsid w:val="00522300"/>
    <w:rsid w:val="00522AC4"/>
    <w:rsid w:val="00526F16"/>
    <w:rsid w:val="00535282"/>
    <w:rsid w:val="00546D74"/>
    <w:rsid w:val="00564EE4"/>
    <w:rsid w:val="00571136"/>
    <w:rsid w:val="00573278"/>
    <w:rsid w:val="005825E4"/>
    <w:rsid w:val="005878B2"/>
    <w:rsid w:val="005A2704"/>
    <w:rsid w:val="005A2741"/>
    <w:rsid w:val="005B719D"/>
    <w:rsid w:val="005C374C"/>
    <w:rsid w:val="005C676F"/>
    <w:rsid w:val="005E05A8"/>
    <w:rsid w:val="005F1CC3"/>
    <w:rsid w:val="005F4A29"/>
    <w:rsid w:val="006003C8"/>
    <w:rsid w:val="00602170"/>
    <w:rsid w:val="0060673D"/>
    <w:rsid w:val="00607B2C"/>
    <w:rsid w:val="006238F4"/>
    <w:rsid w:val="00631204"/>
    <w:rsid w:val="00634458"/>
    <w:rsid w:val="00635E7E"/>
    <w:rsid w:val="00642E5B"/>
    <w:rsid w:val="00650B30"/>
    <w:rsid w:val="00655803"/>
    <w:rsid w:val="006607B9"/>
    <w:rsid w:val="00662FF0"/>
    <w:rsid w:val="00663EC4"/>
    <w:rsid w:val="00667ABF"/>
    <w:rsid w:val="00675162"/>
    <w:rsid w:val="0069052E"/>
    <w:rsid w:val="00692882"/>
    <w:rsid w:val="006945D8"/>
    <w:rsid w:val="006A0E6E"/>
    <w:rsid w:val="006A55E4"/>
    <w:rsid w:val="006B2AE1"/>
    <w:rsid w:val="006B5914"/>
    <w:rsid w:val="006B7908"/>
    <w:rsid w:val="006C34ED"/>
    <w:rsid w:val="006C390B"/>
    <w:rsid w:val="006D6F4B"/>
    <w:rsid w:val="006D71E7"/>
    <w:rsid w:val="006E5CE6"/>
    <w:rsid w:val="00704FB2"/>
    <w:rsid w:val="00705010"/>
    <w:rsid w:val="00711B71"/>
    <w:rsid w:val="007203AC"/>
    <w:rsid w:val="00737F08"/>
    <w:rsid w:val="00743283"/>
    <w:rsid w:val="0074346B"/>
    <w:rsid w:val="00760CD8"/>
    <w:rsid w:val="00762F93"/>
    <w:rsid w:val="00767821"/>
    <w:rsid w:val="0077055E"/>
    <w:rsid w:val="00776ED8"/>
    <w:rsid w:val="007827CA"/>
    <w:rsid w:val="007A2A1B"/>
    <w:rsid w:val="007A76AA"/>
    <w:rsid w:val="007B091F"/>
    <w:rsid w:val="007B2DA9"/>
    <w:rsid w:val="007B75FB"/>
    <w:rsid w:val="007C2F13"/>
    <w:rsid w:val="007C31AA"/>
    <w:rsid w:val="007D32FC"/>
    <w:rsid w:val="007E1BDB"/>
    <w:rsid w:val="007E1C4D"/>
    <w:rsid w:val="007E5835"/>
    <w:rsid w:val="007E58AA"/>
    <w:rsid w:val="007E5E0A"/>
    <w:rsid w:val="007F538A"/>
    <w:rsid w:val="00802B8C"/>
    <w:rsid w:val="00810A6C"/>
    <w:rsid w:val="00813ED9"/>
    <w:rsid w:val="008160B9"/>
    <w:rsid w:val="008166D1"/>
    <w:rsid w:val="00822233"/>
    <w:rsid w:val="00824E43"/>
    <w:rsid w:val="00825C49"/>
    <w:rsid w:val="008275E3"/>
    <w:rsid w:val="008326B5"/>
    <w:rsid w:val="008630BE"/>
    <w:rsid w:val="00864782"/>
    <w:rsid w:val="00865C66"/>
    <w:rsid w:val="008672C9"/>
    <w:rsid w:val="00867A45"/>
    <w:rsid w:val="0088750A"/>
    <w:rsid w:val="00887554"/>
    <w:rsid w:val="008903D9"/>
    <w:rsid w:val="008A07B1"/>
    <w:rsid w:val="008A429E"/>
    <w:rsid w:val="008B644E"/>
    <w:rsid w:val="008C2574"/>
    <w:rsid w:val="008D12D6"/>
    <w:rsid w:val="008D5272"/>
    <w:rsid w:val="008D5662"/>
    <w:rsid w:val="008E58BF"/>
    <w:rsid w:val="008F4738"/>
    <w:rsid w:val="008F5A12"/>
    <w:rsid w:val="0090004A"/>
    <w:rsid w:val="00902D7B"/>
    <w:rsid w:val="009143B5"/>
    <w:rsid w:val="0091573C"/>
    <w:rsid w:val="00934B08"/>
    <w:rsid w:val="009467F8"/>
    <w:rsid w:val="009471A3"/>
    <w:rsid w:val="009478D6"/>
    <w:rsid w:val="0095267C"/>
    <w:rsid w:val="0095497A"/>
    <w:rsid w:val="00965BEB"/>
    <w:rsid w:val="0096746E"/>
    <w:rsid w:val="00970DCB"/>
    <w:rsid w:val="009738B8"/>
    <w:rsid w:val="00980258"/>
    <w:rsid w:val="0098247B"/>
    <w:rsid w:val="009845E8"/>
    <w:rsid w:val="00985540"/>
    <w:rsid w:val="009950BD"/>
    <w:rsid w:val="00997D54"/>
    <w:rsid w:val="009A2785"/>
    <w:rsid w:val="009A6A3C"/>
    <w:rsid w:val="009B5205"/>
    <w:rsid w:val="009C0B54"/>
    <w:rsid w:val="009C448E"/>
    <w:rsid w:val="009D1E4F"/>
    <w:rsid w:val="009D4FD9"/>
    <w:rsid w:val="009D7702"/>
    <w:rsid w:val="009E0B29"/>
    <w:rsid w:val="009F0FF3"/>
    <w:rsid w:val="00A0143D"/>
    <w:rsid w:val="00A023CC"/>
    <w:rsid w:val="00A13812"/>
    <w:rsid w:val="00A307C8"/>
    <w:rsid w:val="00A325D1"/>
    <w:rsid w:val="00A33218"/>
    <w:rsid w:val="00A41B20"/>
    <w:rsid w:val="00A44292"/>
    <w:rsid w:val="00A46E00"/>
    <w:rsid w:val="00A5100D"/>
    <w:rsid w:val="00A55AA7"/>
    <w:rsid w:val="00A57521"/>
    <w:rsid w:val="00A7402A"/>
    <w:rsid w:val="00A75EF5"/>
    <w:rsid w:val="00A76ABE"/>
    <w:rsid w:val="00A7761B"/>
    <w:rsid w:val="00A8442B"/>
    <w:rsid w:val="00A84AF9"/>
    <w:rsid w:val="00A84FE2"/>
    <w:rsid w:val="00A879D9"/>
    <w:rsid w:val="00A95016"/>
    <w:rsid w:val="00A971BA"/>
    <w:rsid w:val="00AB0C6B"/>
    <w:rsid w:val="00AB2E7C"/>
    <w:rsid w:val="00AB32DB"/>
    <w:rsid w:val="00AB434A"/>
    <w:rsid w:val="00AD1BF5"/>
    <w:rsid w:val="00AD4626"/>
    <w:rsid w:val="00AE469E"/>
    <w:rsid w:val="00AE4EF4"/>
    <w:rsid w:val="00AE5A0C"/>
    <w:rsid w:val="00B06F23"/>
    <w:rsid w:val="00B1040B"/>
    <w:rsid w:val="00B16EC7"/>
    <w:rsid w:val="00B17EDA"/>
    <w:rsid w:val="00B21A8F"/>
    <w:rsid w:val="00B224E2"/>
    <w:rsid w:val="00B24B1C"/>
    <w:rsid w:val="00B26A26"/>
    <w:rsid w:val="00B27B41"/>
    <w:rsid w:val="00B35FA8"/>
    <w:rsid w:val="00B43B78"/>
    <w:rsid w:val="00B47370"/>
    <w:rsid w:val="00B47E5F"/>
    <w:rsid w:val="00B62A15"/>
    <w:rsid w:val="00B62FDF"/>
    <w:rsid w:val="00B70A95"/>
    <w:rsid w:val="00B7114F"/>
    <w:rsid w:val="00B75A44"/>
    <w:rsid w:val="00B76B82"/>
    <w:rsid w:val="00B775E1"/>
    <w:rsid w:val="00B8021D"/>
    <w:rsid w:val="00B81835"/>
    <w:rsid w:val="00B8349A"/>
    <w:rsid w:val="00B8513F"/>
    <w:rsid w:val="00B866E3"/>
    <w:rsid w:val="00B91A92"/>
    <w:rsid w:val="00B9453C"/>
    <w:rsid w:val="00B972B5"/>
    <w:rsid w:val="00BA2AFB"/>
    <w:rsid w:val="00BA46C3"/>
    <w:rsid w:val="00BC2DC7"/>
    <w:rsid w:val="00BC5263"/>
    <w:rsid w:val="00BD4F8D"/>
    <w:rsid w:val="00BF165F"/>
    <w:rsid w:val="00BF41A3"/>
    <w:rsid w:val="00C012D3"/>
    <w:rsid w:val="00C0342D"/>
    <w:rsid w:val="00C0466B"/>
    <w:rsid w:val="00C06F70"/>
    <w:rsid w:val="00C07BC3"/>
    <w:rsid w:val="00C07E4D"/>
    <w:rsid w:val="00C2424B"/>
    <w:rsid w:val="00C3472E"/>
    <w:rsid w:val="00C36DEB"/>
    <w:rsid w:val="00C44883"/>
    <w:rsid w:val="00C479DD"/>
    <w:rsid w:val="00C5100B"/>
    <w:rsid w:val="00C55E55"/>
    <w:rsid w:val="00C678B1"/>
    <w:rsid w:val="00C70B6F"/>
    <w:rsid w:val="00C84A8B"/>
    <w:rsid w:val="00C85AAF"/>
    <w:rsid w:val="00C86CC1"/>
    <w:rsid w:val="00C87E74"/>
    <w:rsid w:val="00C927B8"/>
    <w:rsid w:val="00C94A72"/>
    <w:rsid w:val="00C95DDE"/>
    <w:rsid w:val="00CA62C6"/>
    <w:rsid w:val="00CB391A"/>
    <w:rsid w:val="00CB6C33"/>
    <w:rsid w:val="00CB7581"/>
    <w:rsid w:val="00CC07D8"/>
    <w:rsid w:val="00CC1CB1"/>
    <w:rsid w:val="00CC502D"/>
    <w:rsid w:val="00CC7C9E"/>
    <w:rsid w:val="00CD451B"/>
    <w:rsid w:val="00CD79B0"/>
    <w:rsid w:val="00CE5E8E"/>
    <w:rsid w:val="00CF4B3F"/>
    <w:rsid w:val="00D110EA"/>
    <w:rsid w:val="00D11B1C"/>
    <w:rsid w:val="00D15BA5"/>
    <w:rsid w:val="00D27B96"/>
    <w:rsid w:val="00D30D7A"/>
    <w:rsid w:val="00D35A2D"/>
    <w:rsid w:val="00D5243F"/>
    <w:rsid w:val="00D5432F"/>
    <w:rsid w:val="00D546B1"/>
    <w:rsid w:val="00D5764A"/>
    <w:rsid w:val="00D613EB"/>
    <w:rsid w:val="00D634BB"/>
    <w:rsid w:val="00D65B18"/>
    <w:rsid w:val="00D8046F"/>
    <w:rsid w:val="00D84062"/>
    <w:rsid w:val="00D84224"/>
    <w:rsid w:val="00D9704D"/>
    <w:rsid w:val="00DA2416"/>
    <w:rsid w:val="00DB1BE3"/>
    <w:rsid w:val="00DB701A"/>
    <w:rsid w:val="00DC402E"/>
    <w:rsid w:val="00DE084F"/>
    <w:rsid w:val="00DF141B"/>
    <w:rsid w:val="00DF2447"/>
    <w:rsid w:val="00DF2D46"/>
    <w:rsid w:val="00DF58D6"/>
    <w:rsid w:val="00E07034"/>
    <w:rsid w:val="00E10547"/>
    <w:rsid w:val="00E11D75"/>
    <w:rsid w:val="00E14F83"/>
    <w:rsid w:val="00E17F7A"/>
    <w:rsid w:val="00E20681"/>
    <w:rsid w:val="00E22AF9"/>
    <w:rsid w:val="00E24752"/>
    <w:rsid w:val="00E25EFC"/>
    <w:rsid w:val="00E26038"/>
    <w:rsid w:val="00E3110D"/>
    <w:rsid w:val="00E47614"/>
    <w:rsid w:val="00E527F0"/>
    <w:rsid w:val="00E5623B"/>
    <w:rsid w:val="00E5723C"/>
    <w:rsid w:val="00E60D1E"/>
    <w:rsid w:val="00E618C5"/>
    <w:rsid w:val="00E733A6"/>
    <w:rsid w:val="00E80C21"/>
    <w:rsid w:val="00E83F13"/>
    <w:rsid w:val="00E86BDC"/>
    <w:rsid w:val="00E87ACF"/>
    <w:rsid w:val="00E92557"/>
    <w:rsid w:val="00E93342"/>
    <w:rsid w:val="00EA2946"/>
    <w:rsid w:val="00EB114D"/>
    <w:rsid w:val="00EB5313"/>
    <w:rsid w:val="00EB65CC"/>
    <w:rsid w:val="00EB70BB"/>
    <w:rsid w:val="00EC04FE"/>
    <w:rsid w:val="00EC7915"/>
    <w:rsid w:val="00ED3956"/>
    <w:rsid w:val="00ED4046"/>
    <w:rsid w:val="00ED414C"/>
    <w:rsid w:val="00EE1788"/>
    <w:rsid w:val="00EF0045"/>
    <w:rsid w:val="00EF3687"/>
    <w:rsid w:val="00F071AA"/>
    <w:rsid w:val="00F072F9"/>
    <w:rsid w:val="00F1182D"/>
    <w:rsid w:val="00F17425"/>
    <w:rsid w:val="00F20EE9"/>
    <w:rsid w:val="00F232BC"/>
    <w:rsid w:val="00F25AB9"/>
    <w:rsid w:val="00F26DE6"/>
    <w:rsid w:val="00F347B6"/>
    <w:rsid w:val="00F35AA7"/>
    <w:rsid w:val="00F37313"/>
    <w:rsid w:val="00F45778"/>
    <w:rsid w:val="00F70736"/>
    <w:rsid w:val="00F9751C"/>
    <w:rsid w:val="00FA3551"/>
    <w:rsid w:val="00FA3DCC"/>
    <w:rsid w:val="00FB5C5C"/>
    <w:rsid w:val="00FC49ED"/>
    <w:rsid w:val="00FC4AA1"/>
    <w:rsid w:val="00FD15E2"/>
    <w:rsid w:val="00FD17EF"/>
    <w:rsid w:val="00FE1A2B"/>
    <w:rsid w:val="00FF2099"/>
    <w:rsid w:val="00FF28D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6BBD8"/>
  <w15:docId w15:val="{9A8CCC11-0F88-4BEA-8E86-64A17751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Arial" w:hAnsi="Arial"/>
      <w:snapToGrid w:val="0"/>
      <w:lang w:eastAsia="de-DE"/>
    </w:rPr>
  </w:style>
  <w:style w:type="paragraph" w:styleId="berschrift1">
    <w:name w:val="heading 1"/>
    <w:basedOn w:val="Standard"/>
    <w:next w:val="Standard"/>
    <w:qFormat/>
    <w:pPr>
      <w:keepNext/>
      <w:numPr>
        <w:numId w:val="11"/>
      </w:numPr>
      <w:outlineLvl w:val="0"/>
    </w:pPr>
    <w:rPr>
      <w:b/>
      <w:kern w:val="28"/>
    </w:rPr>
  </w:style>
  <w:style w:type="paragraph" w:styleId="berschrift2">
    <w:name w:val="heading 2"/>
    <w:basedOn w:val="Standard"/>
    <w:next w:val="Standard"/>
    <w:qFormat/>
    <w:pPr>
      <w:keepNext/>
      <w:numPr>
        <w:ilvl w:val="1"/>
        <w:numId w:val="11"/>
      </w:numPr>
      <w:outlineLvl w:val="1"/>
    </w:pPr>
    <w:rPr>
      <w:b/>
    </w:rPr>
  </w:style>
  <w:style w:type="paragraph" w:styleId="berschrift3">
    <w:name w:val="heading 3"/>
    <w:basedOn w:val="Standard"/>
    <w:next w:val="Standard"/>
    <w:qFormat/>
    <w:pPr>
      <w:keepNext/>
      <w:numPr>
        <w:ilvl w:val="2"/>
        <w:numId w:val="11"/>
      </w:numPr>
      <w:outlineLvl w:val="2"/>
    </w:pPr>
    <w:rPr>
      <w:b/>
      <w:i/>
    </w:rPr>
  </w:style>
  <w:style w:type="paragraph" w:styleId="berschrift4">
    <w:name w:val="heading 4"/>
    <w:basedOn w:val="Standard"/>
    <w:next w:val="Standard"/>
    <w:qFormat/>
    <w:pPr>
      <w:keepNext/>
      <w:numPr>
        <w:ilvl w:val="3"/>
        <w:numId w:val="11"/>
      </w:numPr>
      <w:outlineLvl w:val="3"/>
    </w:pPr>
  </w:style>
  <w:style w:type="paragraph" w:styleId="berschrift5">
    <w:name w:val="heading 5"/>
    <w:basedOn w:val="Standard"/>
    <w:next w:val="Standard"/>
    <w:qFormat/>
    <w:pPr>
      <w:keepNext/>
      <w:numPr>
        <w:ilvl w:val="4"/>
        <w:numId w:val="11"/>
      </w:numPr>
      <w:pBdr>
        <w:top w:val="single" w:sz="6" w:space="1" w:color="auto"/>
        <w:left w:val="single" w:sz="6" w:space="1" w:color="auto"/>
        <w:bottom w:val="single" w:sz="6" w:space="1" w:color="auto"/>
        <w:right w:val="single" w:sz="6" w:space="1" w:color="auto"/>
      </w:pBdr>
      <w:tabs>
        <w:tab w:val="left" w:pos="567"/>
        <w:tab w:val="left" w:pos="1134"/>
        <w:tab w:val="left" w:pos="2268"/>
        <w:tab w:val="left" w:pos="5103"/>
        <w:tab w:val="left" w:pos="6804"/>
        <w:tab w:val="right" w:pos="9356"/>
      </w:tabs>
      <w:outlineLvl w:val="4"/>
    </w:pPr>
    <w:rPr>
      <w:b/>
    </w:rPr>
  </w:style>
  <w:style w:type="paragraph" w:styleId="berschrift6">
    <w:name w:val="heading 6"/>
    <w:basedOn w:val="Standard"/>
    <w:next w:val="Standard"/>
    <w:qFormat/>
    <w:pPr>
      <w:numPr>
        <w:ilvl w:val="5"/>
        <w:numId w:val="11"/>
      </w:numPr>
      <w:spacing w:before="240" w:after="60"/>
      <w:outlineLvl w:val="5"/>
    </w:pPr>
    <w:rPr>
      <w:rFonts w:ascii="Times New Roman" w:hAnsi="Times New Roman"/>
      <w:i/>
    </w:rPr>
  </w:style>
  <w:style w:type="paragraph" w:styleId="berschrift7">
    <w:name w:val="heading 7"/>
    <w:basedOn w:val="Standard"/>
    <w:next w:val="Standard"/>
    <w:qFormat/>
    <w:pPr>
      <w:numPr>
        <w:ilvl w:val="6"/>
        <w:numId w:val="11"/>
      </w:numPr>
      <w:spacing w:before="240" w:after="60"/>
      <w:outlineLvl w:val="6"/>
    </w:pPr>
  </w:style>
  <w:style w:type="paragraph" w:styleId="berschrift8">
    <w:name w:val="heading 8"/>
    <w:basedOn w:val="Standard"/>
    <w:next w:val="Standard"/>
    <w:qFormat/>
    <w:pPr>
      <w:numPr>
        <w:ilvl w:val="7"/>
        <w:numId w:val="11"/>
      </w:numPr>
      <w:spacing w:before="240" w:after="60"/>
      <w:outlineLvl w:val="7"/>
    </w:pPr>
    <w:rPr>
      <w:i/>
    </w:rPr>
  </w:style>
  <w:style w:type="paragraph" w:styleId="berschrift9">
    <w:name w:val="heading 9"/>
    <w:basedOn w:val="Standard"/>
    <w:next w:val="Standard"/>
    <w:qFormat/>
    <w:pPr>
      <w:numPr>
        <w:ilvl w:val="8"/>
        <w:numId w:val="11"/>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tabs>
        <w:tab w:val="left" w:pos="567"/>
        <w:tab w:val="left" w:pos="1134"/>
        <w:tab w:val="left" w:pos="2268"/>
        <w:tab w:val="left" w:pos="5103"/>
        <w:tab w:val="left" w:pos="6804"/>
        <w:tab w:val="right" w:pos="9356"/>
      </w:tabs>
    </w:pPr>
  </w:style>
  <w:style w:type="paragraph" w:styleId="Verzeichnis9">
    <w:name w:val="toc 9"/>
    <w:basedOn w:val="Standard"/>
    <w:next w:val="Standard"/>
    <w:autoRedefine/>
    <w:semiHidden/>
    <w:pPr>
      <w:ind w:left="1760"/>
    </w:pPr>
  </w:style>
  <w:style w:type="paragraph" w:styleId="Index1">
    <w:name w:val="index 1"/>
    <w:basedOn w:val="Standard"/>
    <w:next w:val="Standard"/>
    <w:autoRedefine/>
    <w:semiHidden/>
    <w:pPr>
      <w:ind w:left="220" w:hanging="220"/>
    </w:pPr>
  </w:style>
  <w:style w:type="paragraph" w:styleId="Verzeichnis2">
    <w:name w:val="toc 2"/>
    <w:basedOn w:val="Standard"/>
    <w:next w:val="Standard"/>
    <w:autoRedefine/>
    <w:uiPriority w:val="39"/>
    <w:pPr>
      <w:tabs>
        <w:tab w:val="left" w:pos="440"/>
        <w:tab w:val="left" w:pos="993"/>
        <w:tab w:val="right" w:leader="dot" w:pos="9345"/>
      </w:tabs>
      <w:spacing w:after="120"/>
      <w:ind w:left="425"/>
    </w:pPr>
    <w:rPr>
      <w:noProof/>
    </w:rPr>
  </w:style>
  <w:style w:type="paragraph" w:styleId="Verzeichnis1">
    <w:name w:val="toc 1"/>
    <w:basedOn w:val="Standard"/>
    <w:next w:val="Standard"/>
    <w:autoRedefine/>
    <w:uiPriority w:val="39"/>
    <w:pPr>
      <w:tabs>
        <w:tab w:val="left" w:pos="426"/>
        <w:tab w:val="right" w:leader="dot" w:pos="9345"/>
      </w:tabs>
    </w:pPr>
    <w:rPr>
      <w:noProof/>
      <w:szCs w:val="22"/>
    </w:rPr>
  </w:style>
  <w:style w:type="paragraph" w:styleId="Verzeichnis4">
    <w:name w:val="toc 4"/>
    <w:basedOn w:val="Standard"/>
    <w:next w:val="Standard"/>
    <w:autoRedefine/>
    <w:semiHidden/>
    <w:pPr>
      <w:ind w:left="660"/>
    </w:pPr>
  </w:style>
  <w:style w:type="paragraph" w:styleId="Verzeichnis3">
    <w:name w:val="toc 3"/>
    <w:basedOn w:val="Standard"/>
    <w:next w:val="Standard"/>
    <w:autoRedefine/>
    <w:semiHidden/>
    <w:pPr>
      <w:tabs>
        <w:tab w:val="left" w:pos="1701"/>
        <w:tab w:val="left" w:pos="1985"/>
        <w:tab w:val="right" w:leader="dot" w:pos="9345"/>
      </w:tabs>
      <w:spacing w:after="120"/>
      <w:ind w:left="992"/>
    </w:pPr>
    <w:rPr>
      <w:noProof/>
    </w:r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Titel">
    <w:name w:val="Title"/>
    <w:basedOn w:val="Standard"/>
    <w:link w:val="TitelZchn"/>
    <w:uiPriority w:val="10"/>
    <w:qFormat/>
    <w:pPr>
      <w:pBdr>
        <w:top w:val="single" w:sz="6" w:space="1" w:color="auto"/>
        <w:left w:val="single" w:sz="6" w:space="4" w:color="auto"/>
        <w:bottom w:val="single" w:sz="6" w:space="1" w:color="auto"/>
        <w:right w:val="single" w:sz="6" w:space="4" w:color="auto"/>
      </w:pBdr>
      <w:jc w:val="center"/>
    </w:pPr>
    <w:rPr>
      <w:b/>
      <w:sz w:val="32"/>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Abbildungsverzeichnis">
    <w:name w:val="table of figures"/>
    <w:basedOn w:val="Standard"/>
    <w:next w:val="Standard"/>
    <w:semiHidden/>
    <w:pPr>
      <w:ind w:left="440" w:hanging="440"/>
    </w:pPr>
  </w:style>
  <w:style w:type="paragraph" w:styleId="Anrede">
    <w:name w:val="Salutation"/>
    <w:basedOn w:val="Standard"/>
    <w:next w:val="Standard"/>
    <w:semiHidden/>
  </w:style>
  <w:style w:type="paragraph" w:styleId="Aufzhlungszeichen">
    <w:name w:val="List Bullet"/>
    <w:basedOn w:val="Standard"/>
    <w:autoRedefine/>
    <w:semiHidden/>
    <w:pPr>
      <w:numPr>
        <w:numId w:val="1"/>
      </w:numPr>
    </w:pPr>
  </w:style>
  <w:style w:type="paragraph" w:styleId="Aufzhlungszeichen2">
    <w:name w:val="List Bullet 2"/>
    <w:basedOn w:val="Standard"/>
    <w:autoRedefine/>
    <w:semiHidden/>
    <w:pPr>
      <w:numPr>
        <w:numId w:val="2"/>
      </w:numPr>
    </w:pPr>
  </w:style>
  <w:style w:type="paragraph" w:styleId="Aufzhlungszeichen3">
    <w:name w:val="List Bullet 3"/>
    <w:basedOn w:val="Standard"/>
    <w:autoRedefine/>
    <w:semiHidden/>
    <w:pPr>
      <w:numPr>
        <w:numId w:val="3"/>
      </w:numPr>
    </w:pPr>
  </w:style>
  <w:style w:type="paragraph" w:styleId="Aufzhlungszeichen4">
    <w:name w:val="List Bullet 4"/>
    <w:basedOn w:val="Standard"/>
    <w:autoRedefine/>
    <w:semiHidden/>
    <w:pPr>
      <w:numPr>
        <w:numId w:val="4"/>
      </w:numPr>
    </w:pPr>
  </w:style>
  <w:style w:type="paragraph" w:styleId="Aufzhlungszeichen5">
    <w:name w:val="List Bullet 5"/>
    <w:basedOn w:val="Standard"/>
    <w:autoRedefine/>
    <w:semiHidden/>
    <w:pPr>
      <w:numPr>
        <w:numId w:val="5"/>
      </w:numPr>
    </w:pPr>
  </w:style>
  <w:style w:type="paragraph" w:styleId="Beschriftung">
    <w:name w:val="caption"/>
    <w:basedOn w:val="Standard"/>
    <w:next w:val="Standard"/>
    <w:qFormat/>
    <w:pPr>
      <w:spacing w:before="120" w:after="120"/>
    </w:pPr>
    <w:rPr>
      <w:b/>
      <w:bCs/>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cs="Tahoma"/>
    </w:rPr>
  </w:style>
  <w:style w:type="paragraph" w:styleId="E-Mail-Signatur">
    <w:name w:val="E-mail Signature"/>
    <w:basedOn w:val="Standard"/>
    <w:semiHidden/>
  </w:style>
  <w:style w:type="paragraph" w:styleId="Endnotentext">
    <w:name w:val="endnote text"/>
    <w:basedOn w:val="Standard"/>
    <w:semiHidden/>
  </w:style>
  <w:style w:type="paragraph" w:styleId="Fu-Endnotenberschrift">
    <w:name w:val="Note Heading"/>
    <w:basedOn w:val="Standard"/>
    <w:next w:val="Standard"/>
    <w:semiHidden/>
  </w:style>
  <w:style w:type="paragraph" w:styleId="Funotentext">
    <w:name w:val="footnote text"/>
    <w:basedOn w:val="Standard"/>
    <w:link w:val="FunotentextZchn"/>
    <w:uiPriority w:val="99"/>
  </w:style>
  <w:style w:type="paragraph" w:styleId="Gruformel">
    <w:name w:val="Closing"/>
    <w:basedOn w:val="Standard"/>
    <w:semiHidden/>
    <w:pPr>
      <w:ind w:left="4252"/>
    </w:pPr>
  </w:style>
  <w:style w:type="paragraph" w:styleId="HTMLAdresse">
    <w:name w:val="HTML Address"/>
    <w:basedOn w:val="Standard"/>
    <w:semiHidden/>
    <w:rPr>
      <w:i/>
      <w:iCs/>
    </w:rPr>
  </w:style>
  <w:style w:type="paragraph" w:styleId="HTMLVorformatiert">
    <w:name w:val="HTML Preformatted"/>
    <w:basedOn w:val="Standard"/>
    <w:semiHidden/>
    <w:rPr>
      <w:rFonts w:ascii="Courier New" w:hAnsi="Courier New" w:cs="Courier New"/>
    </w:r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rFonts w:cs="Arial"/>
      <w:b/>
      <w:bCs/>
    </w:rPr>
  </w:style>
  <w:style w:type="paragraph" w:styleId="Kommentartext">
    <w:name w:val="annotation text"/>
    <w:basedOn w:val="Standard"/>
    <w:link w:val="KommentartextZchn"/>
    <w:semiHidden/>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6"/>
      </w:numPr>
    </w:pPr>
  </w:style>
  <w:style w:type="paragraph" w:styleId="Listennummer2">
    <w:name w:val="List Number 2"/>
    <w:basedOn w:val="Standard"/>
    <w:semiHidden/>
    <w:pPr>
      <w:numPr>
        <w:numId w:val="7"/>
      </w:numPr>
    </w:pPr>
  </w:style>
  <w:style w:type="paragraph" w:styleId="Listennummer3">
    <w:name w:val="List Number 3"/>
    <w:basedOn w:val="Standard"/>
    <w:semiHidden/>
    <w:pPr>
      <w:numPr>
        <w:numId w:val="8"/>
      </w:numPr>
    </w:pPr>
  </w:style>
  <w:style w:type="paragraph" w:styleId="Listennummer4">
    <w:name w:val="List Number 4"/>
    <w:basedOn w:val="Standard"/>
    <w:semiHidden/>
    <w:pPr>
      <w:numPr>
        <w:numId w:val="9"/>
      </w:numPr>
    </w:pPr>
  </w:style>
  <w:style w:type="paragraph" w:styleId="Listennummer5">
    <w:name w:val="List Number 5"/>
    <w:basedOn w:val="Standard"/>
    <w:semiHidden/>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snapToGrid w:val="0"/>
      <w:lang w:eastAsia="de-DE"/>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urText">
    <w:name w:val="Plain Text"/>
    <w:basedOn w:val="Standard"/>
    <w:link w:val="NurTextZchn"/>
    <w:uiPriority w:val="99"/>
    <w:rPr>
      <w:rFonts w:ascii="Courier New" w:hAnsi="Courier New" w:cs="Courier New"/>
    </w:rPr>
  </w:style>
  <w:style w:type="paragraph" w:styleId="Rechtsgrundlagenverzeichnis">
    <w:name w:val="table of authorities"/>
    <w:basedOn w:val="Standard"/>
    <w:next w:val="Standard"/>
    <w:semiHidden/>
    <w:pPr>
      <w:ind w:left="220" w:hanging="220"/>
    </w:pPr>
  </w:style>
  <w:style w:type="paragraph" w:styleId="RGV-berschrift">
    <w:name w:val="toa heading"/>
    <w:basedOn w:val="Standard"/>
    <w:next w:val="Standard"/>
    <w:semiHidden/>
    <w:pPr>
      <w:spacing w:before="120"/>
    </w:pPr>
    <w:rPr>
      <w:rFonts w:cs="Arial"/>
      <w:b/>
      <w:bCs/>
      <w:sz w:val="24"/>
      <w:szCs w:val="24"/>
    </w:rPr>
  </w:style>
  <w:style w:type="paragraph" w:styleId="StandardWeb">
    <w:name w:val="Normal (Web)"/>
    <w:basedOn w:val="Standard"/>
    <w:uiPriority w:val="99"/>
    <w:semiHidden/>
    <w:rPr>
      <w:rFonts w:ascii="Times New Roman" w:hAnsi="Times New Roman"/>
      <w:sz w:val="24"/>
      <w:szCs w:val="24"/>
    </w:rPr>
  </w:style>
  <w:style w:type="paragraph" w:styleId="Standardeinzug">
    <w:name w:val="Normal Indent"/>
    <w:basedOn w:val="Standard"/>
    <w:semiHidden/>
    <w:pPr>
      <w:ind w:left="708"/>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tabs>
        <w:tab w:val="clear" w:pos="567"/>
        <w:tab w:val="clear" w:pos="1134"/>
        <w:tab w:val="clear" w:pos="2268"/>
        <w:tab w:val="clear" w:pos="5103"/>
        <w:tab w:val="clear" w:pos="6804"/>
        <w:tab w:val="clear" w:pos="9356"/>
      </w:tabs>
      <w:spacing w:after="120"/>
      <w:ind w:firstLine="210"/>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cs="Arial"/>
    </w:rPr>
  </w:style>
  <w:style w:type="paragraph" w:styleId="Umschlagadresse">
    <w:name w:val="envelope address"/>
    <w:basedOn w:val="Standard"/>
    <w:semiHidden/>
    <w:pPr>
      <w:framePr w:w="4320" w:h="2160" w:hRule="exact" w:hSpace="141" w:wrap="auto" w:hAnchor="page" w:xAlign="center" w:yAlign="bottom"/>
      <w:ind w:left="1"/>
    </w:pPr>
    <w:rPr>
      <w:rFonts w:cs="Arial"/>
      <w:sz w:val="24"/>
      <w:szCs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cs="Arial"/>
      <w:sz w:val="24"/>
      <w:szCs w:val="24"/>
    </w:rPr>
  </w:style>
  <w:style w:type="paragraph" w:styleId="Sprechblasentext">
    <w:name w:val="Balloon Text"/>
    <w:basedOn w:val="Standard"/>
    <w:link w:val="SprechblasentextZchn"/>
    <w:uiPriority w:val="99"/>
    <w:semiHidden/>
    <w:unhideWhenUsed/>
    <w:rsid w:val="00B06F23"/>
    <w:rPr>
      <w:rFonts w:ascii="Tahoma" w:hAnsi="Tahoma" w:cs="Tahoma"/>
      <w:sz w:val="16"/>
      <w:szCs w:val="16"/>
    </w:rPr>
  </w:style>
  <w:style w:type="character" w:customStyle="1" w:styleId="SprechblasentextZchn">
    <w:name w:val="Sprechblasentext Zchn"/>
    <w:link w:val="Sprechblasentext"/>
    <w:uiPriority w:val="99"/>
    <w:semiHidden/>
    <w:rsid w:val="00B06F23"/>
    <w:rPr>
      <w:rFonts w:ascii="Tahoma" w:hAnsi="Tahoma" w:cs="Tahoma"/>
      <w:snapToGrid w:val="0"/>
      <w:sz w:val="16"/>
      <w:szCs w:val="16"/>
      <w:lang w:eastAsia="de-DE"/>
    </w:rPr>
  </w:style>
  <w:style w:type="table" w:styleId="Tabellenraster">
    <w:name w:val="Table Grid"/>
    <w:basedOn w:val="NormaleTabelle"/>
    <w:uiPriority w:val="59"/>
    <w:rsid w:val="00E11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rTextZchn">
    <w:name w:val="Nur Text Zchn"/>
    <w:link w:val="NurText"/>
    <w:uiPriority w:val="99"/>
    <w:rsid w:val="004862FE"/>
    <w:rPr>
      <w:rFonts w:ascii="Courier New" w:hAnsi="Courier New" w:cs="Courier New"/>
      <w:snapToGrid w:val="0"/>
      <w:lang w:eastAsia="de-DE"/>
    </w:rPr>
  </w:style>
  <w:style w:type="paragraph" w:styleId="Listenabsatz">
    <w:name w:val="List Paragraph"/>
    <w:basedOn w:val="Standard"/>
    <w:uiPriority w:val="34"/>
    <w:qFormat/>
    <w:rsid w:val="004862FE"/>
    <w:pPr>
      <w:ind w:left="708"/>
    </w:pPr>
  </w:style>
  <w:style w:type="character" w:styleId="Hyperlink">
    <w:name w:val="Hyperlink"/>
    <w:uiPriority w:val="99"/>
    <w:unhideWhenUsed/>
    <w:rsid w:val="00B21A8F"/>
    <w:rPr>
      <w:color w:val="0563C1"/>
      <w:u w:val="single"/>
    </w:rPr>
  </w:style>
  <w:style w:type="character" w:styleId="BesuchterLink">
    <w:name w:val="FollowedHyperlink"/>
    <w:uiPriority w:val="99"/>
    <w:semiHidden/>
    <w:unhideWhenUsed/>
    <w:rsid w:val="00522AC4"/>
    <w:rPr>
      <w:color w:val="954F72"/>
      <w:u w:val="single"/>
    </w:rPr>
  </w:style>
  <w:style w:type="paragraph" w:styleId="berarbeitung">
    <w:name w:val="Revision"/>
    <w:hidden/>
    <w:uiPriority w:val="99"/>
    <w:semiHidden/>
    <w:rsid w:val="001D2316"/>
    <w:rPr>
      <w:rFonts w:ascii="Arial" w:hAnsi="Arial"/>
      <w:snapToGrid w:val="0"/>
      <w:lang w:eastAsia="de-DE"/>
    </w:rPr>
  </w:style>
  <w:style w:type="character" w:styleId="Fett">
    <w:name w:val="Strong"/>
    <w:uiPriority w:val="22"/>
    <w:qFormat/>
    <w:rsid w:val="00CD79B0"/>
    <w:rPr>
      <w:b/>
      <w:bCs/>
    </w:rPr>
  </w:style>
  <w:style w:type="character" w:customStyle="1" w:styleId="FuzeileZchn">
    <w:name w:val="Fußzeile Zchn"/>
    <w:basedOn w:val="Absatz-Standardschriftart"/>
    <w:link w:val="Fuzeile"/>
    <w:uiPriority w:val="99"/>
    <w:rsid w:val="0015513E"/>
    <w:rPr>
      <w:rFonts w:ascii="Arial" w:hAnsi="Arial"/>
      <w:snapToGrid w:val="0"/>
      <w:lang w:eastAsia="de-DE"/>
    </w:rPr>
  </w:style>
  <w:style w:type="character" w:styleId="Kommentarzeichen">
    <w:name w:val="annotation reference"/>
    <w:basedOn w:val="Absatz-Standardschriftart"/>
    <w:uiPriority w:val="99"/>
    <w:semiHidden/>
    <w:unhideWhenUsed/>
    <w:rsid w:val="00E07034"/>
    <w:rPr>
      <w:sz w:val="16"/>
      <w:szCs w:val="16"/>
    </w:rPr>
  </w:style>
  <w:style w:type="paragraph" w:styleId="Kommentarthema">
    <w:name w:val="annotation subject"/>
    <w:basedOn w:val="Kommentartext"/>
    <w:next w:val="Kommentartext"/>
    <w:link w:val="KommentarthemaZchn"/>
    <w:uiPriority w:val="99"/>
    <w:semiHidden/>
    <w:unhideWhenUsed/>
    <w:rsid w:val="00E07034"/>
    <w:rPr>
      <w:b/>
      <w:bCs/>
    </w:rPr>
  </w:style>
  <w:style w:type="character" w:customStyle="1" w:styleId="KommentartextZchn">
    <w:name w:val="Kommentartext Zchn"/>
    <w:basedOn w:val="Absatz-Standardschriftart"/>
    <w:link w:val="Kommentartext"/>
    <w:semiHidden/>
    <w:rsid w:val="00E07034"/>
    <w:rPr>
      <w:rFonts w:ascii="Arial" w:hAnsi="Arial"/>
      <w:snapToGrid w:val="0"/>
      <w:lang w:eastAsia="de-DE"/>
    </w:rPr>
  </w:style>
  <w:style w:type="character" w:customStyle="1" w:styleId="KommentarthemaZchn">
    <w:name w:val="Kommentarthema Zchn"/>
    <w:basedOn w:val="KommentartextZchn"/>
    <w:link w:val="Kommentarthema"/>
    <w:uiPriority w:val="99"/>
    <w:semiHidden/>
    <w:rsid w:val="00E07034"/>
    <w:rPr>
      <w:rFonts w:ascii="Arial" w:hAnsi="Arial"/>
      <w:b/>
      <w:bCs/>
      <w:snapToGrid w:val="0"/>
      <w:lang w:eastAsia="de-DE"/>
    </w:rPr>
  </w:style>
  <w:style w:type="character" w:customStyle="1" w:styleId="TitelZchn">
    <w:name w:val="Titel Zchn"/>
    <w:basedOn w:val="Absatz-Standardschriftart"/>
    <w:link w:val="Titel"/>
    <w:uiPriority w:val="10"/>
    <w:rsid w:val="00D9704D"/>
    <w:rPr>
      <w:rFonts w:ascii="Arial" w:hAnsi="Arial"/>
      <w:b/>
      <w:snapToGrid w:val="0"/>
      <w:sz w:val="32"/>
      <w:lang w:eastAsia="de-DE"/>
    </w:rPr>
  </w:style>
  <w:style w:type="character" w:customStyle="1" w:styleId="FunotentextZchn">
    <w:name w:val="Fußnotentext Zchn"/>
    <w:basedOn w:val="Absatz-Standardschriftart"/>
    <w:link w:val="Funotentext"/>
    <w:uiPriority w:val="99"/>
    <w:rsid w:val="00D9704D"/>
    <w:rPr>
      <w:rFonts w:ascii="Arial" w:hAnsi="Arial"/>
      <w:snapToGrid w:val="0"/>
      <w:lang w:eastAsia="de-DE"/>
    </w:rPr>
  </w:style>
  <w:style w:type="character" w:styleId="Funotenzeichen">
    <w:name w:val="footnote reference"/>
    <w:basedOn w:val="Absatz-Standardschriftart"/>
    <w:uiPriority w:val="99"/>
    <w:unhideWhenUsed/>
    <w:rsid w:val="00D9704D"/>
    <w:rPr>
      <w:sz w:val="22"/>
      <w:vertAlign w:val="superscript"/>
    </w:rPr>
  </w:style>
  <w:style w:type="paragraph" w:customStyle="1" w:styleId="Absatz">
    <w:name w:val="Absatz"/>
    <w:basedOn w:val="Standard"/>
    <w:qFormat/>
    <w:rsid w:val="00D9704D"/>
    <w:pPr>
      <w:spacing w:after="120"/>
      <w:ind w:left="425"/>
      <w:jc w:val="left"/>
    </w:pPr>
    <w:rPr>
      <w:rFonts w:eastAsiaTheme="minorHAnsi" w:cstheme="minorBidi"/>
      <w:snapToGrid/>
      <w:kern w:val="2"/>
      <w:sz w:val="22"/>
      <w:szCs w:val="22"/>
      <w:lang w:eastAsia="en-US"/>
      <w14:ligatures w14:val="standardContextual"/>
    </w:rPr>
  </w:style>
  <w:style w:type="character" w:styleId="NichtaufgelsteErwhnung">
    <w:name w:val="Unresolved Mention"/>
    <w:basedOn w:val="Absatz-Standardschriftart"/>
    <w:uiPriority w:val="99"/>
    <w:semiHidden/>
    <w:unhideWhenUsed/>
    <w:rsid w:val="004B66B4"/>
    <w:rPr>
      <w:color w:val="605E5C"/>
      <w:shd w:val="clear" w:color="auto" w:fill="E1DFDD"/>
    </w:rPr>
  </w:style>
  <w:style w:type="paragraph" w:styleId="Inhaltsverzeichnisberschrift">
    <w:name w:val="TOC Heading"/>
    <w:basedOn w:val="berschrift1"/>
    <w:next w:val="Standard"/>
    <w:uiPriority w:val="39"/>
    <w:semiHidden/>
    <w:unhideWhenUsed/>
    <w:qFormat/>
    <w:rsid w:val="00C927B8"/>
    <w:pPr>
      <w:keepLines/>
      <w:numPr>
        <w:numId w:val="0"/>
      </w:numPr>
      <w:spacing w:before="240"/>
      <w:outlineLvl w:val="9"/>
    </w:pPr>
    <w:rPr>
      <w:rFonts w:asciiTheme="majorHAnsi" w:eastAsiaTheme="majorEastAsia" w:hAnsiTheme="majorHAnsi" w:cstheme="majorBidi"/>
      <w:b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7081">
      <w:bodyDiv w:val="1"/>
      <w:marLeft w:val="0"/>
      <w:marRight w:val="0"/>
      <w:marTop w:val="0"/>
      <w:marBottom w:val="0"/>
      <w:divBdr>
        <w:top w:val="none" w:sz="0" w:space="0" w:color="auto"/>
        <w:left w:val="none" w:sz="0" w:space="0" w:color="auto"/>
        <w:bottom w:val="none" w:sz="0" w:space="0" w:color="auto"/>
        <w:right w:val="none" w:sz="0" w:space="0" w:color="auto"/>
      </w:divBdr>
    </w:div>
    <w:div w:id="68117444">
      <w:bodyDiv w:val="1"/>
      <w:marLeft w:val="0"/>
      <w:marRight w:val="0"/>
      <w:marTop w:val="0"/>
      <w:marBottom w:val="0"/>
      <w:divBdr>
        <w:top w:val="none" w:sz="0" w:space="0" w:color="auto"/>
        <w:left w:val="none" w:sz="0" w:space="0" w:color="auto"/>
        <w:bottom w:val="none" w:sz="0" w:space="0" w:color="auto"/>
        <w:right w:val="none" w:sz="0" w:space="0" w:color="auto"/>
      </w:divBdr>
    </w:div>
    <w:div w:id="165831972">
      <w:bodyDiv w:val="1"/>
      <w:marLeft w:val="0"/>
      <w:marRight w:val="0"/>
      <w:marTop w:val="0"/>
      <w:marBottom w:val="0"/>
      <w:divBdr>
        <w:top w:val="none" w:sz="0" w:space="0" w:color="auto"/>
        <w:left w:val="none" w:sz="0" w:space="0" w:color="auto"/>
        <w:bottom w:val="none" w:sz="0" w:space="0" w:color="auto"/>
        <w:right w:val="none" w:sz="0" w:space="0" w:color="auto"/>
      </w:divBdr>
    </w:div>
    <w:div w:id="547644893">
      <w:bodyDiv w:val="1"/>
      <w:marLeft w:val="0"/>
      <w:marRight w:val="0"/>
      <w:marTop w:val="0"/>
      <w:marBottom w:val="0"/>
      <w:divBdr>
        <w:top w:val="none" w:sz="0" w:space="0" w:color="auto"/>
        <w:left w:val="none" w:sz="0" w:space="0" w:color="auto"/>
        <w:bottom w:val="none" w:sz="0" w:space="0" w:color="auto"/>
        <w:right w:val="none" w:sz="0" w:space="0" w:color="auto"/>
      </w:divBdr>
    </w:div>
    <w:div w:id="918636601">
      <w:bodyDiv w:val="1"/>
      <w:marLeft w:val="0"/>
      <w:marRight w:val="0"/>
      <w:marTop w:val="0"/>
      <w:marBottom w:val="0"/>
      <w:divBdr>
        <w:top w:val="none" w:sz="0" w:space="0" w:color="auto"/>
        <w:left w:val="none" w:sz="0" w:space="0" w:color="auto"/>
        <w:bottom w:val="none" w:sz="0" w:space="0" w:color="auto"/>
        <w:right w:val="none" w:sz="0" w:space="0" w:color="auto"/>
      </w:divBdr>
    </w:div>
    <w:div w:id="956520619">
      <w:bodyDiv w:val="1"/>
      <w:marLeft w:val="0"/>
      <w:marRight w:val="0"/>
      <w:marTop w:val="0"/>
      <w:marBottom w:val="0"/>
      <w:divBdr>
        <w:top w:val="none" w:sz="0" w:space="0" w:color="auto"/>
        <w:left w:val="none" w:sz="0" w:space="0" w:color="auto"/>
        <w:bottom w:val="none" w:sz="0" w:space="0" w:color="auto"/>
        <w:right w:val="none" w:sz="0" w:space="0" w:color="auto"/>
      </w:divBdr>
    </w:div>
    <w:div w:id="988827504">
      <w:bodyDiv w:val="1"/>
      <w:marLeft w:val="0"/>
      <w:marRight w:val="0"/>
      <w:marTop w:val="0"/>
      <w:marBottom w:val="0"/>
      <w:divBdr>
        <w:top w:val="none" w:sz="0" w:space="0" w:color="auto"/>
        <w:left w:val="none" w:sz="0" w:space="0" w:color="auto"/>
        <w:bottom w:val="none" w:sz="0" w:space="0" w:color="auto"/>
        <w:right w:val="none" w:sz="0" w:space="0" w:color="auto"/>
      </w:divBdr>
    </w:div>
    <w:div w:id="1200973951">
      <w:bodyDiv w:val="1"/>
      <w:marLeft w:val="0"/>
      <w:marRight w:val="0"/>
      <w:marTop w:val="0"/>
      <w:marBottom w:val="0"/>
      <w:divBdr>
        <w:top w:val="none" w:sz="0" w:space="0" w:color="auto"/>
        <w:left w:val="none" w:sz="0" w:space="0" w:color="auto"/>
        <w:bottom w:val="none" w:sz="0" w:space="0" w:color="auto"/>
        <w:right w:val="none" w:sz="0" w:space="0" w:color="auto"/>
      </w:divBdr>
    </w:div>
    <w:div w:id="1434980890">
      <w:bodyDiv w:val="1"/>
      <w:marLeft w:val="0"/>
      <w:marRight w:val="0"/>
      <w:marTop w:val="0"/>
      <w:marBottom w:val="0"/>
      <w:divBdr>
        <w:top w:val="none" w:sz="0" w:space="0" w:color="auto"/>
        <w:left w:val="none" w:sz="0" w:space="0" w:color="auto"/>
        <w:bottom w:val="none" w:sz="0" w:space="0" w:color="auto"/>
        <w:right w:val="none" w:sz="0" w:space="0" w:color="auto"/>
      </w:divBdr>
    </w:div>
    <w:div w:id="1453016737">
      <w:bodyDiv w:val="1"/>
      <w:marLeft w:val="0"/>
      <w:marRight w:val="0"/>
      <w:marTop w:val="0"/>
      <w:marBottom w:val="0"/>
      <w:divBdr>
        <w:top w:val="none" w:sz="0" w:space="0" w:color="auto"/>
        <w:left w:val="none" w:sz="0" w:space="0" w:color="auto"/>
        <w:bottom w:val="none" w:sz="0" w:space="0" w:color="auto"/>
        <w:right w:val="none" w:sz="0" w:space="0" w:color="auto"/>
      </w:divBdr>
      <w:divsChild>
        <w:div w:id="1767336476">
          <w:marLeft w:val="0"/>
          <w:marRight w:val="0"/>
          <w:marTop w:val="0"/>
          <w:marBottom w:val="0"/>
          <w:divBdr>
            <w:top w:val="none" w:sz="0" w:space="0" w:color="auto"/>
            <w:left w:val="none" w:sz="0" w:space="0" w:color="auto"/>
            <w:bottom w:val="none" w:sz="0" w:space="0" w:color="auto"/>
            <w:right w:val="none" w:sz="0" w:space="0" w:color="auto"/>
          </w:divBdr>
          <w:divsChild>
            <w:div w:id="352732531">
              <w:marLeft w:val="0"/>
              <w:marRight w:val="0"/>
              <w:marTop w:val="0"/>
              <w:marBottom w:val="0"/>
              <w:divBdr>
                <w:top w:val="none" w:sz="0" w:space="0" w:color="auto"/>
                <w:left w:val="none" w:sz="0" w:space="0" w:color="auto"/>
                <w:bottom w:val="none" w:sz="0" w:space="0" w:color="auto"/>
                <w:right w:val="none" w:sz="0" w:space="0" w:color="auto"/>
              </w:divBdr>
              <w:divsChild>
                <w:div w:id="389814941">
                  <w:marLeft w:val="0"/>
                  <w:marRight w:val="0"/>
                  <w:marTop w:val="0"/>
                  <w:marBottom w:val="0"/>
                  <w:divBdr>
                    <w:top w:val="none" w:sz="0" w:space="0" w:color="auto"/>
                    <w:left w:val="none" w:sz="0" w:space="0" w:color="auto"/>
                    <w:bottom w:val="none" w:sz="0" w:space="0" w:color="auto"/>
                    <w:right w:val="none" w:sz="0" w:space="0" w:color="auto"/>
                  </w:divBdr>
                  <w:divsChild>
                    <w:div w:id="711923047">
                      <w:marLeft w:val="0"/>
                      <w:marRight w:val="0"/>
                      <w:marTop w:val="0"/>
                      <w:marBottom w:val="0"/>
                      <w:divBdr>
                        <w:top w:val="none" w:sz="0" w:space="0" w:color="auto"/>
                        <w:left w:val="none" w:sz="0" w:space="0" w:color="auto"/>
                        <w:bottom w:val="none" w:sz="0" w:space="0" w:color="auto"/>
                        <w:right w:val="none" w:sz="0" w:space="0" w:color="auto"/>
                      </w:divBdr>
                      <w:divsChild>
                        <w:div w:id="1914969671">
                          <w:marLeft w:val="0"/>
                          <w:marRight w:val="0"/>
                          <w:marTop w:val="0"/>
                          <w:marBottom w:val="0"/>
                          <w:divBdr>
                            <w:top w:val="none" w:sz="0" w:space="0" w:color="auto"/>
                            <w:left w:val="none" w:sz="0" w:space="0" w:color="auto"/>
                            <w:bottom w:val="none" w:sz="0" w:space="0" w:color="auto"/>
                            <w:right w:val="none" w:sz="0" w:space="0" w:color="auto"/>
                          </w:divBdr>
                          <w:divsChild>
                            <w:div w:id="9040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8155">
      <w:bodyDiv w:val="1"/>
      <w:marLeft w:val="0"/>
      <w:marRight w:val="0"/>
      <w:marTop w:val="0"/>
      <w:marBottom w:val="0"/>
      <w:divBdr>
        <w:top w:val="none" w:sz="0" w:space="0" w:color="auto"/>
        <w:left w:val="none" w:sz="0" w:space="0" w:color="auto"/>
        <w:bottom w:val="none" w:sz="0" w:space="0" w:color="auto"/>
        <w:right w:val="none" w:sz="0" w:space="0" w:color="auto"/>
      </w:divBdr>
    </w:div>
    <w:div w:id="1592663128">
      <w:bodyDiv w:val="1"/>
      <w:marLeft w:val="0"/>
      <w:marRight w:val="0"/>
      <w:marTop w:val="0"/>
      <w:marBottom w:val="0"/>
      <w:divBdr>
        <w:top w:val="none" w:sz="0" w:space="0" w:color="auto"/>
        <w:left w:val="none" w:sz="0" w:space="0" w:color="auto"/>
        <w:bottom w:val="none" w:sz="0" w:space="0" w:color="auto"/>
        <w:right w:val="none" w:sz="0" w:space="0" w:color="auto"/>
      </w:divBdr>
    </w:div>
    <w:div w:id="1599367118">
      <w:bodyDiv w:val="1"/>
      <w:marLeft w:val="0"/>
      <w:marRight w:val="0"/>
      <w:marTop w:val="0"/>
      <w:marBottom w:val="0"/>
      <w:divBdr>
        <w:top w:val="none" w:sz="0" w:space="0" w:color="auto"/>
        <w:left w:val="none" w:sz="0" w:space="0" w:color="auto"/>
        <w:bottom w:val="none" w:sz="0" w:space="0" w:color="auto"/>
        <w:right w:val="none" w:sz="0" w:space="0" w:color="auto"/>
      </w:divBdr>
    </w:div>
    <w:div w:id="1603338799">
      <w:bodyDiv w:val="1"/>
      <w:marLeft w:val="0"/>
      <w:marRight w:val="0"/>
      <w:marTop w:val="0"/>
      <w:marBottom w:val="0"/>
      <w:divBdr>
        <w:top w:val="none" w:sz="0" w:space="0" w:color="auto"/>
        <w:left w:val="none" w:sz="0" w:space="0" w:color="auto"/>
        <w:bottom w:val="none" w:sz="0" w:space="0" w:color="auto"/>
        <w:right w:val="none" w:sz="0" w:space="0" w:color="auto"/>
      </w:divBdr>
    </w:div>
    <w:div w:id="1673603513">
      <w:bodyDiv w:val="1"/>
      <w:marLeft w:val="0"/>
      <w:marRight w:val="0"/>
      <w:marTop w:val="0"/>
      <w:marBottom w:val="0"/>
      <w:divBdr>
        <w:top w:val="none" w:sz="0" w:space="0" w:color="auto"/>
        <w:left w:val="none" w:sz="0" w:space="0" w:color="auto"/>
        <w:bottom w:val="none" w:sz="0" w:space="0" w:color="auto"/>
        <w:right w:val="none" w:sz="0" w:space="0" w:color="auto"/>
      </w:divBdr>
    </w:div>
    <w:div w:id="210884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3F3FE-339C-4BE8-85DA-20699FD8B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8621</Words>
  <Characters>54315</Characters>
  <Application>Microsoft Office Word</Application>
  <DocSecurity>0</DocSecurity>
  <Lines>452</Lines>
  <Paragraphs>125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Partnerschaftskonzept D</vt:lpstr>
      <vt:lpstr>AKTENNOTITZ____6. November 1995</vt:lpstr>
    </vt:vector>
  </TitlesOfParts>
  <Company>TREUHAND|SUISSE</Company>
  <LinksUpToDate>false</LinksUpToDate>
  <CharactersWithSpaces>62811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Partnerschaftskonzept D</dc:title>
  <dc:creator>Vanessa J. Lincoln</dc:creator>
  <cp:lastModifiedBy>Jacqueline Jones</cp:lastModifiedBy>
  <cp:revision>25</cp:revision>
  <cp:lastPrinted>2022-08-23T12:51:00Z</cp:lastPrinted>
  <dcterms:created xsi:type="dcterms:W3CDTF">2022-08-16T10:26:00Z</dcterms:created>
  <dcterms:modified xsi:type="dcterms:W3CDTF">2026-10-05T14:22:00Z</dcterms:modified>
</cp:coreProperties>
</file>