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B7033A" w14:textId="77777777" w:rsidR="00251C94" w:rsidRPr="00251C94" w:rsidRDefault="00251C94" w:rsidP="00251C94">
      <w:pPr>
        <w:spacing w:after="480"/>
        <w:jc w:val="center"/>
        <w:rPr>
          <w:rFonts w:ascii="KievitPro-Regular" w:hAnsi="KievitPro-Regular"/>
          <w:b/>
          <w:sz w:val="44"/>
        </w:rPr>
      </w:pPr>
    </w:p>
    <w:p w14:paraId="1837098F" w14:textId="77777777" w:rsidR="00251C94" w:rsidRPr="00251C94" w:rsidRDefault="00251C94" w:rsidP="00251C94">
      <w:pPr>
        <w:spacing w:after="480"/>
        <w:jc w:val="center"/>
        <w:rPr>
          <w:rFonts w:ascii="KievitPro-Regular" w:hAnsi="KievitPro-Regular"/>
          <w:b/>
          <w:sz w:val="44"/>
        </w:rPr>
      </w:pPr>
    </w:p>
    <w:p w14:paraId="639A7163" w14:textId="77777777" w:rsidR="00251C94" w:rsidRPr="00251C94" w:rsidRDefault="00251C94" w:rsidP="00251C94">
      <w:pPr>
        <w:spacing w:after="480"/>
        <w:jc w:val="center"/>
        <w:rPr>
          <w:rFonts w:ascii="KievitPro-Regular" w:hAnsi="KievitPro-Regular"/>
          <w:b/>
          <w:sz w:val="52"/>
          <w:szCs w:val="52"/>
        </w:rPr>
      </w:pPr>
    </w:p>
    <w:p w14:paraId="1D4AC9D1" w14:textId="77777777" w:rsidR="00251C94" w:rsidRPr="00251C94" w:rsidRDefault="00251C94" w:rsidP="00251C94">
      <w:pPr>
        <w:spacing w:after="480"/>
        <w:jc w:val="center"/>
        <w:rPr>
          <w:rFonts w:ascii="KievitPro-Regular" w:hAnsi="KievitPro-Regular"/>
          <w:b/>
          <w:sz w:val="52"/>
          <w:szCs w:val="52"/>
        </w:rPr>
      </w:pPr>
    </w:p>
    <w:p w14:paraId="01DAA842" w14:textId="36FCDA2D" w:rsidR="00251C94" w:rsidRPr="00251C94" w:rsidRDefault="00251C94" w:rsidP="00251C94">
      <w:pPr>
        <w:spacing w:after="480"/>
        <w:jc w:val="center"/>
        <w:rPr>
          <w:rFonts w:ascii="KievitPro-Regular" w:hAnsi="KievitPro-Regular"/>
          <w:b/>
          <w:sz w:val="52"/>
          <w:szCs w:val="52"/>
        </w:rPr>
      </w:pPr>
      <w:r w:rsidRPr="00251C94">
        <w:rPr>
          <w:rFonts w:ascii="KievitPro-Regular" w:hAnsi="KievitPro-Regular"/>
          <w:b/>
          <w:sz w:val="52"/>
          <w:szCs w:val="52"/>
        </w:rPr>
        <w:t>Manuale di gestione della qualità della Muster SA</w:t>
      </w:r>
    </w:p>
    <w:p w14:paraId="3C75A06D" w14:textId="77777777" w:rsidR="00251C94" w:rsidRPr="00251C94" w:rsidRDefault="00251C94" w:rsidP="00251C94">
      <w:pPr>
        <w:spacing w:after="480"/>
        <w:jc w:val="center"/>
        <w:rPr>
          <w:rFonts w:ascii="KievitPro-Regular" w:hAnsi="KievitPro-Regular"/>
          <w:b/>
          <w:sz w:val="52"/>
          <w:szCs w:val="52"/>
        </w:rPr>
      </w:pPr>
      <w:r w:rsidRPr="00251C94">
        <w:rPr>
          <w:rFonts w:ascii="KievitPro-Regular" w:hAnsi="KievitPro-Regular"/>
          <w:b/>
          <w:sz w:val="52"/>
          <w:szCs w:val="52"/>
        </w:rPr>
        <w:t>(Servizi di revisione)</w:t>
      </w:r>
    </w:p>
    <w:p w14:paraId="70FA097F" w14:textId="07985523" w:rsidR="00352337" w:rsidRPr="00251C94" w:rsidRDefault="00352337" w:rsidP="00C31BA3">
      <w:pPr>
        <w:spacing w:line="360" w:lineRule="auto"/>
        <w:ind w:left="1134"/>
        <w:jc w:val="center"/>
        <w:rPr>
          <w:rFonts w:ascii="KievitPro-Regular" w:hAnsi="KievitPro-Regular" w:cs="Arial"/>
          <w:b/>
          <w:sz w:val="44"/>
          <w:szCs w:val="44"/>
        </w:rPr>
      </w:pPr>
    </w:p>
    <w:p w14:paraId="434B43D3" w14:textId="77777777" w:rsidR="00574AAB" w:rsidRPr="00251C94" w:rsidRDefault="00574AAB" w:rsidP="00574AAB">
      <w:pPr>
        <w:spacing w:line="360" w:lineRule="auto"/>
        <w:jc w:val="both"/>
        <w:rPr>
          <w:rFonts w:ascii="KievitPro-Regular" w:hAnsi="KievitPro-Regular" w:cs="Arial"/>
          <w:b/>
          <w:sz w:val="44"/>
          <w:szCs w:val="44"/>
        </w:rPr>
      </w:pPr>
    </w:p>
    <w:p w14:paraId="3975C4B4" w14:textId="77777777" w:rsidR="00574AAB" w:rsidRPr="00251C94" w:rsidRDefault="00574AAB" w:rsidP="00574AAB">
      <w:pPr>
        <w:spacing w:line="360" w:lineRule="auto"/>
        <w:jc w:val="both"/>
        <w:rPr>
          <w:rFonts w:ascii="KievitPro-Regular" w:hAnsi="KievitPro-Regular" w:cs="Arial"/>
          <w:b/>
          <w:sz w:val="44"/>
          <w:szCs w:val="44"/>
        </w:rPr>
      </w:pPr>
    </w:p>
    <w:p w14:paraId="7607F911" w14:textId="77777777" w:rsidR="00574AAB" w:rsidRPr="00251C94" w:rsidRDefault="00574AAB" w:rsidP="00574AAB">
      <w:pPr>
        <w:spacing w:line="360" w:lineRule="auto"/>
        <w:jc w:val="both"/>
        <w:rPr>
          <w:rFonts w:ascii="KievitPro-Regular" w:hAnsi="KievitPro-Regular" w:cs="Arial"/>
          <w:b/>
          <w:sz w:val="44"/>
          <w:szCs w:val="44"/>
        </w:rPr>
      </w:pPr>
    </w:p>
    <w:p w14:paraId="2AEAEC8D" w14:textId="77777777" w:rsidR="00574AAB" w:rsidRPr="00251C94" w:rsidRDefault="00574AAB" w:rsidP="00574AAB">
      <w:pPr>
        <w:spacing w:line="360" w:lineRule="auto"/>
        <w:jc w:val="both"/>
        <w:rPr>
          <w:rFonts w:ascii="KievitPro-Regular" w:hAnsi="KievitPro-Regular" w:cs="Arial"/>
          <w:b/>
          <w:sz w:val="44"/>
          <w:szCs w:val="44"/>
        </w:rPr>
      </w:pPr>
    </w:p>
    <w:p w14:paraId="11819BF1" w14:textId="77777777" w:rsidR="00574AAB" w:rsidRPr="00251C94" w:rsidRDefault="00574AAB" w:rsidP="00574AAB">
      <w:pPr>
        <w:spacing w:line="360" w:lineRule="auto"/>
        <w:jc w:val="both"/>
        <w:rPr>
          <w:rFonts w:ascii="KievitPro-Regular" w:hAnsi="KievitPro-Regular" w:cs="Arial"/>
          <w:b/>
          <w:sz w:val="44"/>
          <w:szCs w:val="44"/>
        </w:rPr>
      </w:pPr>
    </w:p>
    <w:p w14:paraId="3448214D" w14:textId="77777777" w:rsidR="00574AAB" w:rsidRPr="00251C94" w:rsidRDefault="00574AAB" w:rsidP="00574AAB">
      <w:pPr>
        <w:spacing w:line="360" w:lineRule="auto"/>
        <w:jc w:val="both"/>
        <w:rPr>
          <w:rFonts w:ascii="KievitPro-Regular" w:hAnsi="KievitPro-Regular" w:cs="Arial"/>
          <w:b/>
          <w:sz w:val="44"/>
          <w:szCs w:val="44"/>
        </w:rPr>
      </w:pPr>
    </w:p>
    <w:p w14:paraId="4E325C04" w14:textId="77777777" w:rsidR="000F7900" w:rsidRPr="00251C94" w:rsidRDefault="000F7900" w:rsidP="000F7900">
      <w:pPr>
        <w:spacing w:line="360" w:lineRule="auto"/>
        <w:ind w:left="1418"/>
        <w:rPr>
          <w:rFonts w:ascii="KievitPro-Regular" w:hAnsi="KievitPro-Regular" w:cs="Arial"/>
          <w:sz w:val="24"/>
          <w:szCs w:val="24"/>
        </w:rPr>
      </w:pPr>
    </w:p>
    <w:p w14:paraId="7D00E582" w14:textId="77777777" w:rsidR="00883062" w:rsidRPr="00251C94" w:rsidRDefault="00883062" w:rsidP="00F60DC0">
      <w:pPr>
        <w:spacing w:line="360" w:lineRule="auto"/>
        <w:jc w:val="both"/>
        <w:rPr>
          <w:rFonts w:ascii="KievitPro-Regular" w:hAnsi="KievitPro-Regular" w:cs="Arial"/>
          <w:b/>
          <w:sz w:val="44"/>
          <w:szCs w:val="44"/>
        </w:rPr>
      </w:pPr>
    </w:p>
    <w:p w14:paraId="77707350" w14:textId="77777777" w:rsidR="00251C94" w:rsidRPr="00251C94" w:rsidRDefault="0050327D" w:rsidP="00251C94">
      <w:pPr>
        <w:pStyle w:val="Inhaltsverzeichnisberschrift"/>
        <w:rPr>
          <w:rFonts w:ascii="KievitPro-Regular" w:hAnsi="KievitPro-Regular" w:cs="Arial"/>
          <w:b/>
          <w:bCs/>
        </w:rPr>
      </w:pPr>
      <w:r w:rsidRPr="00251C94">
        <w:rPr>
          <w:rFonts w:ascii="KievitPro-Regular" w:hAnsi="KievitPro-Regular"/>
        </w:rPr>
        <w:br w:type="column"/>
      </w:r>
      <w:r w:rsidR="00251C94" w:rsidRPr="00251C94">
        <w:rPr>
          <w:rFonts w:ascii="KievitPro-Regular" w:hAnsi="KievitPro-Regular"/>
          <w:b/>
        </w:rPr>
        <w:lastRenderedPageBreak/>
        <w:t>Indice</w:t>
      </w:r>
    </w:p>
    <w:p w14:paraId="3004C205" w14:textId="77777777" w:rsidR="00251C94" w:rsidRPr="00251C94" w:rsidRDefault="00251C94" w:rsidP="00251C94">
      <w:pPr>
        <w:pStyle w:val="Verzeichnis1"/>
        <w:rPr>
          <w:rFonts w:ascii="KievitPro-Regular" w:eastAsiaTheme="minorEastAsia" w:hAnsi="KievitPro-Regular" w:cstheme="minorBidi"/>
          <w:iCs/>
          <w:kern w:val="2"/>
          <w:sz w:val="24"/>
          <w:szCs w:val="24"/>
          <w:lang w:val="de-CH" w:eastAsia="de-CH"/>
          <w14:ligatures w14:val="standardContextual"/>
        </w:rPr>
      </w:pPr>
      <w:r w:rsidRPr="00251C94">
        <w:rPr>
          <w:rFonts w:ascii="KievitPro-Regular" w:hAnsi="KievitPro-Regular" w:cs="Arial"/>
          <w:iCs/>
          <w:noProof/>
          <w:vanish/>
          <w:sz w:val="28"/>
        </w:rPr>
        <w:fldChar w:fldCharType="begin"/>
      </w:r>
      <w:r w:rsidRPr="00251C94">
        <w:rPr>
          <w:rFonts w:ascii="KievitPro-Regular" w:hAnsi="KievitPro-Regular" w:cs="Arial"/>
          <w:vanish/>
        </w:rPr>
        <w:instrText xml:space="preserve"> TOC \o "1-3" \h \z \u </w:instrText>
      </w:r>
      <w:r w:rsidRPr="00251C94">
        <w:rPr>
          <w:rFonts w:ascii="KievitPro-Regular" w:hAnsi="KievitPro-Regular" w:cs="Arial"/>
          <w:iCs/>
          <w:noProof/>
          <w:vanish/>
          <w:sz w:val="28"/>
        </w:rPr>
        <w:fldChar w:fldCharType="separate"/>
      </w:r>
      <w:hyperlink w:anchor="_Toc236311846" w:history="1">
        <w:r w:rsidRPr="00251C94">
          <w:rPr>
            <w:rStyle w:val="Hyperlink"/>
            <w:rFonts w:ascii="KievitPro-Regular" w:hAnsi="KievitPro-Regular"/>
          </w:rPr>
          <w:t>Strategia e principi del sistema di gestione della qualità</w:t>
        </w:r>
        <w:r w:rsidRPr="00251C94">
          <w:rPr>
            <w:rFonts w:ascii="KievitPro-Regular" w:hAnsi="KievitPro-Regular"/>
            <w:webHidden/>
          </w:rPr>
          <w:tab/>
        </w:r>
        <w:r w:rsidRPr="00251C94">
          <w:rPr>
            <w:rFonts w:ascii="KievitPro-Regular" w:hAnsi="KievitPro-Regular"/>
            <w:webHidden/>
          </w:rPr>
          <w:fldChar w:fldCharType="begin"/>
        </w:r>
        <w:r w:rsidRPr="00251C94">
          <w:rPr>
            <w:rFonts w:ascii="KievitPro-Regular" w:hAnsi="KievitPro-Regular"/>
            <w:webHidden/>
          </w:rPr>
          <w:instrText xml:space="preserve"> PAGEREF _Toc236311846 \h </w:instrText>
        </w:r>
        <w:r w:rsidRPr="00251C94">
          <w:rPr>
            <w:rFonts w:ascii="KievitPro-Regular" w:hAnsi="KievitPro-Regular"/>
            <w:webHidden/>
          </w:rPr>
        </w:r>
        <w:r w:rsidRPr="00251C94">
          <w:rPr>
            <w:rFonts w:ascii="KievitPro-Regular" w:hAnsi="KievitPro-Regular"/>
            <w:webHidden/>
          </w:rPr>
          <w:fldChar w:fldCharType="separate"/>
        </w:r>
        <w:r w:rsidRPr="00251C94">
          <w:rPr>
            <w:rFonts w:ascii="KievitPro-Regular" w:hAnsi="KievitPro-Regular"/>
            <w:webHidden/>
          </w:rPr>
          <w:t>4</w:t>
        </w:r>
        <w:r w:rsidRPr="00251C94">
          <w:rPr>
            <w:rFonts w:ascii="KievitPro-Regular" w:hAnsi="KievitPro-Regular"/>
            <w:webHidden/>
          </w:rPr>
          <w:fldChar w:fldCharType="end"/>
        </w:r>
      </w:hyperlink>
    </w:p>
    <w:p w14:paraId="4193FA54" w14:textId="77777777" w:rsidR="00251C94" w:rsidRPr="00251C94" w:rsidRDefault="00251C94" w:rsidP="00251C94">
      <w:pPr>
        <w:pStyle w:val="Verzeichnis1"/>
        <w:rPr>
          <w:rFonts w:ascii="KievitPro-Regular" w:eastAsiaTheme="minorEastAsia" w:hAnsi="KievitPro-Regular" w:cstheme="minorBidi"/>
          <w:iCs/>
          <w:kern w:val="2"/>
          <w:sz w:val="24"/>
          <w:szCs w:val="24"/>
          <w:lang w:val="de-CH" w:eastAsia="de-CH"/>
          <w14:ligatures w14:val="standardContextual"/>
        </w:rPr>
      </w:pPr>
      <w:hyperlink w:anchor="_Toc236311847" w:history="1">
        <w:r w:rsidRPr="00251C94">
          <w:rPr>
            <w:rStyle w:val="Hyperlink"/>
            <w:rFonts w:ascii="KievitPro-Regular" w:hAnsi="KievitPro-Regular"/>
          </w:rPr>
          <w:t>Principi di base</w:t>
        </w:r>
        <w:r w:rsidRPr="00251C94">
          <w:rPr>
            <w:rFonts w:ascii="KievitPro-Regular" w:hAnsi="KievitPro-Regular"/>
            <w:webHidden/>
          </w:rPr>
          <w:tab/>
        </w:r>
        <w:r w:rsidRPr="00251C94">
          <w:rPr>
            <w:rFonts w:ascii="KievitPro-Regular" w:hAnsi="KievitPro-Regular"/>
            <w:webHidden/>
          </w:rPr>
          <w:fldChar w:fldCharType="begin"/>
        </w:r>
        <w:r w:rsidRPr="00251C94">
          <w:rPr>
            <w:rFonts w:ascii="KievitPro-Regular" w:hAnsi="KievitPro-Regular"/>
            <w:webHidden/>
          </w:rPr>
          <w:instrText xml:space="preserve"> PAGEREF _Toc236311847 \h </w:instrText>
        </w:r>
        <w:r w:rsidRPr="00251C94">
          <w:rPr>
            <w:rFonts w:ascii="KievitPro-Regular" w:hAnsi="KievitPro-Regular"/>
            <w:webHidden/>
          </w:rPr>
        </w:r>
        <w:r w:rsidRPr="00251C94">
          <w:rPr>
            <w:rFonts w:ascii="KievitPro-Regular" w:hAnsi="KievitPro-Regular"/>
            <w:webHidden/>
          </w:rPr>
          <w:fldChar w:fldCharType="separate"/>
        </w:r>
        <w:r w:rsidRPr="00251C94">
          <w:rPr>
            <w:rFonts w:ascii="KievitPro-Regular" w:hAnsi="KievitPro-Regular"/>
            <w:webHidden/>
          </w:rPr>
          <w:t>4</w:t>
        </w:r>
        <w:r w:rsidRPr="00251C94">
          <w:rPr>
            <w:rFonts w:ascii="KievitPro-Regular" w:hAnsi="KievitPro-Regular"/>
            <w:webHidden/>
          </w:rPr>
          <w:fldChar w:fldCharType="end"/>
        </w:r>
      </w:hyperlink>
    </w:p>
    <w:p w14:paraId="64F7516A" w14:textId="77777777" w:rsidR="00251C94" w:rsidRPr="00251C94" w:rsidRDefault="00251C94" w:rsidP="00251C94">
      <w:pPr>
        <w:pStyle w:val="Verzeichnis1"/>
        <w:rPr>
          <w:rFonts w:ascii="KievitPro-Regular" w:eastAsiaTheme="minorEastAsia" w:hAnsi="KievitPro-Regular" w:cstheme="minorBidi"/>
          <w:iCs/>
          <w:kern w:val="2"/>
          <w:sz w:val="24"/>
          <w:szCs w:val="24"/>
          <w:lang w:val="de-CH" w:eastAsia="de-CH"/>
          <w14:ligatures w14:val="standardContextual"/>
        </w:rPr>
      </w:pPr>
      <w:hyperlink w:anchor="_Toc236311848" w:history="1">
        <w:r w:rsidRPr="00251C94">
          <w:rPr>
            <w:rStyle w:val="Hyperlink"/>
            <w:rFonts w:ascii="KievitPro-Regular" w:hAnsi="KievitPro-Regular"/>
          </w:rPr>
          <w:t>Approvazione</w:t>
        </w:r>
        <w:r w:rsidRPr="00251C94">
          <w:rPr>
            <w:rFonts w:ascii="KievitPro-Regular" w:hAnsi="KievitPro-Regular"/>
            <w:webHidden/>
          </w:rPr>
          <w:tab/>
        </w:r>
        <w:r w:rsidRPr="00251C94">
          <w:rPr>
            <w:rFonts w:ascii="KievitPro-Regular" w:hAnsi="KievitPro-Regular"/>
            <w:webHidden/>
          </w:rPr>
          <w:fldChar w:fldCharType="begin"/>
        </w:r>
        <w:r w:rsidRPr="00251C94">
          <w:rPr>
            <w:rFonts w:ascii="KievitPro-Regular" w:hAnsi="KievitPro-Regular"/>
            <w:webHidden/>
          </w:rPr>
          <w:instrText xml:space="preserve"> PAGEREF _Toc236311848 \h </w:instrText>
        </w:r>
        <w:r w:rsidRPr="00251C94">
          <w:rPr>
            <w:rFonts w:ascii="KievitPro-Regular" w:hAnsi="KievitPro-Regular"/>
            <w:webHidden/>
          </w:rPr>
        </w:r>
        <w:r w:rsidRPr="00251C94">
          <w:rPr>
            <w:rFonts w:ascii="KievitPro-Regular" w:hAnsi="KievitPro-Regular"/>
            <w:webHidden/>
          </w:rPr>
          <w:fldChar w:fldCharType="separate"/>
        </w:r>
        <w:r w:rsidRPr="00251C94">
          <w:rPr>
            <w:rFonts w:ascii="KievitPro-Regular" w:hAnsi="KievitPro-Regular"/>
            <w:webHidden/>
          </w:rPr>
          <w:t>5</w:t>
        </w:r>
        <w:r w:rsidRPr="00251C94">
          <w:rPr>
            <w:rFonts w:ascii="KievitPro-Regular" w:hAnsi="KievitPro-Regular"/>
            <w:webHidden/>
          </w:rPr>
          <w:fldChar w:fldCharType="end"/>
        </w:r>
      </w:hyperlink>
    </w:p>
    <w:p w14:paraId="7EFB34BB" w14:textId="77777777" w:rsidR="00251C94" w:rsidRPr="00251C94" w:rsidRDefault="00251C94" w:rsidP="00251C94">
      <w:pPr>
        <w:pStyle w:val="Verzeichnis1"/>
        <w:rPr>
          <w:rFonts w:ascii="KievitPro-Regular" w:eastAsiaTheme="minorEastAsia" w:hAnsi="KievitPro-Regular" w:cstheme="minorBidi"/>
          <w:iCs/>
          <w:kern w:val="2"/>
          <w:sz w:val="24"/>
          <w:szCs w:val="24"/>
          <w:lang w:val="de-CH" w:eastAsia="de-CH"/>
          <w14:ligatures w14:val="standardContextual"/>
        </w:rPr>
      </w:pPr>
      <w:hyperlink w:anchor="_Toc236311849" w:history="1">
        <w:r w:rsidRPr="00251C94">
          <w:rPr>
            <w:rStyle w:val="Hyperlink"/>
            <w:rFonts w:ascii="KievitPro-Regular" w:hAnsi="KievitPro-Regular" w:cs="Arial"/>
          </w:rPr>
          <w:t>1</w:t>
        </w:r>
        <w:r w:rsidRPr="00251C94">
          <w:rPr>
            <w:rFonts w:ascii="KievitPro-Regular" w:eastAsiaTheme="minorEastAsia" w:hAnsi="KievitPro-Regular" w:cstheme="minorBidi"/>
            <w:kern w:val="2"/>
            <w:sz w:val="24"/>
            <w:szCs w:val="24"/>
            <w:lang w:val="de-CH" w:eastAsia="de-CH"/>
            <w14:ligatures w14:val="standardContextual"/>
          </w:rPr>
          <w:tab/>
        </w:r>
        <w:r w:rsidRPr="00251C94">
          <w:rPr>
            <w:rStyle w:val="Hyperlink"/>
            <w:rFonts w:ascii="KievitPro-Regular" w:hAnsi="KievitPro-Regular"/>
          </w:rPr>
          <w:t>Processo di valutazione dei rischi nello studio</w:t>
        </w:r>
        <w:r w:rsidRPr="00251C94">
          <w:rPr>
            <w:rFonts w:ascii="KievitPro-Regular" w:hAnsi="KievitPro-Regular"/>
            <w:webHidden/>
          </w:rPr>
          <w:tab/>
        </w:r>
        <w:r w:rsidRPr="00251C94">
          <w:rPr>
            <w:rFonts w:ascii="KievitPro-Regular" w:hAnsi="KievitPro-Regular"/>
            <w:webHidden/>
          </w:rPr>
          <w:fldChar w:fldCharType="begin"/>
        </w:r>
        <w:r w:rsidRPr="00251C94">
          <w:rPr>
            <w:rFonts w:ascii="KievitPro-Regular" w:hAnsi="KievitPro-Regular"/>
            <w:webHidden/>
          </w:rPr>
          <w:instrText xml:space="preserve"> PAGEREF _Toc236311849 \h </w:instrText>
        </w:r>
        <w:r w:rsidRPr="00251C94">
          <w:rPr>
            <w:rFonts w:ascii="KievitPro-Regular" w:hAnsi="KievitPro-Regular"/>
            <w:webHidden/>
          </w:rPr>
        </w:r>
        <w:r w:rsidRPr="00251C94">
          <w:rPr>
            <w:rFonts w:ascii="KievitPro-Regular" w:hAnsi="KievitPro-Regular"/>
            <w:webHidden/>
          </w:rPr>
          <w:fldChar w:fldCharType="separate"/>
        </w:r>
        <w:r w:rsidRPr="00251C94">
          <w:rPr>
            <w:rFonts w:ascii="KievitPro-Regular" w:hAnsi="KievitPro-Regular"/>
            <w:webHidden/>
          </w:rPr>
          <w:t>6</w:t>
        </w:r>
        <w:r w:rsidRPr="00251C94">
          <w:rPr>
            <w:rFonts w:ascii="KievitPro-Regular" w:hAnsi="KievitPro-Regular"/>
            <w:webHidden/>
          </w:rPr>
          <w:fldChar w:fldCharType="end"/>
        </w:r>
      </w:hyperlink>
    </w:p>
    <w:p w14:paraId="0622F95A" w14:textId="77777777" w:rsidR="00251C94" w:rsidRPr="00251C94" w:rsidRDefault="00251C94" w:rsidP="00251C94">
      <w:pPr>
        <w:pStyle w:val="Verzeichnis1"/>
        <w:rPr>
          <w:rFonts w:ascii="KievitPro-Regular" w:eastAsiaTheme="minorEastAsia" w:hAnsi="KievitPro-Regular" w:cstheme="minorBidi"/>
          <w:iCs/>
          <w:kern w:val="2"/>
          <w:sz w:val="24"/>
          <w:szCs w:val="24"/>
          <w:lang w:val="de-CH" w:eastAsia="de-CH"/>
          <w14:ligatures w14:val="standardContextual"/>
        </w:rPr>
      </w:pPr>
      <w:hyperlink w:anchor="_Toc236311850" w:history="1">
        <w:r w:rsidRPr="00251C94">
          <w:rPr>
            <w:rStyle w:val="Hyperlink"/>
            <w:rFonts w:ascii="KievitPro-Regular" w:hAnsi="KievitPro-Regular" w:cs="Arial"/>
          </w:rPr>
          <w:t>2</w:t>
        </w:r>
        <w:r w:rsidRPr="00251C94">
          <w:rPr>
            <w:rFonts w:ascii="KievitPro-Regular" w:eastAsiaTheme="minorEastAsia" w:hAnsi="KievitPro-Regular" w:cstheme="minorBidi"/>
            <w:kern w:val="2"/>
            <w:sz w:val="24"/>
            <w:szCs w:val="24"/>
            <w:lang w:val="de-CH" w:eastAsia="de-CH"/>
            <w14:ligatures w14:val="standardContextual"/>
          </w:rPr>
          <w:tab/>
        </w:r>
        <w:r w:rsidRPr="00251C94">
          <w:rPr>
            <w:rStyle w:val="Hyperlink"/>
            <w:rFonts w:ascii="KievitPro-Regular" w:hAnsi="KievitPro-Regular"/>
          </w:rPr>
          <w:t>Sorveglianza e leadership del sistema di gestione della qualità</w:t>
        </w:r>
        <w:r w:rsidRPr="00251C94">
          <w:rPr>
            <w:rFonts w:ascii="KievitPro-Regular" w:hAnsi="KievitPro-Regular"/>
            <w:webHidden/>
          </w:rPr>
          <w:tab/>
        </w:r>
        <w:r w:rsidRPr="00251C94">
          <w:rPr>
            <w:rFonts w:ascii="KievitPro-Regular" w:hAnsi="KievitPro-Regular"/>
            <w:webHidden/>
          </w:rPr>
          <w:fldChar w:fldCharType="begin"/>
        </w:r>
        <w:r w:rsidRPr="00251C94">
          <w:rPr>
            <w:rFonts w:ascii="KievitPro-Regular" w:hAnsi="KievitPro-Regular"/>
            <w:webHidden/>
          </w:rPr>
          <w:instrText xml:space="preserve"> PAGEREF _Toc236311850 \h </w:instrText>
        </w:r>
        <w:r w:rsidRPr="00251C94">
          <w:rPr>
            <w:rFonts w:ascii="KievitPro-Regular" w:hAnsi="KievitPro-Regular"/>
            <w:webHidden/>
          </w:rPr>
        </w:r>
        <w:r w:rsidRPr="00251C94">
          <w:rPr>
            <w:rFonts w:ascii="KievitPro-Regular" w:hAnsi="KievitPro-Regular"/>
            <w:webHidden/>
          </w:rPr>
          <w:fldChar w:fldCharType="separate"/>
        </w:r>
        <w:r w:rsidRPr="00251C94">
          <w:rPr>
            <w:rFonts w:ascii="KievitPro-Regular" w:hAnsi="KievitPro-Regular"/>
            <w:webHidden/>
          </w:rPr>
          <w:t>7</w:t>
        </w:r>
        <w:r w:rsidRPr="00251C94">
          <w:rPr>
            <w:rFonts w:ascii="KievitPro-Regular" w:hAnsi="KievitPro-Regular"/>
            <w:webHidden/>
          </w:rPr>
          <w:fldChar w:fldCharType="end"/>
        </w:r>
      </w:hyperlink>
    </w:p>
    <w:p w14:paraId="06C4984A" w14:textId="77777777" w:rsidR="00251C94" w:rsidRPr="00251C94" w:rsidRDefault="00251C94" w:rsidP="00251C94">
      <w:pPr>
        <w:pStyle w:val="Verzeichnis1"/>
        <w:rPr>
          <w:rFonts w:ascii="KievitPro-Regular" w:eastAsiaTheme="minorEastAsia" w:hAnsi="KievitPro-Regular" w:cstheme="minorBidi"/>
          <w:iCs/>
          <w:kern w:val="2"/>
          <w:sz w:val="24"/>
          <w:szCs w:val="24"/>
          <w:lang w:val="de-CH" w:eastAsia="de-CH"/>
          <w14:ligatures w14:val="standardContextual"/>
        </w:rPr>
      </w:pPr>
      <w:hyperlink w:anchor="_Toc236311851" w:history="1">
        <w:r w:rsidRPr="00251C94">
          <w:rPr>
            <w:rStyle w:val="Hyperlink"/>
            <w:rFonts w:ascii="KievitPro-Regular" w:hAnsi="KievitPro-Regular" w:cs="Arial"/>
          </w:rPr>
          <w:t>3</w:t>
        </w:r>
        <w:r w:rsidRPr="00251C94">
          <w:rPr>
            <w:rFonts w:ascii="KievitPro-Regular" w:eastAsiaTheme="minorEastAsia" w:hAnsi="KievitPro-Regular" w:cstheme="minorBidi"/>
            <w:kern w:val="2"/>
            <w:sz w:val="24"/>
            <w:szCs w:val="24"/>
            <w:lang w:val="de-CH" w:eastAsia="de-CH"/>
            <w14:ligatures w14:val="standardContextual"/>
          </w:rPr>
          <w:tab/>
        </w:r>
        <w:r w:rsidRPr="00251C94">
          <w:rPr>
            <w:rStyle w:val="Hyperlink"/>
            <w:rFonts w:ascii="KievitPro-Regular" w:hAnsi="KievitPro-Regular"/>
          </w:rPr>
          <w:t>Requisiti professionali di comportamento di rilievo</w:t>
        </w:r>
        <w:r w:rsidRPr="00251C94">
          <w:rPr>
            <w:rFonts w:ascii="KievitPro-Regular" w:hAnsi="KievitPro-Regular"/>
            <w:webHidden/>
          </w:rPr>
          <w:tab/>
        </w:r>
        <w:r w:rsidRPr="00251C94">
          <w:rPr>
            <w:rFonts w:ascii="KievitPro-Regular" w:hAnsi="KievitPro-Regular"/>
            <w:webHidden/>
          </w:rPr>
          <w:fldChar w:fldCharType="begin"/>
        </w:r>
        <w:r w:rsidRPr="00251C94">
          <w:rPr>
            <w:rFonts w:ascii="KievitPro-Regular" w:hAnsi="KievitPro-Regular"/>
            <w:webHidden/>
          </w:rPr>
          <w:instrText xml:space="preserve"> PAGEREF _Toc236311851 \h </w:instrText>
        </w:r>
        <w:r w:rsidRPr="00251C94">
          <w:rPr>
            <w:rFonts w:ascii="KievitPro-Regular" w:hAnsi="KievitPro-Regular"/>
            <w:webHidden/>
          </w:rPr>
        </w:r>
        <w:r w:rsidRPr="00251C94">
          <w:rPr>
            <w:rFonts w:ascii="KievitPro-Regular" w:hAnsi="KievitPro-Regular"/>
            <w:webHidden/>
          </w:rPr>
          <w:fldChar w:fldCharType="separate"/>
        </w:r>
        <w:r w:rsidRPr="00251C94">
          <w:rPr>
            <w:rFonts w:ascii="KievitPro-Regular" w:hAnsi="KievitPro-Regular"/>
            <w:webHidden/>
          </w:rPr>
          <w:t>9</w:t>
        </w:r>
        <w:r w:rsidRPr="00251C94">
          <w:rPr>
            <w:rFonts w:ascii="KievitPro-Regular" w:hAnsi="KievitPro-Regular"/>
            <w:webHidden/>
          </w:rPr>
          <w:fldChar w:fldCharType="end"/>
        </w:r>
      </w:hyperlink>
    </w:p>
    <w:p w14:paraId="3F12F0E7" w14:textId="77777777" w:rsidR="00251C94" w:rsidRPr="00251C94" w:rsidRDefault="00251C94" w:rsidP="00251C94">
      <w:pPr>
        <w:pStyle w:val="Verzeichnis1"/>
        <w:rPr>
          <w:rFonts w:ascii="KievitPro-Regular" w:eastAsiaTheme="minorEastAsia" w:hAnsi="KievitPro-Regular" w:cstheme="minorBidi"/>
          <w:iCs/>
          <w:kern w:val="2"/>
          <w:sz w:val="24"/>
          <w:szCs w:val="24"/>
          <w:lang w:val="de-CH" w:eastAsia="de-CH"/>
          <w14:ligatures w14:val="standardContextual"/>
        </w:rPr>
      </w:pPr>
      <w:hyperlink w:anchor="_Toc236311852" w:history="1">
        <w:r w:rsidRPr="00251C94">
          <w:rPr>
            <w:rStyle w:val="Hyperlink"/>
            <w:rFonts w:ascii="KievitPro-Regular" w:hAnsi="KievitPro-Regular" w:cs="Arial"/>
          </w:rPr>
          <w:t>4</w:t>
        </w:r>
        <w:r w:rsidRPr="00251C94">
          <w:rPr>
            <w:rFonts w:ascii="KievitPro-Regular" w:eastAsiaTheme="minorEastAsia" w:hAnsi="KievitPro-Regular" w:cstheme="minorBidi"/>
            <w:kern w:val="2"/>
            <w:sz w:val="24"/>
            <w:szCs w:val="24"/>
            <w:lang w:val="de-CH" w:eastAsia="de-CH"/>
            <w14:ligatures w14:val="standardContextual"/>
          </w:rPr>
          <w:tab/>
        </w:r>
        <w:r w:rsidRPr="00251C94">
          <w:rPr>
            <w:rStyle w:val="Hyperlink"/>
            <w:rFonts w:ascii="KievitPro-Regular" w:hAnsi="KievitPro-Regular"/>
          </w:rPr>
          <w:t>Accettazione e continuazione dei rapporti con i mandanti e di determinati mandati</w:t>
        </w:r>
        <w:r w:rsidRPr="00251C94">
          <w:rPr>
            <w:rFonts w:ascii="KievitPro-Regular" w:hAnsi="KievitPro-Regular"/>
            <w:webHidden/>
          </w:rPr>
          <w:tab/>
        </w:r>
        <w:r w:rsidRPr="00251C94">
          <w:rPr>
            <w:rFonts w:ascii="KievitPro-Regular" w:hAnsi="KievitPro-Regular"/>
            <w:webHidden/>
          </w:rPr>
          <w:fldChar w:fldCharType="begin"/>
        </w:r>
        <w:r w:rsidRPr="00251C94">
          <w:rPr>
            <w:rFonts w:ascii="KievitPro-Regular" w:hAnsi="KievitPro-Regular"/>
            <w:webHidden/>
          </w:rPr>
          <w:instrText xml:space="preserve"> PAGEREF _Toc236311852 \h </w:instrText>
        </w:r>
        <w:r w:rsidRPr="00251C94">
          <w:rPr>
            <w:rFonts w:ascii="KievitPro-Regular" w:hAnsi="KievitPro-Regular"/>
            <w:webHidden/>
          </w:rPr>
        </w:r>
        <w:r w:rsidRPr="00251C94">
          <w:rPr>
            <w:rFonts w:ascii="KievitPro-Regular" w:hAnsi="KievitPro-Regular"/>
            <w:webHidden/>
          </w:rPr>
          <w:fldChar w:fldCharType="separate"/>
        </w:r>
        <w:r w:rsidRPr="00251C94">
          <w:rPr>
            <w:rFonts w:ascii="KievitPro-Regular" w:hAnsi="KievitPro-Regular"/>
            <w:webHidden/>
          </w:rPr>
          <w:t>11</w:t>
        </w:r>
        <w:r w:rsidRPr="00251C94">
          <w:rPr>
            <w:rFonts w:ascii="KievitPro-Regular" w:hAnsi="KievitPro-Regular"/>
            <w:webHidden/>
          </w:rPr>
          <w:fldChar w:fldCharType="end"/>
        </w:r>
      </w:hyperlink>
    </w:p>
    <w:p w14:paraId="54B0933A" w14:textId="77777777" w:rsidR="00251C94" w:rsidRPr="00251C94" w:rsidRDefault="00251C94" w:rsidP="00251C94">
      <w:pPr>
        <w:pStyle w:val="Verzeichnis1"/>
        <w:rPr>
          <w:rFonts w:ascii="KievitPro-Regular" w:eastAsiaTheme="minorEastAsia" w:hAnsi="KievitPro-Regular" w:cstheme="minorBidi"/>
          <w:iCs/>
          <w:kern w:val="2"/>
          <w:sz w:val="24"/>
          <w:szCs w:val="24"/>
          <w:lang w:val="de-CH" w:eastAsia="de-CH"/>
          <w14:ligatures w14:val="standardContextual"/>
        </w:rPr>
      </w:pPr>
      <w:hyperlink w:anchor="_Toc236311853" w:history="1">
        <w:r w:rsidRPr="00251C94">
          <w:rPr>
            <w:rStyle w:val="Hyperlink"/>
            <w:rFonts w:ascii="KievitPro-Regular" w:hAnsi="KievitPro-Regular" w:cs="Arial"/>
          </w:rPr>
          <w:t>5</w:t>
        </w:r>
        <w:r w:rsidRPr="00251C94">
          <w:rPr>
            <w:rFonts w:ascii="KievitPro-Regular" w:eastAsiaTheme="minorEastAsia" w:hAnsi="KievitPro-Regular" w:cstheme="minorBidi"/>
            <w:kern w:val="2"/>
            <w:sz w:val="24"/>
            <w:szCs w:val="24"/>
            <w:lang w:val="de-CH" w:eastAsia="de-CH"/>
            <w14:ligatures w14:val="standardContextual"/>
          </w:rPr>
          <w:tab/>
        </w:r>
        <w:r w:rsidRPr="00251C94">
          <w:rPr>
            <w:rStyle w:val="Hyperlink"/>
            <w:rFonts w:ascii="KievitPro-Regular" w:hAnsi="KievitPro-Regular"/>
          </w:rPr>
          <w:t>Risorse</w:t>
        </w:r>
        <w:r w:rsidRPr="00251C94">
          <w:rPr>
            <w:rFonts w:ascii="KievitPro-Regular" w:hAnsi="KievitPro-Regular"/>
            <w:webHidden/>
          </w:rPr>
          <w:tab/>
        </w:r>
        <w:r w:rsidRPr="00251C94">
          <w:rPr>
            <w:rFonts w:ascii="KievitPro-Regular" w:hAnsi="KievitPro-Regular"/>
            <w:webHidden/>
          </w:rPr>
          <w:fldChar w:fldCharType="begin"/>
        </w:r>
        <w:r w:rsidRPr="00251C94">
          <w:rPr>
            <w:rFonts w:ascii="KievitPro-Regular" w:hAnsi="KievitPro-Regular"/>
            <w:webHidden/>
          </w:rPr>
          <w:instrText xml:space="preserve"> PAGEREF _Toc236311853 \h </w:instrText>
        </w:r>
        <w:r w:rsidRPr="00251C94">
          <w:rPr>
            <w:rFonts w:ascii="KievitPro-Regular" w:hAnsi="KievitPro-Regular"/>
            <w:webHidden/>
          </w:rPr>
        </w:r>
        <w:r w:rsidRPr="00251C94">
          <w:rPr>
            <w:rFonts w:ascii="KievitPro-Regular" w:hAnsi="KievitPro-Regular"/>
            <w:webHidden/>
          </w:rPr>
          <w:fldChar w:fldCharType="separate"/>
        </w:r>
        <w:r w:rsidRPr="00251C94">
          <w:rPr>
            <w:rFonts w:ascii="KievitPro-Regular" w:hAnsi="KievitPro-Regular"/>
            <w:webHidden/>
          </w:rPr>
          <w:t>12</w:t>
        </w:r>
        <w:r w:rsidRPr="00251C94">
          <w:rPr>
            <w:rFonts w:ascii="KievitPro-Regular" w:hAnsi="KievitPro-Regular"/>
            <w:webHidden/>
          </w:rPr>
          <w:fldChar w:fldCharType="end"/>
        </w:r>
      </w:hyperlink>
    </w:p>
    <w:p w14:paraId="150CF296" w14:textId="77777777" w:rsidR="00251C94" w:rsidRPr="00251C94" w:rsidRDefault="00251C94" w:rsidP="00251C94">
      <w:pPr>
        <w:pStyle w:val="Verzeichnis1"/>
        <w:rPr>
          <w:rFonts w:ascii="KievitPro-Regular" w:eastAsiaTheme="minorEastAsia" w:hAnsi="KievitPro-Regular" w:cstheme="minorBidi"/>
          <w:iCs/>
          <w:kern w:val="2"/>
          <w:sz w:val="24"/>
          <w:szCs w:val="24"/>
          <w:lang w:val="de-CH" w:eastAsia="de-CH"/>
          <w14:ligatures w14:val="standardContextual"/>
        </w:rPr>
      </w:pPr>
      <w:hyperlink w:anchor="_Toc236311854" w:history="1">
        <w:r w:rsidRPr="00251C94">
          <w:rPr>
            <w:rStyle w:val="Hyperlink"/>
            <w:rFonts w:ascii="KievitPro-Regular" w:hAnsi="KievitPro-Regular" w:cs="Arial"/>
          </w:rPr>
          <w:t>6</w:t>
        </w:r>
        <w:r w:rsidRPr="00251C94">
          <w:rPr>
            <w:rFonts w:ascii="KievitPro-Regular" w:eastAsiaTheme="minorEastAsia" w:hAnsi="KievitPro-Regular" w:cstheme="minorBidi"/>
            <w:kern w:val="2"/>
            <w:sz w:val="24"/>
            <w:szCs w:val="24"/>
            <w:lang w:val="de-CH" w:eastAsia="de-CH"/>
            <w14:ligatures w14:val="standardContextual"/>
          </w:rPr>
          <w:tab/>
        </w:r>
        <w:r w:rsidRPr="00251C94">
          <w:rPr>
            <w:rStyle w:val="Hyperlink"/>
            <w:rFonts w:ascii="KievitPro-Regular" w:hAnsi="KievitPro-Regular"/>
          </w:rPr>
          <w:t>Esecuzione dei mandati</w:t>
        </w:r>
        <w:r w:rsidRPr="00251C94">
          <w:rPr>
            <w:rFonts w:ascii="KievitPro-Regular" w:hAnsi="KievitPro-Regular"/>
            <w:webHidden/>
          </w:rPr>
          <w:tab/>
        </w:r>
        <w:r w:rsidRPr="00251C94">
          <w:rPr>
            <w:rFonts w:ascii="KievitPro-Regular" w:hAnsi="KievitPro-Regular"/>
            <w:webHidden/>
          </w:rPr>
          <w:fldChar w:fldCharType="begin"/>
        </w:r>
        <w:r w:rsidRPr="00251C94">
          <w:rPr>
            <w:rFonts w:ascii="KievitPro-Regular" w:hAnsi="KievitPro-Regular"/>
            <w:webHidden/>
          </w:rPr>
          <w:instrText xml:space="preserve"> PAGEREF _Toc236311854 \h </w:instrText>
        </w:r>
        <w:r w:rsidRPr="00251C94">
          <w:rPr>
            <w:rFonts w:ascii="KievitPro-Regular" w:hAnsi="KievitPro-Regular"/>
            <w:webHidden/>
          </w:rPr>
        </w:r>
        <w:r w:rsidRPr="00251C94">
          <w:rPr>
            <w:rFonts w:ascii="KievitPro-Regular" w:hAnsi="KievitPro-Regular"/>
            <w:webHidden/>
          </w:rPr>
          <w:fldChar w:fldCharType="separate"/>
        </w:r>
        <w:r w:rsidRPr="00251C94">
          <w:rPr>
            <w:rFonts w:ascii="KievitPro-Regular" w:hAnsi="KievitPro-Regular"/>
            <w:webHidden/>
          </w:rPr>
          <w:t>13</w:t>
        </w:r>
        <w:r w:rsidRPr="00251C94">
          <w:rPr>
            <w:rFonts w:ascii="KievitPro-Regular" w:hAnsi="KievitPro-Regular"/>
            <w:webHidden/>
          </w:rPr>
          <w:fldChar w:fldCharType="end"/>
        </w:r>
      </w:hyperlink>
    </w:p>
    <w:p w14:paraId="2CC32827" w14:textId="77777777" w:rsidR="00251C94" w:rsidRPr="00251C94" w:rsidRDefault="00251C94" w:rsidP="00251C94">
      <w:pPr>
        <w:pStyle w:val="Verzeichnis2"/>
        <w:rPr>
          <w:rFonts w:ascii="KievitPro-Regular" w:eastAsiaTheme="minorEastAsia" w:hAnsi="KievitPro-Regular" w:cstheme="minorBidi"/>
          <w:iCs w:val="0"/>
          <w:noProof/>
          <w:kern w:val="2"/>
          <w:szCs w:val="24"/>
          <w:lang w:val="de-CH" w:eastAsia="de-CH"/>
          <w14:ligatures w14:val="standardContextual"/>
        </w:rPr>
      </w:pPr>
      <w:hyperlink w:anchor="_Toc236311855" w:history="1">
        <w:r w:rsidRPr="00251C94">
          <w:rPr>
            <w:rStyle w:val="Hyperlink"/>
            <w:rFonts w:ascii="KievitPro-Regular" w:hAnsi="KievitPro-Regular" w:cs="Arial"/>
            <w:b/>
            <w:noProof/>
          </w:rPr>
          <w:t>6.1</w:t>
        </w:r>
        <w:r w:rsidRPr="00251C94">
          <w:rPr>
            <w:rFonts w:ascii="KievitPro-Regular" w:eastAsiaTheme="minorEastAsia" w:hAnsi="KievitPro-Regular" w:cstheme="minorBidi"/>
            <w:iCs w:val="0"/>
            <w:noProof/>
            <w:kern w:val="2"/>
            <w:szCs w:val="24"/>
            <w:lang w:val="de-CH" w:eastAsia="de-CH"/>
            <w14:ligatures w14:val="standardContextual"/>
          </w:rPr>
          <w:tab/>
        </w:r>
        <w:r w:rsidRPr="00251C94">
          <w:rPr>
            <w:rStyle w:val="Hyperlink"/>
            <w:rFonts w:ascii="KievitPro-Regular" w:hAnsi="KievitPro-Regular"/>
            <w:b/>
            <w:noProof/>
          </w:rPr>
          <w:t>Regolamenti e misure</w:t>
        </w:r>
        <w:r w:rsidRPr="00251C94">
          <w:rPr>
            <w:rFonts w:ascii="KievitPro-Regular" w:hAnsi="KievitPro-Regular"/>
            <w:noProof/>
            <w:webHidden/>
          </w:rPr>
          <w:tab/>
        </w:r>
        <w:r w:rsidRPr="00251C94">
          <w:rPr>
            <w:rFonts w:ascii="KievitPro-Regular" w:hAnsi="KievitPro-Regular"/>
            <w:noProof/>
            <w:webHidden/>
          </w:rPr>
          <w:fldChar w:fldCharType="begin"/>
        </w:r>
        <w:r w:rsidRPr="00251C94">
          <w:rPr>
            <w:rFonts w:ascii="KievitPro-Regular" w:hAnsi="KievitPro-Regular"/>
            <w:noProof/>
            <w:webHidden/>
          </w:rPr>
          <w:instrText xml:space="preserve"> PAGEREF _Toc236311855 \h </w:instrText>
        </w:r>
        <w:r w:rsidRPr="00251C94">
          <w:rPr>
            <w:rFonts w:ascii="KievitPro-Regular" w:hAnsi="KievitPro-Regular"/>
            <w:noProof/>
            <w:webHidden/>
          </w:rPr>
        </w:r>
        <w:r w:rsidRPr="00251C94">
          <w:rPr>
            <w:rFonts w:ascii="KievitPro-Regular" w:hAnsi="KievitPro-Regular"/>
            <w:noProof/>
            <w:webHidden/>
          </w:rPr>
          <w:fldChar w:fldCharType="separate"/>
        </w:r>
        <w:r w:rsidRPr="00251C94">
          <w:rPr>
            <w:rFonts w:ascii="KievitPro-Regular" w:hAnsi="KievitPro-Regular"/>
            <w:noProof/>
            <w:webHidden/>
          </w:rPr>
          <w:t>13</w:t>
        </w:r>
        <w:r w:rsidRPr="00251C94">
          <w:rPr>
            <w:rFonts w:ascii="KievitPro-Regular" w:hAnsi="KievitPro-Regular"/>
            <w:noProof/>
            <w:webHidden/>
          </w:rPr>
          <w:fldChar w:fldCharType="end"/>
        </w:r>
      </w:hyperlink>
    </w:p>
    <w:p w14:paraId="55E83AD5" w14:textId="77777777" w:rsidR="00251C94" w:rsidRPr="00251C94" w:rsidRDefault="00251C94" w:rsidP="00251C94">
      <w:pPr>
        <w:pStyle w:val="Verzeichnis2"/>
        <w:rPr>
          <w:rFonts w:ascii="KievitPro-Regular" w:eastAsiaTheme="minorEastAsia" w:hAnsi="KievitPro-Regular" w:cstheme="minorBidi"/>
          <w:iCs w:val="0"/>
          <w:noProof/>
          <w:kern w:val="2"/>
          <w:szCs w:val="24"/>
          <w:lang w:val="de-CH" w:eastAsia="de-CH"/>
          <w14:ligatures w14:val="standardContextual"/>
        </w:rPr>
      </w:pPr>
      <w:hyperlink w:anchor="_Toc236311856" w:history="1">
        <w:r w:rsidRPr="00251C94">
          <w:rPr>
            <w:rStyle w:val="Hyperlink"/>
            <w:rFonts w:ascii="KievitPro-Regular" w:hAnsi="KievitPro-Regular" w:cs="Arial"/>
            <w:b/>
            <w:noProof/>
          </w:rPr>
          <w:t>6.2</w:t>
        </w:r>
        <w:r w:rsidRPr="00251C94">
          <w:rPr>
            <w:rFonts w:ascii="KievitPro-Regular" w:eastAsiaTheme="minorEastAsia" w:hAnsi="KievitPro-Regular" w:cstheme="minorBidi"/>
            <w:iCs w:val="0"/>
            <w:noProof/>
            <w:kern w:val="2"/>
            <w:szCs w:val="24"/>
            <w:lang w:val="de-CH" w:eastAsia="de-CH"/>
            <w14:ligatures w14:val="standardContextual"/>
          </w:rPr>
          <w:tab/>
        </w:r>
        <w:r w:rsidRPr="00251C94">
          <w:rPr>
            <w:rStyle w:val="Hyperlink"/>
            <w:rFonts w:ascii="KievitPro-Regular" w:hAnsi="KievitPro-Regular"/>
            <w:b/>
            <w:noProof/>
          </w:rPr>
          <w:t>Qualità costante nell'esecuzione dei mandati</w:t>
        </w:r>
        <w:r w:rsidRPr="00251C94">
          <w:rPr>
            <w:rFonts w:ascii="KievitPro-Regular" w:hAnsi="KievitPro-Regular"/>
            <w:noProof/>
            <w:webHidden/>
          </w:rPr>
          <w:tab/>
        </w:r>
        <w:r w:rsidRPr="00251C94">
          <w:rPr>
            <w:rFonts w:ascii="KievitPro-Regular" w:hAnsi="KievitPro-Regular"/>
            <w:noProof/>
            <w:webHidden/>
          </w:rPr>
          <w:fldChar w:fldCharType="begin"/>
        </w:r>
        <w:r w:rsidRPr="00251C94">
          <w:rPr>
            <w:rFonts w:ascii="KievitPro-Regular" w:hAnsi="KievitPro-Regular"/>
            <w:noProof/>
            <w:webHidden/>
          </w:rPr>
          <w:instrText xml:space="preserve"> PAGEREF _Toc236311856 \h </w:instrText>
        </w:r>
        <w:r w:rsidRPr="00251C94">
          <w:rPr>
            <w:rFonts w:ascii="KievitPro-Regular" w:hAnsi="KievitPro-Regular"/>
            <w:noProof/>
            <w:webHidden/>
          </w:rPr>
        </w:r>
        <w:r w:rsidRPr="00251C94">
          <w:rPr>
            <w:rFonts w:ascii="KievitPro-Regular" w:hAnsi="KievitPro-Regular"/>
            <w:noProof/>
            <w:webHidden/>
          </w:rPr>
          <w:fldChar w:fldCharType="separate"/>
        </w:r>
        <w:r w:rsidRPr="00251C94">
          <w:rPr>
            <w:rFonts w:ascii="KievitPro-Regular" w:hAnsi="KievitPro-Regular"/>
            <w:noProof/>
            <w:webHidden/>
          </w:rPr>
          <w:t>15</w:t>
        </w:r>
        <w:r w:rsidRPr="00251C94">
          <w:rPr>
            <w:rFonts w:ascii="KievitPro-Regular" w:hAnsi="KievitPro-Regular"/>
            <w:noProof/>
            <w:webHidden/>
          </w:rPr>
          <w:fldChar w:fldCharType="end"/>
        </w:r>
      </w:hyperlink>
    </w:p>
    <w:p w14:paraId="4925CEFA" w14:textId="77777777" w:rsidR="00251C94" w:rsidRPr="00251C94" w:rsidRDefault="00251C94" w:rsidP="00251C94">
      <w:pPr>
        <w:pStyle w:val="Verzeichnis2"/>
        <w:rPr>
          <w:rFonts w:ascii="KievitPro-Regular" w:eastAsiaTheme="minorEastAsia" w:hAnsi="KievitPro-Regular" w:cstheme="minorBidi"/>
          <w:iCs w:val="0"/>
          <w:noProof/>
          <w:kern w:val="2"/>
          <w:szCs w:val="24"/>
          <w:lang w:val="de-CH" w:eastAsia="de-CH"/>
          <w14:ligatures w14:val="standardContextual"/>
        </w:rPr>
      </w:pPr>
      <w:hyperlink w:anchor="_Toc236311857" w:history="1">
        <w:r w:rsidRPr="00251C94">
          <w:rPr>
            <w:rStyle w:val="Hyperlink"/>
            <w:rFonts w:ascii="KievitPro-Regular" w:hAnsi="KievitPro-Regular" w:cs="Arial"/>
            <w:b/>
            <w:noProof/>
          </w:rPr>
          <w:t>6.3</w:t>
        </w:r>
        <w:r w:rsidRPr="00251C94">
          <w:rPr>
            <w:rFonts w:ascii="KievitPro-Regular" w:eastAsiaTheme="minorEastAsia" w:hAnsi="KievitPro-Regular" w:cstheme="minorBidi"/>
            <w:iCs w:val="0"/>
            <w:noProof/>
            <w:kern w:val="2"/>
            <w:szCs w:val="24"/>
            <w:lang w:val="de-CH" w:eastAsia="de-CH"/>
            <w14:ligatures w14:val="standardContextual"/>
          </w:rPr>
          <w:tab/>
        </w:r>
        <w:r w:rsidRPr="00251C94">
          <w:rPr>
            <w:rStyle w:val="Hyperlink"/>
            <w:rFonts w:ascii="KievitPro-Regular" w:hAnsi="KievitPro-Regular"/>
            <w:b/>
            <w:noProof/>
          </w:rPr>
          <w:t>Sorveglianza dell’esecuzione del mandato</w:t>
        </w:r>
        <w:r w:rsidRPr="00251C94">
          <w:rPr>
            <w:rFonts w:ascii="KievitPro-Regular" w:hAnsi="KievitPro-Regular"/>
            <w:noProof/>
            <w:webHidden/>
          </w:rPr>
          <w:tab/>
        </w:r>
        <w:r w:rsidRPr="00251C94">
          <w:rPr>
            <w:rFonts w:ascii="KievitPro-Regular" w:hAnsi="KievitPro-Regular"/>
            <w:noProof/>
            <w:webHidden/>
          </w:rPr>
          <w:fldChar w:fldCharType="begin"/>
        </w:r>
        <w:r w:rsidRPr="00251C94">
          <w:rPr>
            <w:rFonts w:ascii="KievitPro-Regular" w:hAnsi="KievitPro-Regular"/>
            <w:noProof/>
            <w:webHidden/>
          </w:rPr>
          <w:instrText xml:space="preserve"> PAGEREF _Toc236311857 \h </w:instrText>
        </w:r>
        <w:r w:rsidRPr="00251C94">
          <w:rPr>
            <w:rFonts w:ascii="KievitPro-Regular" w:hAnsi="KievitPro-Regular"/>
            <w:noProof/>
            <w:webHidden/>
          </w:rPr>
        </w:r>
        <w:r w:rsidRPr="00251C94">
          <w:rPr>
            <w:rFonts w:ascii="KievitPro-Regular" w:hAnsi="KievitPro-Regular"/>
            <w:noProof/>
            <w:webHidden/>
          </w:rPr>
          <w:fldChar w:fldCharType="separate"/>
        </w:r>
        <w:r w:rsidRPr="00251C94">
          <w:rPr>
            <w:rFonts w:ascii="KievitPro-Regular" w:hAnsi="KievitPro-Regular"/>
            <w:noProof/>
            <w:webHidden/>
          </w:rPr>
          <w:t>15</w:t>
        </w:r>
        <w:r w:rsidRPr="00251C94">
          <w:rPr>
            <w:rFonts w:ascii="KievitPro-Regular" w:hAnsi="KievitPro-Regular"/>
            <w:noProof/>
            <w:webHidden/>
          </w:rPr>
          <w:fldChar w:fldCharType="end"/>
        </w:r>
      </w:hyperlink>
    </w:p>
    <w:p w14:paraId="4A821F3E" w14:textId="77777777" w:rsidR="00251C94" w:rsidRPr="00251C94" w:rsidRDefault="00251C94" w:rsidP="00251C94">
      <w:pPr>
        <w:pStyle w:val="Verzeichnis2"/>
        <w:rPr>
          <w:rFonts w:ascii="KievitPro-Regular" w:eastAsiaTheme="minorEastAsia" w:hAnsi="KievitPro-Regular" w:cstheme="minorBidi"/>
          <w:iCs w:val="0"/>
          <w:noProof/>
          <w:kern w:val="2"/>
          <w:szCs w:val="24"/>
          <w:lang w:val="de-CH" w:eastAsia="de-CH"/>
          <w14:ligatures w14:val="standardContextual"/>
        </w:rPr>
      </w:pPr>
      <w:hyperlink w:anchor="_Toc236311858" w:history="1">
        <w:r w:rsidRPr="00251C94">
          <w:rPr>
            <w:rStyle w:val="Hyperlink"/>
            <w:rFonts w:ascii="KievitPro-Regular" w:hAnsi="KievitPro-Regular" w:cs="Arial"/>
            <w:b/>
            <w:noProof/>
          </w:rPr>
          <w:t>6.4</w:t>
        </w:r>
        <w:r w:rsidRPr="00251C94">
          <w:rPr>
            <w:rFonts w:ascii="KievitPro-Regular" w:eastAsiaTheme="minorEastAsia" w:hAnsi="KievitPro-Regular" w:cstheme="minorBidi"/>
            <w:iCs w:val="0"/>
            <w:noProof/>
            <w:kern w:val="2"/>
            <w:szCs w:val="24"/>
            <w:lang w:val="de-CH" w:eastAsia="de-CH"/>
            <w14:ligatures w14:val="standardContextual"/>
          </w:rPr>
          <w:tab/>
        </w:r>
        <w:r w:rsidRPr="00251C94">
          <w:rPr>
            <w:rStyle w:val="Hyperlink"/>
            <w:rFonts w:ascii="KievitPro-Regular" w:hAnsi="KievitPro-Regular"/>
            <w:b/>
            <w:noProof/>
          </w:rPr>
          <w:t>Esame</w:t>
        </w:r>
        <w:r w:rsidRPr="00251C94">
          <w:rPr>
            <w:rFonts w:ascii="KievitPro-Regular" w:hAnsi="KievitPro-Regular"/>
            <w:noProof/>
            <w:webHidden/>
          </w:rPr>
          <w:tab/>
        </w:r>
        <w:r w:rsidRPr="00251C94">
          <w:rPr>
            <w:rFonts w:ascii="KievitPro-Regular" w:hAnsi="KievitPro-Regular"/>
            <w:noProof/>
            <w:webHidden/>
          </w:rPr>
          <w:fldChar w:fldCharType="begin"/>
        </w:r>
        <w:r w:rsidRPr="00251C94">
          <w:rPr>
            <w:rFonts w:ascii="KievitPro-Regular" w:hAnsi="KievitPro-Regular"/>
            <w:noProof/>
            <w:webHidden/>
          </w:rPr>
          <w:instrText xml:space="preserve"> PAGEREF _Toc236311858 \h </w:instrText>
        </w:r>
        <w:r w:rsidRPr="00251C94">
          <w:rPr>
            <w:rFonts w:ascii="KievitPro-Regular" w:hAnsi="KievitPro-Regular"/>
            <w:noProof/>
            <w:webHidden/>
          </w:rPr>
        </w:r>
        <w:r w:rsidRPr="00251C94">
          <w:rPr>
            <w:rFonts w:ascii="KievitPro-Regular" w:hAnsi="KievitPro-Regular"/>
            <w:noProof/>
            <w:webHidden/>
          </w:rPr>
          <w:fldChar w:fldCharType="separate"/>
        </w:r>
        <w:r w:rsidRPr="00251C94">
          <w:rPr>
            <w:rFonts w:ascii="KievitPro-Regular" w:hAnsi="KievitPro-Regular"/>
            <w:noProof/>
            <w:webHidden/>
          </w:rPr>
          <w:t>16</w:t>
        </w:r>
        <w:r w:rsidRPr="00251C94">
          <w:rPr>
            <w:rFonts w:ascii="KievitPro-Regular" w:hAnsi="KievitPro-Regular"/>
            <w:noProof/>
            <w:webHidden/>
          </w:rPr>
          <w:fldChar w:fldCharType="end"/>
        </w:r>
      </w:hyperlink>
    </w:p>
    <w:p w14:paraId="7CF55FDE" w14:textId="77777777" w:rsidR="00251C94" w:rsidRPr="00251C94" w:rsidRDefault="00251C94" w:rsidP="00251C94">
      <w:pPr>
        <w:pStyle w:val="Verzeichnis2"/>
        <w:rPr>
          <w:rFonts w:ascii="KievitPro-Regular" w:eastAsiaTheme="minorEastAsia" w:hAnsi="KievitPro-Regular" w:cstheme="minorBidi"/>
          <w:iCs w:val="0"/>
          <w:noProof/>
          <w:kern w:val="2"/>
          <w:szCs w:val="24"/>
          <w:lang w:val="de-CH" w:eastAsia="de-CH"/>
          <w14:ligatures w14:val="standardContextual"/>
        </w:rPr>
      </w:pPr>
      <w:hyperlink w:anchor="_Toc236311859" w:history="1">
        <w:r w:rsidRPr="00251C94">
          <w:rPr>
            <w:rStyle w:val="Hyperlink"/>
            <w:rFonts w:ascii="KievitPro-Regular" w:hAnsi="KievitPro-Regular" w:cs="Arial"/>
            <w:b/>
            <w:noProof/>
          </w:rPr>
          <w:t>6.5</w:t>
        </w:r>
        <w:r w:rsidRPr="00251C94">
          <w:rPr>
            <w:rFonts w:ascii="KievitPro-Regular" w:eastAsiaTheme="minorEastAsia" w:hAnsi="KievitPro-Regular" w:cstheme="minorBidi"/>
            <w:iCs w:val="0"/>
            <w:noProof/>
            <w:kern w:val="2"/>
            <w:szCs w:val="24"/>
            <w:lang w:val="de-CH" w:eastAsia="de-CH"/>
            <w14:ligatures w14:val="standardContextual"/>
          </w:rPr>
          <w:tab/>
        </w:r>
        <w:r w:rsidRPr="00251C94">
          <w:rPr>
            <w:rStyle w:val="Hyperlink"/>
            <w:rFonts w:ascii="KievitPro-Regular" w:hAnsi="KievitPro-Regular"/>
            <w:b/>
            <w:noProof/>
          </w:rPr>
          <w:t>Consultazione</w:t>
        </w:r>
        <w:r w:rsidRPr="00251C94">
          <w:rPr>
            <w:rFonts w:ascii="KievitPro-Regular" w:hAnsi="KievitPro-Regular"/>
            <w:noProof/>
            <w:webHidden/>
          </w:rPr>
          <w:tab/>
        </w:r>
        <w:r w:rsidRPr="00251C94">
          <w:rPr>
            <w:rFonts w:ascii="KievitPro-Regular" w:hAnsi="KievitPro-Regular"/>
            <w:noProof/>
            <w:webHidden/>
          </w:rPr>
          <w:fldChar w:fldCharType="begin"/>
        </w:r>
        <w:r w:rsidRPr="00251C94">
          <w:rPr>
            <w:rFonts w:ascii="KievitPro-Regular" w:hAnsi="KievitPro-Regular"/>
            <w:noProof/>
            <w:webHidden/>
          </w:rPr>
          <w:instrText xml:space="preserve"> PAGEREF _Toc236311859 \h </w:instrText>
        </w:r>
        <w:r w:rsidRPr="00251C94">
          <w:rPr>
            <w:rFonts w:ascii="KievitPro-Regular" w:hAnsi="KievitPro-Regular"/>
            <w:noProof/>
            <w:webHidden/>
          </w:rPr>
        </w:r>
        <w:r w:rsidRPr="00251C94">
          <w:rPr>
            <w:rFonts w:ascii="KievitPro-Regular" w:hAnsi="KievitPro-Regular"/>
            <w:noProof/>
            <w:webHidden/>
          </w:rPr>
          <w:fldChar w:fldCharType="separate"/>
        </w:r>
        <w:r w:rsidRPr="00251C94">
          <w:rPr>
            <w:rFonts w:ascii="KievitPro-Regular" w:hAnsi="KievitPro-Regular"/>
            <w:noProof/>
            <w:webHidden/>
          </w:rPr>
          <w:t>16</w:t>
        </w:r>
        <w:r w:rsidRPr="00251C94">
          <w:rPr>
            <w:rFonts w:ascii="KievitPro-Regular" w:hAnsi="KievitPro-Regular"/>
            <w:noProof/>
            <w:webHidden/>
          </w:rPr>
          <w:fldChar w:fldCharType="end"/>
        </w:r>
      </w:hyperlink>
    </w:p>
    <w:p w14:paraId="6C6BB963" w14:textId="77777777" w:rsidR="00251C94" w:rsidRPr="00251C94" w:rsidRDefault="00251C94" w:rsidP="00251C94">
      <w:pPr>
        <w:pStyle w:val="Verzeichnis2"/>
        <w:rPr>
          <w:rFonts w:ascii="KievitPro-Regular" w:eastAsiaTheme="minorEastAsia" w:hAnsi="KievitPro-Regular" w:cstheme="minorBidi"/>
          <w:iCs w:val="0"/>
          <w:noProof/>
          <w:kern w:val="2"/>
          <w:szCs w:val="24"/>
          <w:lang w:val="de-CH" w:eastAsia="de-CH"/>
          <w14:ligatures w14:val="standardContextual"/>
        </w:rPr>
      </w:pPr>
      <w:hyperlink w:anchor="_Toc236311860" w:history="1">
        <w:r w:rsidRPr="00251C94">
          <w:rPr>
            <w:rStyle w:val="Hyperlink"/>
            <w:rFonts w:ascii="KievitPro-Regular" w:hAnsi="KievitPro-Regular" w:cs="Arial"/>
            <w:b/>
            <w:noProof/>
          </w:rPr>
          <w:t>6.6</w:t>
        </w:r>
        <w:r w:rsidRPr="00251C94">
          <w:rPr>
            <w:rFonts w:ascii="KievitPro-Regular" w:eastAsiaTheme="minorEastAsia" w:hAnsi="KievitPro-Regular" w:cstheme="minorBidi"/>
            <w:iCs w:val="0"/>
            <w:noProof/>
            <w:kern w:val="2"/>
            <w:szCs w:val="24"/>
            <w:lang w:val="de-CH" w:eastAsia="de-CH"/>
            <w14:ligatures w14:val="standardContextual"/>
          </w:rPr>
          <w:tab/>
        </w:r>
        <w:r w:rsidRPr="00251C94">
          <w:rPr>
            <w:rStyle w:val="Hyperlink"/>
            <w:rFonts w:ascii="KievitPro-Regular" w:hAnsi="KievitPro-Regular"/>
            <w:b/>
            <w:noProof/>
          </w:rPr>
          <w:t>Controllo della qualità relativo al mandato</w:t>
        </w:r>
        <w:r w:rsidRPr="00251C94">
          <w:rPr>
            <w:rFonts w:ascii="KievitPro-Regular" w:hAnsi="KievitPro-Regular"/>
            <w:noProof/>
            <w:webHidden/>
          </w:rPr>
          <w:tab/>
        </w:r>
        <w:r w:rsidRPr="00251C94">
          <w:rPr>
            <w:rFonts w:ascii="KievitPro-Regular" w:hAnsi="KievitPro-Regular"/>
            <w:noProof/>
            <w:webHidden/>
          </w:rPr>
          <w:fldChar w:fldCharType="begin"/>
        </w:r>
        <w:r w:rsidRPr="00251C94">
          <w:rPr>
            <w:rFonts w:ascii="KievitPro-Regular" w:hAnsi="KievitPro-Regular"/>
            <w:noProof/>
            <w:webHidden/>
          </w:rPr>
          <w:instrText xml:space="preserve"> PAGEREF _Toc236311860 \h </w:instrText>
        </w:r>
        <w:r w:rsidRPr="00251C94">
          <w:rPr>
            <w:rFonts w:ascii="KievitPro-Regular" w:hAnsi="KievitPro-Regular"/>
            <w:noProof/>
            <w:webHidden/>
          </w:rPr>
        </w:r>
        <w:r w:rsidRPr="00251C94">
          <w:rPr>
            <w:rFonts w:ascii="KievitPro-Regular" w:hAnsi="KievitPro-Regular"/>
            <w:noProof/>
            <w:webHidden/>
          </w:rPr>
          <w:fldChar w:fldCharType="separate"/>
        </w:r>
        <w:r w:rsidRPr="00251C94">
          <w:rPr>
            <w:rFonts w:ascii="KievitPro-Regular" w:hAnsi="KievitPro-Regular"/>
            <w:noProof/>
            <w:webHidden/>
          </w:rPr>
          <w:t>17</w:t>
        </w:r>
        <w:r w:rsidRPr="00251C94">
          <w:rPr>
            <w:rFonts w:ascii="KievitPro-Regular" w:hAnsi="KievitPro-Regular"/>
            <w:noProof/>
            <w:webHidden/>
          </w:rPr>
          <w:fldChar w:fldCharType="end"/>
        </w:r>
      </w:hyperlink>
    </w:p>
    <w:p w14:paraId="7BB400F9" w14:textId="77777777" w:rsidR="00251C94" w:rsidRPr="00251C94" w:rsidRDefault="00251C94" w:rsidP="00251C94">
      <w:pPr>
        <w:pStyle w:val="Verzeichnis2"/>
        <w:rPr>
          <w:rFonts w:ascii="KievitPro-Regular" w:eastAsiaTheme="minorEastAsia" w:hAnsi="KievitPro-Regular" w:cstheme="minorBidi"/>
          <w:iCs w:val="0"/>
          <w:noProof/>
          <w:kern w:val="2"/>
          <w:szCs w:val="24"/>
          <w:lang w:val="de-CH" w:eastAsia="de-CH"/>
          <w14:ligatures w14:val="standardContextual"/>
        </w:rPr>
      </w:pPr>
      <w:hyperlink w:anchor="_Toc236311861" w:history="1">
        <w:r w:rsidRPr="00251C94">
          <w:rPr>
            <w:rStyle w:val="Hyperlink"/>
            <w:rFonts w:ascii="KievitPro-Regular" w:hAnsi="KievitPro-Regular" w:cs="Arial"/>
            <w:b/>
            <w:noProof/>
          </w:rPr>
          <w:t>6.7</w:t>
        </w:r>
        <w:r w:rsidRPr="00251C94">
          <w:rPr>
            <w:rFonts w:ascii="KievitPro-Regular" w:eastAsiaTheme="minorEastAsia" w:hAnsi="KievitPro-Regular" w:cstheme="minorBidi"/>
            <w:iCs w:val="0"/>
            <w:noProof/>
            <w:kern w:val="2"/>
            <w:szCs w:val="24"/>
            <w:lang w:val="de-CH" w:eastAsia="de-CH"/>
            <w14:ligatures w14:val="standardContextual"/>
          </w:rPr>
          <w:tab/>
        </w:r>
        <w:r w:rsidRPr="00251C94">
          <w:rPr>
            <w:rStyle w:val="Hyperlink"/>
            <w:rFonts w:ascii="KievitPro-Regular" w:hAnsi="KievitPro-Regular"/>
            <w:b/>
            <w:noProof/>
          </w:rPr>
          <w:t>Criteri di idoneità per il responsabile del controllo della qualità relativo al mandato</w:t>
        </w:r>
        <w:r w:rsidRPr="00251C94">
          <w:rPr>
            <w:rFonts w:ascii="KievitPro-Regular" w:hAnsi="KievitPro-Regular"/>
            <w:noProof/>
            <w:webHidden/>
          </w:rPr>
          <w:tab/>
        </w:r>
        <w:r w:rsidRPr="00251C94">
          <w:rPr>
            <w:rFonts w:ascii="KievitPro-Regular" w:hAnsi="KievitPro-Regular"/>
            <w:noProof/>
            <w:webHidden/>
          </w:rPr>
          <w:fldChar w:fldCharType="begin"/>
        </w:r>
        <w:r w:rsidRPr="00251C94">
          <w:rPr>
            <w:rFonts w:ascii="KievitPro-Regular" w:hAnsi="KievitPro-Regular"/>
            <w:noProof/>
            <w:webHidden/>
          </w:rPr>
          <w:instrText xml:space="preserve"> PAGEREF _Toc236311861 \h </w:instrText>
        </w:r>
        <w:r w:rsidRPr="00251C94">
          <w:rPr>
            <w:rFonts w:ascii="KievitPro-Regular" w:hAnsi="KievitPro-Regular"/>
            <w:noProof/>
            <w:webHidden/>
          </w:rPr>
        </w:r>
        <w:r w:rsidRPr="00251C94">
          <w:rPr>
            <w:rFonts w:ascii="KievitPro-Regular" w:hAnsi="KievitPro-Regular"/>
            <w:noProof/>
            <w:webHidden/>
          </w:rPr>
          <w:fldChar w:fldCharType="separate"/>
        </w:r>
        <w:r w:rsidRPr="00251C94">
          <w:rPr>
            <w:rFonts w:ascii="KievitPro-Regular" w:hAnsi="KievitPro-Regular"/>
            <w:noProof/>
            <w:webHidden/>
          </w:rPr>
          <w:t>18</w:t>
        </w:r>
        <w:r w:rsidRPr="00251C94">
          <w:rPr>
            <w:rFonts w:ascii="KievitPro-Regular" w:hAnsi="KievitPro-Regular"/>
            <w:noProof/>
            <w:webHidden/>
          </w:rPr>
          <w:fldChar w:fldCharType="end"/>
        </w:r>
      </w:hyperlink>
    </w:p>
    <w:p w14:paraId="439653F5" w14:textId="77777777" w:rsidR="00251C94" w:rsidRPr="00251C94" w:rsidRDefault="00251C94" w:rsidP="00251C94">
      <w:pPr>
        <w:pStyle w:val="Verzeichnis2"/>
        <w:rPr>
          <w:rFonts w:ascii="KievitPro-Regular" w:eastAsiaTheme="minorEastAsia" w:hAnsi="KievitPro-Regular" w:cstheme="minorBidi"/>
          <w:iCs w:val="0"/>
          <w:noProof/>
          <w:kern w:val="2"/>
          <w:szCs w:val="24"/>
          <w:lang w:val="de-CH" w:eastAsia="de-CH"/>
          <w14:ligatures w14:val="standardContextual"/>
        </w:rPr>
      </w:pPr>
      <w:hyperlink w:anchor="_Toc236311862" w:history="1">
        <w:r w:rsidRPr="00251C94">
          <w:rPr>
            <w:rStyle w:val="Hyperlink"/>
            <w:rFonts w:ascii="KievitPro-Regular" w:hAnsi="KievitPro-Regular" w:cs="Arial"/>
            <w:b/>
            <w:noProof/>
          </w:rPr>
          <w:t>6.8</w:t>
        </w:r>
        <w:r w:rsidRPr="00251C94">
          <w:rPr>
            <w:rFonts w:ascii="KievitPro-Regular" w:eastAsiaTheme="minorEastAsia" w:hAnsi="KievitPro-Regular" w:cstheme="minorBidi"/>
            <w:iCs w:val="0"/>
            <w:noProof/>
            <w:kern w:val="2"/>
            <w:szCs w:val="24"/>
            <w:lang w:val="de-CH" w:eastAsia="de-CH"/>
            <w14:ligatures w14:val="standardContextual"/>
          </w:rPr>
          <w:tab/>
        </w:r>
        <w:r w:rsidRPr="00251C94">
          <w:rPr>
            <w:rStyle w:val="Hyperlink"/>
            <w:rFonts w:ascii="KievitPro-Regular" w:hAnsi="KievitPro-Regular"/>
            <w:b/>
            <w:noProof/>
          </w:rPr>
          <w:t>Divergenze di opinione</w:t>
        </w:r>
        <w:r w:rsidRPr="00251C94">
          <w:rPr>
            <w:rFonts w:ascii="KievitPro-Regular" w:hAnsi="KievitPro-Regular"/>
            <w:noProof/>
            <w:webHidden/>
          </w:rPr>
          <w:tab/>
        </w:r>
        <w:r w:rsidRPr="00251C94">
          <w:rPr>
            <w:rFonts w:ascii="KievitPro-Regular" w:hAnsi="KievitPro-Regular"/>
            <w:noProof/>
            <w:webHidden/>
          </w:rPr>
          <w:fldChar w:fldCharType="begin"/>
        </w:r>
        <w:r w:rsidRPr="00251C94">
          <w:rPr>
            <w:rFonts w:ascii="KievitPro-Regular" w:hAnsi="KievitPro-Regular"/>
            <w:noProof/>
            <w:webHidden/>
          </w:rPr>
          <w:instrText xml:space="preserve"> PAGEREF _Toc236311862 \h </w:instrText>
        </w:r>
        <w:r w:rsidRPr="00251C94">
          <w:rPr>
            <w:rFonts w:ascii="KievitPro-Regular" w:hAnsi="KievitPro-Regular"/>
            <w:noProof/>
            <w:webHidden/>
          </w:rPr>
        </w:r>
        <w:r w:rsidRPr="00251C94">
          <w:rPr>
            <w:rFonts w:ascii="KievitPro-Regular" w:hAnsi="KievitPro-Regular"/>
            <w:noProof/>
            <w:webHidden/>
          </w:rPr>
          <w:fldChar w:fldCharType="separate"/>
        </w:r>
        <w:r w:rsidRPr="00251C94">
          <w:rPr>
            <w:rFonts w:ascii="KievitPro-Regular" w:hAnsi="KievitPro-Regular"/>
            <w:noProof/>
            <w:webHidden/>
          </w:rPr>
          <w:t>18</w:t>
        </w:r>
        <w:r w:rsidRPr="00251C94">
          <w:rPr>
            <w:rFonts w:ascii="KievitPro-Regular" w:hAnsi="KievitPro-Regular"/>
            <w:noProof/>
            <w:webHidden/>
          </w:rPr>
          <w:fldChar w:fldCharType="end"/>
        </w:r>
      </w:hyperlink>
    </w:p>
    <w:p w14:paraId="791FAF73" w14:textId="77777777" w:rsidR="00251C94" w:rsidRPr="00251C94" w:rsidRDefault="00251C94" w:rsidP="00251C94">
      <w:pPr>
        <w:pStyle w:val="Verzeichnis2"/>
        <w:rPr>
          <w:rFonts w:ascii="KievitPro-Regular" w:eastAsiaTheme="minorEastAsia" w:hAnsi="KievitPro-Regular" w:cstheme="minorBidi"/>
          <w:iCs w:val="0"/>
          <w:noProof/>
          <w:kern w:val="2"/>
          <w:szCs w:val="24"/>
          <w:lang w:val="de-CH" w:eastAsia="de-CH"/>
          <w14:ligatures w14:val="standardContextual"/>
        </w:rPr>
      </w:pPr>
      <w:hyperlink w:anchor="_Toc236311863" w:history="1">
        <w:r w:rsidRPr="00251C94">
          <w:rPr>
            <w:rStyle w:val="Hyperlink"/>
            <w:rFonts w:ascii="KievitPro-Regular" w:hAnsi="KievitPro-Regular" w:cs="Arial"/>
            <w:b/>
            <w:noProof/>
          </w:rPr>
          <w:t>6.9</w:t>
        </w:r>
        <w:r w:rsidRPr="00251C94">
          <w:rPr>
            <w:rFonts w:ascii="KievitPro-Regular" w:eastAsiaTheme="minorEastAsia" w:hAnsi="KievitPro-Regular" w:cstheme="minorBidi"/>
            <w:iCs w:val="0"/>
            <w:noProof/>
            <w:kern w:val="2"/>
            <w:szCs w:val="24"/>
            <w:lang w:val="de-CH" w:eastAsia="de-CH"/>
            <w14:ligatures w14:val="standardContextual"/>
          </w:rPr>
          <w:tab/>
        </w:r>
        <w:r w:rsidRPr="00251C94">
          <w:rPr>
            <w:rStyle w:val="Hyperlink"/>
            <w:rFonts w:ascii="KievitPro-Regular" w:hAnsi="KievitPro-Regular"/>
            <w:b/>
            <w:noProof/>
          </w:rPr>
          <w:t>Documentazione del mandato</w:t>
        </w:r>
        <w:r w:rsidRPr="00251C94">
          <w:rPr>
            <w:rFonts w:ascii="KievitPro-Regular" w:hAnsi="KievitPro-Regular"/>
            <w:noProof/>
            <w:webHidden/>
          </w:rPr>
          <w:tab/>
        </w:r>
        <w:r w:rsidRPr="00251C94">
          <w:rPr>
            <w:rFonts w:ascii="KievitPro-Regular" w:hAnsi="KievitPro-Regular"/>
            <w:noProof/>
            <w:webHidden/>
          </w:rPr>
          <w:fldChar w:fldCharType="begin"/>
        </w:r>
        <w:r w:rsidRPr="00251C94">
          <w:rPr>
            <w:rFonts w:ascii="KievitPro-Regular" w:hAnsi="KievitPro-Regular"/>
            <w:noProof/>
            <w:webHidden/>
          </w:rPr>
          <w:instrText xml:space="preserve"> PAGEREF _Toc236311863 \h </w:instrText>
        </w:r>
        <w:r w:rsidRPr="00251C94">
          <w:rPr>
            <w:rFonts w:ascii="KievitPro-Regular" w:hAnsi="KievitPro-Regular"/>
            <w:noProof/>
            <w:webHidden/>
          </w:rPr>
        </w:r>
        <w:r w:rsidRPr="00251C94">
          <w:rPr>
            <w:rFonts w:ascii="KievitPro-Regular" w:hAnsi="KievitPro-Regular"/>
            <w:noProof/>
            <w:webHidden/>
          </w:rPr>
          <w:fldChar w:fldCharType="separate"/>
        </w:r>
        <w:r w:rsidRPr="00251C94">
          <w:rPr>
            <w:rFonts w:ascii="KievitPro-Regular" w:hAnsi="KievitPro-Regular"/>
            <w:noProof/>
            <w:webHidden/>
          </w:rPr>
          <w:t>19</w:t>
        </w:r>
        <w:r w:rsidRPr="00251C94">
          <w:rPr>
            <w:rFonts w:ascii="KievitPro-Regular" w:hAnsi="KievitPro-Regular"/>
            <w:noProof/>
            <w:webHidden/>
          </w:rPr>
          <w:fldChar w:fldCharType="end"/>
        </w:r>
      </w:hyperlink>
    </w:p>
    <w:p w14:paraId="4F9AB9A0" w14:textId="77777777" w:rsidR="00251C94" w:rsidRPr="00251C94" w:rsidRDefault="00251C94" w:rsidP="00251C94">
      <w:pPr>
        <w:pStyle w:val="Verzeichnis2"/>
        <w:rPr>
          <w:rFonts w:ascii="KievitPro-Regular" w:eastAsiaTheme="minorEastAsia" w:hAnsi="KievitPro-Regular" w:cstheme="minorBidi"/>
          <w:iCs w:val="0"/>
          <w:noProof/>
          <w:kern w:val="2"/>
          <w:szCs w:val="24"/>
          <w:lang w:val="de-CH" w:eastAsia="de-CH"/>
          <w14:ligatures w14:val="standardContextual"/>
        </w:rPr>
      </w:pPr>
      <w:hyperlink w:anchor="_Toc236311864" w:history="1">
        <w:r w:rsidRPr="00251C94">
          <w:rPr>
            <w:rStyle w:val="Hyperlink"/>
            <w:rFonts w:ascii="KievitPro-Regular" w:hAnsi="KievitPro-Regular" w:cs="Arial"/>
            <w:b/>
            <w:noProof/>
          </w:rPr>
          <w:t>6.10</w:t>
        </w:r>
        <w:r w:rsidRPr="00251C94">
          <w:rPr>
            <w:rFonts w:ascii="KievitPro-Regular" w:eastAsiaTheme="minorEastAsia" w:hAnsi="KievitPro-Regular" w:cstheme="minorBidi"/>
            <w:iCs w:val="0"/>
            <w:noProof/>
            <w:kern w:val="2"/>
            <w:szCs w:val="24"/>
            <w:lang w:val="de-CH" w:eastAsia="de-CH"/>
            <w14:ligatures w14:val="standardContextual"/>
          </w:rPr>
          <w:tab/>
        </w:r>
        <w:r w:rsidRPr="00251C94">
          <w:rPr>
            <w:rStyle w:val="Hyperlink"/>
            <w:rFonts w:ascii="KievitPro-Regular" w:hAnsi="KievitPro-Regular"/>
            <w:b/>
            <w:noProof/>
          </w:rPr>
          <w:t>Ricorso a soggetti esterni o a un'altra impresa di revisione</w:t>
        </w:r>
        <w:r w:rsidRPr="00251C94">
          <w:rPr>
            <w:rFonts w:ascii="KievitPro-Regular" w:hAnsi="KievitPro-Regular"/>
            <w:noProof/>
            <w:webHidden/>
          </w:rPr>
          <w:tab/>
        </w:r>
        <w:r w:rsidRPr="00251C94">
          <w:rPr>
            <w:rFonts w:ascii="KievitPro-Regular" w:hAnsi="KievitPro-Regular"/>
            <w:noProof/>
            <w:webHidden/>
          </w:rPr>
          <w:fldChar w:fldCharType="begin"/>
        </w:r>
        <w:r w:rsidRPr="00251C94">
          <w:rPr>
            <w:rFonts w:ascii="KievitPro-Regular" w:hAnsi="KievitPro-Regular"/>
            <w:noProof/>
            <w:webHidden/>
          </w:rPr>
          <w:instrText xml:space="preserve"> PAGEREF _Toc236311864 \h </w:instrText>
        </w:r>
        <w:r w:rsidRPr="00251C94">
          <w:rPr>
            <w:rFonts w:ascii="KievitPro-Regular" w:hAnsi="KievitPro-Regular"/>
            <w:noProof/>
            <w:webHidden/>
          </w:rPr>
        </w:r>
        <w:r w:rsidRPr="00251C94">
          <w:rPr>
            <w:rFonts w:ascii="KievitPro-Regular" w:hAnsi="KievitPro-Regular"/>
            <w:noProof/>
            <w:webHidden/>
          </w:rPr>
          <w:fldChar w:fldCharType="separate"/>
        </w:r>
        <w:r w:rsidRPr="00251C94">
          <w:rPr>
            <w:rFonts w:ascii="KievitPro-Regular" w:hAnsi="KievitPro-Regular"/>
            <w:noProof/>
            <w:webHidden/>
          </w:rPr>
          <w:t>20</w:t>
        </w:r>
        <w:r w:rsidRPr="00251C94">
          <w:rPr>
            <w:rFonts w:ascii="KievitPro-Regular" w:hAnsi="KievitPro-Regular"/>
            <w:noProof/>
            <w:webHidden/>
          </w:rPr>
          <w:fldChar w:fldCharType="end"/>
        </w:r>
      </w:hyperlink>
    </w:p>
    <w:p w14:paraId="7DD009DC" w14:textId="77777777" w:rsidR="00251C94" w:rsidRPr="00251C94" w:rsidRDefault="00251C94" w:rsidP="00251C94">
      <w:pPr>
        <w:pStyle w:val="Verzeichnis1"/>
        <w:rPr>
          <w:rFonts w:ascii="KievitPro-Regular" w:eastAsiaTheme="minorEastAsia" w:hAnsi="KievitPro-Regular" w:cstheme="minorBidi"/>
          <w:iCs/>
          <w:kern w:val="2"/>
          <w:sz w:val="24"/>
          <w:szCs w:val="24"/>
          <w:lang w:val="de-CH" w:eastAsia="de-CH"/>
          <w14:ligatures w14:val="standardContextual"/>
        </w:rPr>
      </w:pPr>
      <w:hyperlink w:anchor="_Toc236311865" w:history="1">
        <w:r w:rsidRPr="00251C94">
          <w:rPr>
            <w:rStyle w:val="Hyperlink"/>
            <w:rFonts w:ascii="KievitPro-Regular" w:hAnsi="KievitPro-Regular" w:cs="Arial"/>
          </w:rPr>
          <w:t>7</w:t>
        </w:r>
        <w:r w:rsidRPr="00251C94">
          <w:rPr>
            <w:rFonts w:ascii="KievitPro-Regular" w:eastAsiaTheme="minorEastAsia" w:hAnsi="KievitPro-Regular" w:cstheme="minorBidi"/>
            <w:kern w:val="2"/>
            <w:sz w:val="24"/>
            <w:szCs w:val="24"/>
            <w:lang w:val="de-CH" w:eastAsia="de-CH"/>
            <w14:ligatures w14:val="standardContextual"/>
          </w:rPr>
          <w:tab/>
        </w:r>
        <w:r w:rsidRPr="00251C94">
          <w:rPr>
            <w:rStyle w:val="Hyperlink"/>
            <w:rFonts w:ascii="KievitPro-Regular" w:hAnsi="KievitPro-Regular"/>
          </w:rPr>
          <w:t>Informazione e comunicazione</w:t>
        </w:r>
        <w:r w:rsidRPr="00251C94">
          <w:rPr>
            <w:rFonts w:ascii="KievitPro-Regular" w:hAnsi="KievitPro-Regular"/>
            <w:webHidden/>
          </w:rPr>
          <w:tab/>
        </w:r>
        <w:r w:rsidRPr="00251C94">
          <w:rPr>
            <w:rFonts w:ascii="KievitPro-Regular" w:hAnsi="KievitPro-Regular"/>
            <w:webHidden/>
          </w:rPr>
          <w:fldChar w:fldCharType="begin"/>
        </w:r>
        <w:r w:rsidRPr="00251C94">
          <w:rPr>
            <w:rFonts w:ascii="KievitPro-Regular" w:hAnsi="KievitPro-Regular"/>
            <w:webHidden/>
          </w:rPr>
          <w:instrText xml:space="preserve"> PAGEREF _Toc236311865 \h </w:instrText>
        </w:r>
        <w:r w:rsidRPr="00251C94">
          <w:rPr>
            <w:rFonts w:ascii="KievitPro-Regular" w:hAnsi="KievitPro-Regular"/>
            <w:webHidden/>
          </w:rPr>
        </w:r>
        <w:r w:rsidRPr="00251C94">
          <w:rPr>
            <w:rFonts w:ascii="KievitPro-Regular" w:hAnsi="KievitPro-Regular"/>
            <w:webHidden/>
          </w:rPr>
          <w:fldChar w:fldCharType="separate"/>
        </w:r>
        <w:r w:rsidRPr="00251C94">
          <w:rPr>
            <w:rFonts w:ascii="KievitPro-Regular" w:hAnsi="KievitPro-Regular"/>
            <w:webHidden/>
          </w:rPr>
          <w:t>21</w:t>
        </w:r>
        <w:r w:rsidRPr="00251C94">
          <w:rPr>
            <w:rFonts w:ascii="KievitPro-Regular" w:hAnsi="KievitPro-Regular"/>
            <w:webHidden/>
          </w:rPr>
          <w:fldChar w:fldCharType="end"/>
        </w:r>
      </w:hyperlink>
    </w:p>
    <w:p w14:paraId="31173BDA" w14:textId="77777777" w:rsidR="00251C94" w:rsidRPr="00251C94" w:rsidRDefault="00251C94" w:rsidP="00251C94">
      <w:pPr>
        <w:pStyle w:val="Verzeichnis1"/>
        <w:rPr>
          <w:rFonts w:ascii="KievitPro-Regular" w:eastAsiaTheme="minorEastAsia" w:hAnsi="KievitPro-Regular" w:cstheme="minorBidi"/>
          <w:iCs/>
          <w:kern w:val="2"/>
          <w:sz w:val="24"/>
          <w:szCs w:val="24"/>
          <w:lang w:val="de-CH" w:eastAsia="de-CH"/>
          <w14:ligatures w14:val="standardContextual"/>
        </w:rPr>
      </w:pPr>
      <w:hyperlink w:anchor="_Toc236311866" w:history="1">
        <w:r w:rsidRPr="00251C94">
          <w:rPr>
            <w:rStyle w:val="Hyperlink"/>
            <w:rFonts w:ascii="KievitPro-Regular" w:hAnsi="KievitPro-Regular" w:cs="Arial"/>
          </w:rPr>
          <w:t>8</w:t>
        </w:r>
        <w:r w:rsidRPr="00251C94">
          <w:rPr>
            <w:rFonts w:ascii="KievitPro-Regular" w:eastAsiaTheme="minorEastAsia" w:hAnsi="KievitPro-Regular" w:cstheme="minorBidi"/>
            <w:kern w:val="2"/>
            <w:sz w:val="24"/>
            <w:szCs w:val="24"/>
            <w:lang w:val="de-CH" w:eastAsia="de-CH"/>
            <w14:ligatures w14:val="standardContextual"/>
          </w:rPr>
          <w:tab/>
        </w:r>
        <w:r w:rsidRPr="00251C94">
          <w:rPr>
            <w:rStyle w:val="Hyperlink"/>
            <w:rFonts w:ascii="KievitPro-Regular" w:hAnsi="KievitPro-Regular"/>
          </w:rPr>
          <w:t>Reazioni predefinite</w:t>
        </w:r>
        <w:r w:rsidRPr="00251C94">
          <w:rPr>
            <w:rFonts w:ascii="KievitPro-Regular" w:hAnsi="KievitPro-Regular"/>
            <w:webHidden/>
          </w:rPr>
          <w:tab/>
        </w:r>
        <w:r w:rsidRPr="00251C94">
          <w:rPr>
            <w:rFonts w:ascii="KievitPro-Regular" w:hAnsi="KievitPro-Regular"/>
            <w:webHidden/>
          </w:rPr>
          <w:fldChar w:fldCharType="begin"/>
        </w:r>
        <w:r w:rsidRPr="00251C94">
          <w:rPr>
            <w:rFonts w:ascii="KievitPro-Regular" w:hAnsi="KievitPro-Regular"/>
            <w:webHidden/>
          </w:rPr>
          <w:instrText xml:space="preserve"> PAGEREF _Toc236311866 \h </w:instrText>
        </w:r>
        <w:r w:rsidRPr="00251C94">
          <w:rPr>
            <w:rFonts w:ascii="KievitPro-Regular" w:hAnsi="KievitPro-Regular"/>
            <w:webHidden/>
          </w:rPr>
        </w:r>
        <w:r w:rsidRPr="00251C94">
          <w:rPr>
            <w:rFonts w:ascii="KievitPro-Regular" w:hAnsi="KievitPro-Regular"/>
            <w:webHidden/>
          </w:rPr>
          <w:fldChar w:fldCharType="separate"/>
        </w:r>
        <w:r w:rsidRPr="00251C94">
          <w:rPr>
            <w:rFonts w:ascii="KievitPro-Regular" w:hAnsi="KievitPro-Regular"/>
            <w:webHidden/>
          </w:rPr>
          <w:t>21</w:t>
        </w:r>
        <w:r w:rsidRPr="00251C94">
          <w:rPr>
            <w:rFonts w:ascii="KievitPro-Regular" w:hAnsi="KievitPro-Regular"/>
            <w:webHidden/>
          </w:rPr>
          <w:fldChar w:fldCharType="end"/>
        </w:r>
      </w:hyperlink>
    </w:p>
    <w:p w14:paraId="635FE8A5" w14:textId="77777777" w:rsidR="00251C94" w:rsidRPr="00251C94" w:rsidRDefault="00251C94" w:rsidP="00251C94">
      <w:pPr>
        <w:pStyle w:val="Verzeichnis1"/>
        <w:rPr>
          <w:rFonts w:ascii="KievitPro-Regular" w:eastAsiaTheme="minorEastAsia" w:hAnsi="KievitPro-Regular" w:cstheme="minorBidi"/>
          <w:iCs/>
          <w:kern w:val="2"/>
          <w:sz w:val="24"/>
          <w:szCs w:val="24"/>
          <w:lang w:val="de-CH" w:eastAsia="de-CH"/>
          <w14:ligatures w14:val="standardContextual"/>
        </w:rPr>
      </w:pPr>
      <w:hyperlink w:anchor="_Toc236311867" w:history="1">
        <w:r w:rsidRPr="00251C94">
          <w:rPr>
            <w:rStyle w:val="Hyperlink"/>
            <w:rFonts w:ascii="KievitPro-Regular" w:hAnsi="KievitPro-Regular" w:cs="Arial"/>
          </w:rPr>
          <w:t>9</w:t>
        </w:r>
        <w:r w:rsidRPr="00251C94">
          <w:rPr>
            <w:rFonts w:ascii="KievitPro-Regular" w:eastAsiaTheme="minorEastAsia" w:hAnsi="KievitPro-Regular" w:cstheme="minorBidi"/>
            <w:kern w:val="2"/>
            <w:sz w:val="24"/>
            <w:szCs w:val="24"/>
            <w:lang w:val="de-CH" w:eastAsia="de-CH"/>
            <w14:ligatures w14:val="standardContextual"/>
          </w:rPr>
          <w:tab/>
        </w:r>
        <w:r w:rsidRPr="00251C94">
          <w:rPr>
            <w:rStyle w:val="Hyperlink"/>
            <w:rFonts w:ascii="KievitPro-Regular" w:hAnsi="KievitPro-Regular"/>
          </w:rPr>
          <w:t>Processo di riesame e miglioramento</w:t>
        </w:r>
        <w:r w:rsidRPr="00251C94">
          <w:rPr>
            <w:rFonts w:ascii="KievitPro-Regular" w:hAnsi="KievitPro-Regular"/>
            <w:webHidden/>
          </w:rPr>
          <w:tab/>
        </w:r>
        <w:r w:rsidRPr="00251C94">
          <w:rPr>
            <w:rFonts w:ascii="KievitPro-Regular" w:hAnsi="KievitPro-Regular"/>
            <w:webHidden/>
          </w:rPr>
          <w:fldChar w:fldCharType="begin"/>
        </w:r>
        <w:r w:rsidRPr="00251C94">
          <w:rPr>
            <w:rFonts w:ascii="KievitPro-Regular" w:hAnsi="KievitPro-Regular"/>
            <w:webHidden/>
          </w:rPr>
          <w:instrText xml:space="preserve"> PAGEREF _Toc236311867 \h </w:instrText>
        </w:r>
        <w:r w:rsidRPr="00251C94">
          <w:rPr>
            <w:rFonts w:ascii="KievitPro-Regular" w:hAnsi="KievitPro-Regular"/>
            <w:webHidden/>
          </w:rPr>
        </w:r>
        <w:r w:rsidRPr="00251C94">
          <w:rPr>
            <w:rFonts w:ascii="KievitPro-Regular" w:hAnsi="KievitPro-Regular"/>
            <w:webHidden/>
          </w:rPr>
          <w:fldChar w:fldCharType="separate"/>
        </w:r>
        <w:r w:rsidRPr="00251C94">
          <w:rPr>
            <w:rFonts w:ascii="KievitPro-Regular" w:hAnsi="KievitPro-Regular"/>
            <w:webHidden/>
          </w:rPr>
          <w:t>21</w:t>
        </w:r>
        <w:r w:rsidRPr="00251C94">
          <w:rPr>
            <w:rFonts w:ascii="KievitPro-Regular" w:hAnsi="KievitPro-Regular"/>
            <w:webHidden/>
          </w:rPr>
          <w:fldChar w:fldCharType="end"/>
        </w:r>
      </w:hyperlink>
    </w:p>
    <w:p w14:paraId="716CE299" w14:textId="77777777" w:rsidR="00251C94" w:rsidRPr="00251C94" w:rsidRDefault="00251C94" w:rsidP="00251C94">
      <w:pPr>
        <w:pStyle w:val="Verzeichnis1"/>
        <w:rPr>
          <w:rFonts w:ascii="KievitPro-Regular" w:eastAsiaTheme="minorEastAsia" w:hAnsi="KievitPro-Regular" w:cstheme="minorBidi"/>
          <w:iCs/>
          <w:kern w:val="2"/>
          <w:sz w:val="24"/>
          <w:szCs w:val="24"/>
          <w:lang w:val="de-CH" w:eastAsia="de-CH"/>
          <w14:ligatures w14:val="standardContextual"/>
        </w:rPr>
      </w:pPr>
      <w:hyperlink w:anchor="_Toc236311868" w:history="1">
        <w:r w:rsidRPr="00251C94">
          <w:rPr>
            <w:rStyle w:val="Hyperlink"/>
            <w:rFonts w:ascii="KievitPro-Regular" w:hAnsi="KievitPro-Regular" w:cs="Arial"/>
          </w:rPr>
          <w:t>10</w:t>
        </w:r>
        <w:r w:rsidRPr="00251C94">
          <w:rPr>
            <w:rFonts w:ascii="KievitPro-Regular" w:eastAsiaTheme="minorEastAsia" w:hAnsi="KievitPro-Regular" w:cstheme="minorBidi"/>
            <w:kern w:val="2"/>
            <w:sz w:val="24"/>
            <w:szCs w:val="24"/>
            <w:lang w:val="de-CH" w:eastAsia="de-CH"/>
            <w14:ligatures w14:val="standardContextual"/>
          </w:rPr>
          <w:tab/>
        </w:r>
        <w:r w:rsidRPr="00251C94">
          <w:rPr>
            <w:rStyle w:val="Hyperlink"/>
            <w:rFonts w:ascii="KievitPro-Regular" w:hAnsi="KievitPro-Regular"/>
          </w:rPr>
          <w:t>Valutazione del sistema di gestione della qualità</w:t>
        </w:r>
        <w:r w:rsidRPr="00251C94">
          <w:rPr>
            <w:rFonts w:ascii="KievitPro-Regular" w:hAnsi="KievitPro-Regular"/>
            <w:webHidden/>
          </w:rPr>
          <w:tab/>
        </w:r>
        <w:r w:rsidRPr="00251C94">
          <w:rPr>
            <w:rFonts w:ascii="KievitPro-Regular" w:hAnsi="KievitPro-Regular"/>
            <w:webHidden/>
          </w:rPr>
          <w:fldChar w:fldCharType="begin"/>
        </w:r>
        <w:r w:rsidRPr="00251C94">
          <w:rPr>
            <w:rFonts w:ascii="KievitPro-Regular" w:hAnsi="KievitPro-Regular"/>
            <w:webHidden/>
          </w:rPr>
          <w:instrText xml:space="preserve"> PAGEREF _Toc236311868 \h </w:instrText>
        </w:r>
        <w:r w:rsidRPr="00251C94">
          <w:rPr>
            <w:rFonts w:ascii="KievitPro-Regular" w:hAnsi="KievitPro-Regular"/>
            <w:webHidden/>
          </w:rPr>
        </w:r>
        <w:r w:rsidRPr="00251C94">
          <w:rPr>
            <w:rFonts w:ascii="KievitPro-Regular" w:hAnsi="KievitPro-Regular"/>
            <w:webHidden/>
          </w:rPr>
          <w:fldChar w:fldCharType="separate"/>
        </w:r>
        <w:r w:rsidRPr="00251C94">
          <w:rPr>
            <w:rFonts w:ascii="KievitPro-Regular" w:hAnsi="KievitPro-Regular"/>
            <w:webHidden/>
          </w:rPr>
          <w:t>23</w:t>
        </w:r>
        <w:r w:rsidRPr="00251C94">
          <w:rPr>
            <w:rFonts w:ascii="KievitPro-Regular" w:hAnsi="KievitPro-Regular"/>
            <w:webHidden/>
          </w:rPr>
          <w:fldChar w:fldCharType="end"/>
        </w:r>
      </w:hyperlink>
    </w:p>
    <w:p w14:paraId="793DED8E" w14:textId="77777777" w:rsidR="00251C94" w:rsidRPr="00251C94" w:rsidRDefault="00251C94" w:rsidP="00251C94">
      <w:pPr>
        <w:pStyle w:val="Verzeichnis1"/>
        <w:rPr>
          <w:rFonts w:ascii="KievitPro-Regular" w:eastAsiaTheme="minorEastAsia" w:hAnsi="KievitPro-Regular" w:cstheme="minorBidi"/>
          <w:iCs/>
          <w:kern w:val="2"/>
          <w:sz w:val="24"/>
          <w:szCs w:val="24"/>
          <w:lang w:val="de-CH" w:eastAsia="de-CH"/>
          <w14:ligatures w14:val="standardContextual"/>
        </w:rPr>
      </w:pPr>
      <w:hyperlink w:anchor="_Toc236311869" w:history="1">
        <w:r w:rsidRPr="00251C94">
          <w:rPr>
            <w:rStyle w:val="Hyperlink"/>
            <w:rFonts w:ascii="KievitPro-Regular" w:hAnsi="KievitPro-Regular" w:cs="Arial"/>
          </w:rPr>
          <w:t>11</w:t>
        </w:r>
        <w:r w:rsidRPr="00251C94">
          <w:rPr>
            <w:rFonts w:ascii="KievitPro-Regular" w:eastAsiaTheme="minorEastAsia" w:hAnsi="KievitPro-Regular" w:cstheme="minorBidi"/>
            <w:kern w:val="2"/>
            <w:sz w:val="24"/>
            <w:szCs w:val="24"/>
            <w:lang w:val="de-CH" w:eastAsia="de-CH"/>
            <w14:ligatures w14:val="standardContextual"/>
          </w:rPr>
          <w:tab/>
        </w:r>
        <w:r w:rsidRPr="00251C94">
          <w:rPr>
            <w:rStyle w:val="Hyperlink"/>
            <w:rFonts w:ascii="KievitPro-Regular" w:hAnsi="KievitPro-Regular"/>
          </w:rPr>
          <w:t>Documentazione del sistema di gestione della qualità</w:t>
        </w:r>
        <w:r w:rsidRPr="00251C94">
          <w:rPr>
            <w:rFonts w:ascii="KievitPro-Regular" w:hAnsi="KievitPro-Regular"/>
            <w:webHidden/>
          </w:rPr>
          <w:tab/>
        </w:r>
        <w:r w:rsidRPr="00251C94">
          <w:rPr>
            <w:rFonts w:ascii="KievitPro-Regular" w:hAnsi="KievitPro-Regular"/>
            <w:webHidden/>
          </w:rPr>
          <w:fldChar w:fldCharType="begin"/>
        </w:r>
        <w:r w:rsidRPr="00251C94">
          <w:rPr>
            <w:rFonts w:ascii="KievitPro-Regular" w:hAnsi="KievitPro-Regular"/>
            <w:webHidden/>
          </w:rPr>
          <w:instrText xml:space="preserve"> PAGEREF _Toc236311869 \h </w:instrText>
        </w:r>
        <w:r w:rsidRPr="00251C94">
          <w:rPr>
            <w:rFonts w:ascii="KievitPro-Regular" w:hAnsi="KievitPro-Regular"/>
            <w:webHidden/>
          </w:rPr>
        </w:r>
        <w:r w:rsidRPr="00251C94">
          <w:rPr>
            <w:rFonts w:ascii="KievitPro-Regular" w:hAnsi="KievitPro-Regular"/>
            <w:webHidden/>
          </w:rPr>
          <w:fldChar w:fldCharType="separate"/>
        </w:r>
        <w:r w:rsidRPr="00251C94">
          <w:rPr>
            <w:rFonts w:ascii="KievitPro-Regular" w:hAnsi="KievitPro-Regular"/>
            <w:webHidden/>
          </w:rPr>
          <w:t>23</w:t>
        </w:r>
        <w:r w:rsidRPr="00251C94">
          <w:rPr>
            <w:rFonts w:ascii="KievitPro-Regular" w:hAnsi="KievitPro-Regular"/>
            <w:webHidden/>
          </w:rPr>
          <w:fldChar w:fldCharType="end"/>
        </w:r>
      </w:hyperlink>
    </w:p>
    <w:p w14:paraId="57CF6907" w14:textId="77777777" w:rsidR="00251C94" w:rsidRPr="00251C94" w:rsidRDefault="00251C94" w:rsidP="00251C94">
      <w:pPr>
        <w:pStyle w:val="Verzeichnis1"/>
        <w:rPr>
          <w:rFonts w:ascii="KievitPro-Regular" w:eastAsiaTheme="minorEastAsia" w:hAnsi="KievitPro-Regular" w:cstheme="minorBidi"/>
          <w:iCs/>
          <w:kern w:val="2"/>
          <w:sz w:val="24"/>
          <w:szCs w:val="24"/>
          <w:lang w:val="de-CH" w:eastAsia="de-CH"/>
          <w14:ligatures w14:val="standardContextual"/>
        </w:rPr>
      </w:pPr>
      <w:hyperlink w:anchor="_Toc236311870" w:history="1">
        <w:r w:rsidRPr="00251C94">
          <w:rPr>
            <w:rStyle w:val="Hyperlink"/>
            <w:rFonts w:ascii="KievitPro-Regular" w:hAnsi="KievitPro-Regular" w:cs="Arial"/>
          </w:rPr>
          <w:t>12</w:t>
        </w:r>
        <w:r w:rsidRPr="00251C94">
          <w:rPr>
            <w:rFonts w:ascii="KievitPro-Regular" w:eastAsiaTheme="minorEastAsia" w:hAnsi="KievitPro-Regular" w:cstheme="minorBidi"/>
            <w:kern w:val="2"/>
            <w:sz w:val="24"/>
            <w:szCs w:val="24"/>
            <w:lang w:val="de-CH" w:eastAsia="de-CH"/>
            <w14:ligatures w14:val="standardContextual"/>
          </w:rPr>
          <w:tab/>
        </w:r>
        <w:r w:rsidRPr="00251C94">
          <w:rPr>
            <w:rStyle w:val="Hyperlink"/>
            <w:rFonts w:ascii="KievitPro-Regular" w:hAnsi="KievitPro-Regular"/>
          </w:rPr>
          <w:t>Panoramica degli strumenti di lavoro e dei modelli</w:t>
        </w:r>
        <w:r w:rsidRPr="00251C94">
          <w:rPr>
            <w:rFonts w:ascii="KievitPro-Regular" w:hAnsi="KievitPro-Regular"/>
            <w:webHidden/>
          </w:rPr>
          <w:tab/>
        </w:r>
        <w:r w:rsidRPr="00251C94">
          <w:rPr>
            <w:rFonts w:ascii="KievitPro-Regular" w:hAnsi="KievitPro-Regular"/>
            <w:webHidden/>
          </w:rPr>
          <w:fldChar w:fldCharType="begin"/>
        </w:r>
        <w:r w:rsidRPr="00251C94">
          <w:rPr>
            <w:rFonts w:ascii="KievitPro-Regular" w:hAnsi="KievitPro-Regular"/>
            <w:webHidden/>
          </w:rPr>
          <w:instrText xml:space="preserve"> PAGEREF _Toc236311870 \h </w:instrText>
        </w:r>
        <w:r w:rsidRPr="00251C94">
          <w:rPr>
            <w:rFonts w:ascii="KievitPro-Regular" w:hAnsi="KievitPro-Regular"/>
            <w:webHidden/>
          </w:rPr>
        </w:r>
        <w:r w:rsidRPr="00251C94">
          <w:rPr>
            <w:rFonts w:ascii="KievitPro-Regular" w:hAnsi="KievitPro-Regular"/>
            <w:webHidden/>
          </w:rPr>
          <w:fldChar w:fldCharType="separate"/>
        </w:r>
        <w:r w:rsidRPr="00251C94">
          <w:rPr>
            <w:rFonts w:ascii="KievitPro-Regular" w:hAnsi="KievitPro-Regular"/>
            <w:webHidden/>
          </w:rPr>
          <w:t>24</w:t>
        </w:r>
        <w:r w:rsidRPr="00251C94">
          <w:rPr>
            <w:rFonts w:ascii="KievitPro-Regular" w:hAnsi="KievitPro-Regular"/>
            <w:webHidden/>
          </w:rPr>
          <w:fldChar w:fldCharType="end"/>
        </w:r>
      </w:hyperlink>
    </w:p>
    <w:p w14:paraId="4AFD28E7" w14:textId="77777777" w:rsidR="00251C94" w:rsidRPr="00251C94" w:rsidRDefault="00251C94" w:rsidP="00251C94">
      <w:pPr>
        <w:pStyle w:val="Verzeichnis1"/>
        <w:rPr>
          <w:rFonts w:ascii="KievitPro-Regular" w:eastAsiaTheme="minorEastAsia" w:hAnsi="KievitPro-Regular" w:cstheme="minorBidi"/>
          <w:iCs/>
          <w:kern w:val="2"/>
          <w:sz w:val="24"/>
          <w:szCs w:val="24"/>
          <w:lang w:val="de-CH" w:eastAsia="de-CH"/>
          <w14:ligatures w14:val="standardContextual"/>
        </w:rPr>
      </w:pPr>
      <w:hyperlink w:anchor="_Toc236311871" w:history="1">
        <w:r w:rsidRPr="00251C94">
          <w:rPr>
            <w:rStyle w:val="Hyperlink"/>
            <w:rFonts w:ascii="KievitPro-Regular" w:hAnsi="KievitPro-Regular" w:cs="Arial"/>
          </w:rPr>
          <w:t>13</w:t>
        </w:r>
        <w:r w:rsidRPr="00251C94">
          <w:rPr>
            <w:rFonts w:ascii="KievitPro-Regular" w:eastAsiaTheme="minorEastAsia" w:hAnsi="KievitPro-Regular" w:cstheme="minorBidi"/>
            <w:kern w:val="2"/>
            <w:sz w:val="24"/>
            <w:szCs w:val="24"/>
            <w:lang w:val="de-CH" w:eastAsia="de-CH"/>
            <w14:ligatures w14:val="standardContextual"/>
          </w:rPr>
          <w:tab/>
        </w:r>
        <w:r w:rsidRPr="00251C94">
          <w:rPr>
            <w:rStyle w:val="Hyperlink"/>
            <w:rFonts w:ascii="KievitPro-Regular" w:hAnsi="KievitPro-Regular"/>
          </w:rPr>
          <w:t xml:space="preserve">Organigramma della </w:t>
        </w:r>
        <w:r w:rsidRPr="00251C94">
          <w:rPr>
            <w:rStyle w:val="Hyperlink"/>
            <w:rFonts w:ascii="KievitPro-Regular" w:hAnsi="KievitPro-Regular"/>
            <w:highlight w:val="yellow"/>
          </w:rPr>
          <w:t>Muster SA</w:t>
        </w:r>
        <w:r w:rsidRPr="00251C94">
          <w:rPr>
            <w:rFonts w:ascii="KievitPro-Regular" w:hAnsi="KievitPro-Regular"/>
            <w:webHidden/>
          </w:rPr>
          <w:tab/>
        </w:r>
        <w:r w:rsidRPr="00251C94">
          <w:rPr>
            <w:rFonts w:ascii="KievitPro-Regular" w:hAnsi="KievitPro-Regular"/>
            <w:webHidden/>
          </w:rPr>
          <w:fldChar w:fldCharType="begin"/>
        </w:r>
        <w:r w:rsidRPr="00251C94">
          <w:rPr>
            <w:rFonts w:ascii="KievitPro-Regular" w:hAnsi="KievitPro-Regular"/>
            <w:webHidden/>
          </w:rPr>
          <w:instrText xml:space="preserve"> PAGEREF _Toc236311871 \h </w:instrText>
        </w:r>
        <w:r w:rsidRPr="00251C94">
          <w:rPr>
            <w:rFonts w:ascii="KievitPro-Regular" w:hAnsi="KievitPro-Regular"/>
            <w:webHidden/>
          </w:rPr>
        </w:r>
        <w:r w:rsidRPr="00251C94">
          <w:rPr>
            <w:rFonts w:ascii="KievitPro-Regular" w:hAnsi="KievitPro-Regular"/>
            <w:webHidden/>
          </w:rPr>
          <w:fldChar w:fldCharType="separate"/>
        </w:r>
        <w:r w:rsidRPr="00251C94">
          <w:rPr>
            <w:rFonts w:ascii="KievitPro-Regular" w:hAnsi="KievitPro-Regular"/>
            <w:webHidden/>
          </w:rPr>
          <w:t>25</w:t>
        </w:r>
        <w:r w:rsidRPr="00251C94">
          <w:rPr>
            <w:rFonts w:ascii="KievitPro-Regular" w:hAnsi="KievitPro-Regular"/>
            <w:webHidden/>
          </w:rPr>
          <w:fldChar w:fldCharType="end"/>
        </w:r>
      </w:hyperlink>
    </w:p>
    <w:p w14:paraId="6D170D51" w14:textId="77777777" w:rsidR="00251C94" w:rsidRPr="00251C94" w:rsidRDefault="00251C94" w:rsidP="00251C94">
      <w:pPr>
        <w:rPr>
          <w:rFonts w:ascii="KievitPro-Regular" w:hAnsi="KievitPro-Regular"/>
        </w:rPr>
      </w:pPr>
      <w:r w:rsidRPr="00251C94">
        <w:rPr>
          <w:rFonts w:ascii="KievitPro-Regular" w:hAnsi="KievitPro-Regular" w:cs="Arial"/>
          <w:vanish/>
        </w:rPr>
        <w:fldChar w:fldCharType="end"/>
      </w:r>
    </w:p>
    <w:p w14:paraId="2866CFBE" w14:textId="77777777" w:rsidR="00251C94" w:rsidRPr="00251C94" w:rsidRDefault="00251C94" w:rsidP="00251C94">
      <w:pPr>
        <w:spacing w:line="240" w:lineRule="auto"/>
        <w:rPr>
          <w:rFonts w:ascii="KievitPro-Regular" w:hAnsi="KievitPro-Regular" w:cs="Arial"/>
          <w:color w:val="222222"/>
        </w:rPr>
      </w:pPr>
      <w:r w:rsidRPr="00251C94">
        <w:rPr>
          <w:rFonts w:ascii="KievitPro-Regular" w:hAnsi="KievitPro-Regular"/>
        </w:rPr>
        <w:br w:type="page"/>
      </w:r>
    </w:p>
    <w:p w14:paraId="0B3C747C" w14:textId="77777777" w:rsidR="00251C94" w:rsidRPr="00251C94" w:rsidRDefault="00251C94" w:rsidP="00251C94">
      <w:pPr>
        <w:pBdr>
          <w:bottom w:val="single" w:sz="4" w:space="1" w:color="auto"/>
        </w:pBdr>
        <w:spacing w:line="240" w:lineRule="auto"/>
        <w:rPr>
          <w:rFonts w:ascii="KievitPro-Regular" w:hAnsi="KievitPro-Regular" w:cs="Arial"/>
          <w:color w:val="222222"/>
          <w:lang w:val="de-CH" w:eastAsia="de-CH"/>
        </w:rPr>
      </w:pPr>
    </w:p>
    <w:p w14:paraId="294D5EF6" w14:textId="77777777" w:rsidR="00251C94" w:rsidRPr="00251C94" w:rsidRDefault="00251C94" w:rsidP="00251C94">
      <w:pPr>
        <w:jc w:val="both"/>
        <w:rPr>
          <w:rFonts w:ascii="KievitPro-Regular" w:hAnsi="KievitPro-Regular" w:cs="Arial"/>
          <w:color w:val="222222"/>
        </w:rPr>
      </w:pPr>
      <w:r w:rsidRPr="00251C94">
        <w:rPr>
          <w:rFonts w:ascii="KievitPro-Regular" w:hAnsi="KievitPro-Regular"/>
          <w:color w:val="222222"/>
        </w:rPr>
        <w:t xml:space="preserve">In questo testo, per semplicità, viene utilizzata soltanto la </w:t>
      </w:r>
      <w:r w:rsidRPr="00251C94">
        <w:rPr>
          <w:rFonts w:ascii="KievitPro-Regular" w:hAnsi="KievitPro-Regular"/>
          <w:b/>
          <w:color w:val="222222"/>
        </w:rPr>
        <w:t>forma maschile</w:t>
      </w:r>
      <w:r w:rsidRPr="00251C94">
        <w:rPr>
          <w:rFonts w:ascii="KievitPro-Regular" w:hAnsi="KievitPro-Regular"/>
          <w:color w:val="222222"/>
        </w:rPr>
        <w:t xml:space="preserve">. La </w:t>
      </w:r>
      <w:r w:rsidRPr="00251C94">
        <w:rPr>
          <w:rFonts w:ascii="KievitPro-Regular" w:hAnsi="KievitPro-Regular"/>
          <w:b/>
          <w:color w:val="222222"/>
        </w:rPr>
        <w:t>forma femminile</w:t>
      </w:r>
      <w:r w:rsidRPr="00251C94">
        <w:rPr>
          <w:rFonts w:ascii="KievitPro-Regular" w:hAnsi="KievitPro-Regular"/>
          <w:color w:val="222222"/>
        </w:rPr>
        <w:t xml:space="preserve"> è ovviamente sempre inclusa.</w:t>
      </w:r>
    </w:p>
    <w:p w14:paraId="1840D9C3" w14:textId="77777777" w:rsidR="00251C94" w:rsidRPr="00251C94" w:rsidRDefault="00251C94" w:rsidP="00251C94">
      <w:pPr>
        <w:jc w:val="both"/>
        <w:rPr>
          <w:rFonts w:ascii="KievitPro-Regular" w:hAnsi="KievitPro-Regular" w:cs="Arial"/>
          <w:color w:val="222222"/>
          <w:lang w:val="de-CH" w:eastAsia="de-CH"/>
        </w:rPr>
      </w:pPr>
    </w:p>
    <w:p w14:paraId="0AEED1E1" w14:textId="77777777" w:rsidR="00251C94" w:rsidRPr="00251C94" w:rsidRDefault="00251C94" w:rsidP="00251C94">
      <w:pPr>
        <w:jc w:val="both"/>
        <w:rPr>
          <w:rFonts w:ascii="KievitPro-Regular" w:hAnsi="KievitPro-Regular" w:cs="Arial"/>
          <w:b/>
          <w:color w:val="222222"/>
        </w:rPr>
      </w:pPr>
      <w:r w:rsidRPr="00251C94">
        <w:rPr>
          <w:rFonts w:ascii="KievitPro-Regular" w:hAnsi="KievitPro-Regular"/>
          <w:b/>
          <w:color w:val="222222"/>
        </w:rPr>
        <w:t>Indicazioni:</w:t>
      </w:r>
    </w:p>
    <w:p w14:paraId="06F65585" w14:textId="77777777" w:rsidR="00251C94" w:rsidRPr="00251C94" w:rsidRDefault="00251C94" w:rsidP="00251C94">
      <w:pPr>
        <w:pStyle w:val="Listenabsatz"/>
        <w:numPr>
          <w:ilvl w:val="0"/>
          <w:numId w:val="17"/>
        </w:numPr>
        <w:spacing w:line="276" w:lineRule="auto"/>
        <w:jc w:val="both"/>
        <w:rPr>
          <w:rFonts w:ascii="KievitPro-Regular" w:hAnsi="KievitPro-Regular" w:cs="Arial"/>
          <w:color w:val="222222"/>
        </w:rPr>
      </w:pPr>
      <w:r w:rsidRPr="00251C94">
        <w:rPr>
          <w:rFonts w:ascii="KievitPro-Regular" w:hAnsi="KievitPro-Regular"/>
          <w:color w:val="222222"/>
          <w:highlight w:val="yellow"/>
        </w:rPr>
        <w:t>Passaggi di testo evidenziati in giallo</w:t>
      </w:r>
      <w:r w:rsidRPr="00251C94">
        <w:rPr>
          <w:rFonts w:ascii="KievitPro-Regular" w:hAnsi="KievitPro-Regular"/>
          <w:color w:val="222222"/>
        </w:rPr>
        <w:t xml:space="preserve">: </w:t>
      </w:r>
    </w:p>
    <w:p w14:paraId="333B8C4F" w14:textId="77777777" w:rsidR="00251C94" w:rsidRPr="00251C94" w:rsidRDefault="00251C94" w:rsidP="00251C94">
      <w:pPr>
        <w:pStyle w:val="Listenabsatz"/>
        <w:ind w:left="360"/>
        <w:jc w:val="both"/>
        <w:rPr>
          <w:rFonts w:ascii="KievitPro-Regular" w:hAnsi="KievitPro-Regular" w:cs="Arial"/>
        </w:rPr>
      </w:pPr>
      <w:r w:rsidRPr="00251C94">
        <w:rPr>
          <w:rFonts w:ascii="KievitPro-Regular" w:hAnsi="KievitPro-Regular"/>
        </w:rPr>
        <w:t>Nel manuale ci sono diversi passaggi di testo evidenziati in giallo. Si tratta di parti che devono essere adattate in modo specifico alle realtà aziendali.</w:t>
      </w:r>
    </w:p>
    <w:p w14:paraId="0E8286FF" w14:textId="77777777" w:rsidR="00251C94" w:rsidRPr="00251C94" w:rsidRDefault="00251C94" w:rsidP="00251C94">
      <w:pPr>
        <w:pStyle w:val="Listenabsatz"/>
        <w:ind w:left="360"/>
        <w:jc w:val="both"/>
        <w:rPr>
          <w:rFonts w:ascii="KievitPro-Regular" w:hAnsi="KievitPro-Regular" w:cs="Arial"/>
          <w:color w:val="222222"/>
          <w:lang w:eastAsia="de-CH"/>
        </w:rPr>
      </w:pPr>
    </w:p>
    <w:p w14:paraId="4081A560" w14:textId="77777777" w:rsidR="00251C94" w:rsidRPr="00251C94" w:rsidRDefault="00251C94" w:rsidP="00251C94">
      <w:pPr>
        <w:pStyle w:val="Listenabsatz"/>
        <w:numPr>
          <w:ilvl w:val="0"/>
          <w:numId w:val="17"/>
        </w:numPr>
        <w:spacing w:line="276" w:lineRule="auto"/>
        <w:jc w:val="both"/>
        <w:rPr>
          <w:rFonts w:ascii="KievitPro-Regular" w:hAnsi="KievitPro-Regular" w:cs="Arial"/>
          <w:color w:val="222222"/>
        </w:rPr>
      </w:pPr>
      <w:r w:rsidRPr="00251C94">
        <w:rPr>
          <w:rFonts w:ascii="KievitPro-Regular" w:hAnsi="KievitPro-Regular"/>
          <w:color w:val="222222"/>
          <w:highlight w:val="red"/>
        </w:rPr>
        <w:t>Passaggi di testo evidenziati in rosso</w:t>
      </w:r>
      <w:r w:rsidRPr="00251C94">
        <w:rPr>
          <w:rFonts w:ascii="KievitPro-Regular" w:hAnsi="KievitPro-Regular"/>
          <w:color w:val="222222"/>
        </w:rPr>
        <w:t>:</w:t>
      </w:r>
    </w:p>
    <w:p w14:paraId="48B22B51" w14:textId="77777777" w:rsidR="00251C94" w:rsidRPr="00251C94" w:rsidRDefault="00251C94" w:rsidP="00251C94">
      <w:pPr>
        <w:ind w:left="360"/>
        <w:jc w:val="both"/>
        <w:rPr>
          <w:rFonts w:ascii="KievitPro-Regular" w:hAnsi="KievitPro-Regular" w:cs="Arial"/>
        </w:rPr>
      </w:pPr>
      <w:r w:rsidRPr="00251C94">
        <w:rPr>
          <w:rFonts w:ascii="KievitPro-Regular" w:hAnsi="KievitPro-Regular"/>
        </w:rPr>
        <w:t xml:space="preserve">Nel manuale ci sono alcuni passaggi evidenziati in rosso. Si tratta di regolamenti e misure relativi alla revisione ordinaria. Le imprese di revisione che non dispongono dell'abilitazione come periti revisori dovrebbero eliminare questi passaggi, in quanto non applicabili. </w:t>
      </w:r>
    </w:p>
    <w:p w14:paraId="76349B4A" w14:textId="77777777" w:rsidR="00251C94" w:rsidRPr="00251C94" w:rsidRDefault="00251C94" w:rsidP="00251C94">
      <w:pPr>
        <w:ind w:left="360"/>
        <w:jc w:val="both"/>
        <w:rPr>
          <w:rFonts w:ascii="KievitPro-Regular" w:hAnsi="KievitPro-Regular" w:cs="Arial"/>
        </w:rPr>
      </w:pPr>
    </w:p>
    <w:p w14:paraId="5B36500E" w14:textId="77777777" w:rsidR="00251C94" w:rsidRPr="00251C94" w:rsidRDefault="00251C94" w:rsidP="00251C94">
      <w:pPr>
        <w:jc w:val="both"/>
        <w:rPr>
          <w:rFonts w:ascii="KievitPro-Regular" w:hAnsi="KievitPro-Regular" w:cs="Arial"/>
          <w:b/>
        </w:rPr>
      </w:pPr>
      <w:r w:rsidRPr="00251C94">
        <w:rPr>
          <w:rFonts w:ascii="KievitPro-Regular" w:hAnsi="KievitPro-Regular"/>
          <w:b/>
        </w:rPr>
        <w:t>Disclaimer</w:t>
      </w:r>
    </w:p>
    <w:p w14:paraId="4DAA11C3" w14:textId="77777777" w:rsidR="00251C94" w:rsidRPr="00251C94" w:rsidRDefault="00251C94" w:rsidP="00251C94">
      <w:pPr>
        <w:jc w:val="both"/>
        <w:rPr>
          <w:rFonts w:ascii="KievitPro-Regular" w:hAnsi="KievitPro-Regular" w:cs="Arial"/>
        </w:rPr>
      </w:pPr>
      <w:r w:rsidRPr="00251C94">
        <w:rPr>
          <w:rFonts w:ascii="KievitPro-Regular" w:hAnsi="KievitPro-Regular"/>
        </w:rPr>
        <w:t>Il presente manuale di gestione della qualità (QM) è applicabile a tutti i servizi di revisione. Il manuale deve essere adattato alle specifiche condizioni dell'impresa di revisione. È possibile integrare oppure omettere singole liste di controllo e informazioni.</w:t>
      </w:r>
    </w:p>
    <w:p w14:paraId="1078362B" w14:textId="77777777" w:rsidR="00251C94" w:rsidRPr="00251C94" w:rsidRDefault="00251C94" w:rsidP="00251C94">
      <w:pPr>
        <w:jc w:val="both"/>
        <w:rPr>
          <w:rFonts w:ascii="KievitPro-Regular" w:hAnsi="KievitPro-Regular" w:cs="Arial"/>
        </w:rPr>
      </w:pPr>
      <w:r w:rsidRPr="00251C94">
        <w:rPr>
          <w:rFonts w:ascii="KievitPro-Regular" w:hAnsi="KievitPro-Regular"/>
        </w:rPr>
        <w:t>Non si garantisce la completezza del presente documento; analogamente, la presente versione non ha carattere vincolante.</w:t>
      </w:r>
    </w:p>
    <w:p w14:paraId="6EC2B84E" w14:textId="77777777" w:rsidR="00251C94" w:rsidRPr="00251C94" w:rsidRDefault="00251C94" w:rsidP="00251C94">
      <w:pPr>
        <w:pBdr>
          <w:bottom w:val="single" w:sz="2" w:space="1" w:color="000000"/>
        </w:pBdr>
        <w:jc w:val="both"/>
        <w:rPr>
          <w:rFonts w:ascii="KievitPro-Regular" w:hAnsi="KievitPro-Regular" w:cs="Arial"/>
        </w:rPr>
      </w:pPr>
      <w:r w:rsidRPr="00251C94">
        <w:rPr>
          <w:rFonts w:ascii="KievitPro-Regular" w:hAnsi="KievitPro-Regular"/>
        </w:rPr>
        <w:t xml:space="preserve">Non è sufficiente limitarsi a introdurre il manuale di gestione della qualità, ma occorre anche metterlo in pratica. </w:t>
      </w:r>
    </w:p>
    <w:p w14:paraId="3F257A61" w14:textId="77777777" w:rsidR="00251C94" w:rsidRPr="00251C94" w:rsidRDefault="00251C94" w:rsidP="00251C94">
      <w:pPr>
        <w:pStyle w:val="berschrift1"/>
        <w:rPr>
          <w:rFonts w:ascii="KievitPro-Regular" w:hAnsi="KievitPro-Regular"/>
          <w:sz w:val="20"/>
          <w:szCs w:val="20"/>
        </w:rPr>
      </w:pPr>
      <w:bookmarkStart w:id="0" w:name="_Toc331493575"/>
      <w:bookmarkStart w:id="1" w:name="_Toc331493991"/>
      <w:bookmarkStart w:id="2" w:name="_Toc331495023"/>
      <w:bookmarkStart w:id="3" w:name="_Toc331495815"/>
      <w:bookmarkStart w:id="4" w:name="_Toc331510673"/>
      <w:r w:rsidRPr="00251C94">
        <w:rPr>
          <w:rFonts w:ascii="KievitPro-Regular" w:hAnsi="KievitPro-Regular"/>
        </w:rPr>
        <w:br w:type="page"/>
      </w:r>
    </w:p>
    <w:p w14:paraId="1BD4A066" w14:textId="77777777" w:rsidR="00251C94" w:rsidRDefault="00251C94" w:rsidP="00251C94">
      <w:pPr>
        <w:pStyle w:val="berschrift1"/>
        <w:rPr>
          <w:rFonts w:ascii="KievitPro-Regular" w:hAnsi="KievitPro-Regular"/>
          <w:b/>
          <w:sz w:val="24"/>
        </w:rPr>
      </w:pPr>
      <w:bookmarkStart w:id="5" w:name="_Toc236311846"/>
      <w:r w:rsidRPr="00251C94">
        <w:rPr>
          <w:rFonts w:ascii="KievitPro-Regular" w:hAnsi="KievitPro-Regular"/>
          <w:b/>
          <w:sz w:val="24"/>
        </w:rPr>
        <w:lastRenderedPageBreak/>
        <w:t>Strategia e principi del sistema di gestione della qualità</w:t>
      </w:r>
      <w:bookmarkEnd w:id="0"/>
      <w:bookmarkEnd w:id="1"/>
      <w:bookmarkEnd w:id="2"/>
      <w:bookmarkEnd w:id="3"/>
      <w:bookmarkEnd w:id="4"/>
      <w:bookmarkEnd w:id="5"/>
    </w:p>
    <w:p w14:paraId="2A234301" w14:textId="77777777" w:rsidR="00251C94" w:rsidRPr="00251C94" w:rsidRDefault="00251C94" w:rsidP="00251C94"/>
    <w:p w14:paraId="471A35A2" w14:textId="77777777" w:rsidR="00251C94" w:rsidRDefault="00251C94" w:rsidP="00251C94">
      <w:pPr>
        <w:jc w:val="both"/>
        <w:rPr>
          <w:rFonts w:ascii="KievitPro-Regular" w:hAnsi="KievitPro-Regular"/>
        </w:rPr>
      </w:pPr>
      <w:r w:rsidRPr="00251C94">
        <w:rPr>
          <w:rFonts w:ascii="KievitPro-Regular" w:hAnsi="KievitPro-Regular"/>
        </w:rPr>
        <w:t>Siamo un'impresa di revisione che, grazie a un approccio imprenditoriale e all'impegno personale, supporta attivamente i propri mandatari nel raggiungimento dei loro obiettivi economici. Supporto attivo per noi significa l'adempimento dei nostri obblighi di legge e il nostro impegno a garantire il massimo vantaggio possibile per i clienti.</w:t>
      </w:r>
    </w:p>
    <w:p w14:paraId="767308E4" w14:textId="77777777" w:rsidR="00251C94" w:rsidRPr="00251C94" w:rsidRDefault="00251C94" w:rsidP="00251C94">
      <w:pPr>
        <w:jc w:val="both"/>
        <w:rPr>
          <w:rFonts w:ascii="KievitPro-Regular" w:hAnsi="KievitPro-Regular" w:cs="Arial"/>
        </w:rPr>
      </w:pPr>
    </w:p>
    <w:p w14:paraId="538853C1" w14:textId="77777777" w:rsidR="00251C94" w:rsidRDefault="00251C94" w:rsidP="00251C94">
      <w:pPr>
        <w:jc w:val="both"/>
        <w:rPr>
          <w:rFonts w:ascii="KievitPro-Regular" w:hAnsi="KievitPro-Regular"/>
        </w:rPr>
      </w:pPr>
      <w:r w:rsidRPr="00251C94">
        <w:rPr>
          <w:rFonts w:ascii="KievitPro-Regular" w:hAnsi="KievitPro-Regular"/>
        </w:rPr>
        <w:t>La gestione dei mandati in base alle esigenze dei clienti si fonda sulla fiducia reciproca. I nostri responsabili dei mandati rispettano i requisiti di legge e le linee guida delle nostre associazioni di categoria, tenendo conto delle esigenze dei nostri clienti. Il nostro approccio è sempre indipendente e obiettivo. Le nostre prestazioni di servizi si distinguono per la competenza e lo spirito imprenditoriale.</w:t>
      </w:r>
    </w:p>
    <w:p w14:paraId="5D3F9485" w14:textId="77777777" w:rsidR="00251C94" w:rsidRPr="00251C94" w:rsidRDefault="00251C94" w:rsidP="00251C94">
      <w:pPr>
        <w:jc w:val="both"/>
        <w:rPr>
          <w:rFonts w:ascii="KievitPro-Regular" w:hAnsi="KievitPro-Regular" w:cs="Arial"/>
        </w:rPr>
      </w:pPr>
    </w:p>
    <w:p w14:paraId="3001ED07" w14:textId="77777777" w:rsidR="00251C94" w:rsidRDefault="00251C94" w:rsidP="00251C94">
      <w:pPr>
        <w:tabs>
          <w:tab w:val="right" w:pos="9405"/>
        </w:tabs>
        <w:jc w:val="both"/>
        <w:rPr>
          <w:rFonts w:ascii="KievitPro-Regular" w:hAnsi="KievitPro-Regular"/>
        </w:rPr>
      </w:pPr>
      <w:r w:rsidRPr="00251C94">
        <w:rPr>
          <w:rFonts w:ascii="KievitPro-Regular" w:hAnsi="KievitPro-Regular"/>
        </w:rPr>
        <w:t>Il nostro obiettivo è garantire un elevato livello di qualità professionale nei nostri servizi di revisione. Ciò viene garantito in modo vincolante attraverso misure organizzative e misure che adottiamo a livello dei singoli mandati. I nostri collaboratori addetti alla revisione sono responsabili dell'attuazione e del mantenimento degli standard di qualità. Conoscono il manuale, nonché le relative regole e istruzioni, e sono quindi in grado di comprendere l'obiettivo del sistema di gestione della qualità (sistema QM) e di applicare correttamente i requisiti in esso contenuti. In questo modo, ogni collaboratore del reparto revisione è consapevole della propria responsabilità personale in materia di qualità e del fatto che ci si aspetta da lui il rispetto di tali linee guida.</w:t>
      </w:r>
    </w:p>
    <w:p w14:paraId="67844492" w14:textId="77777777" w:rsidR="00251C94" w:rsidRPr="00251C94" w:rsidRDefault="00251C94" w:rsidP="00251C94">
      <w:pPr>
        <w:tabs>
          <w:tab w:val="right" w:pos="9405"/>
        </w:tabs>
        <w:jc w:val="both"/>
        <w:rPr>
          <w:rFonts w:ascii="KievitPro-Regular" w:hAnsi="KievitPro-Regular" w:cs="Arial"/>
        </w:rPr>
      </w:pPr>
    </w:p>
    <w:p w14:paraId="54EEFE2F" w14:textId="77777777" w:rsidR="00251C94" w:rsidRDefault="00251C94" w:rsidP="00251C94">
      <w:pPr>
        <w:tabs>
          <w:tab w:val="right" w:pos="9405"/>
        </w:tabs>
        <w:jc w:val="both"/>
        <w:rPr>
          <w:rFonts w:ascii="KievitPro-Regular" w:hAnsi="KievitPro-Regular"/>
        </w:rPr>
      </w:pPr>
      <w:r w:rsidRPr="00251C94">
        <w:rPr>
          <w:rFonts w:ascii="KievitPro-Regular" w:hAnsi="KievitPro-Regular"/>
        </w:rPr>
        <w:t xml:space="preserve">I nostri collaboratori sono professionisti altamente qualificati. La promozione e il perfezionamento sono un requisito obbligatorio a tutti i livelli. </w:t>
      </w:r>
    </w:p>
    <w:p w14:paraId="4B359437" w14:textId="77777777" w:rsidR="00251C94" w:rsidRPr="00251C94" w:rsidRDefault="00251C94" w:rsidP="00251C94">
      <w:pPr>
        <w:tabs>
          <w:tab w:val="right" w:pos="9405"/>
        </w:tabs>
        <w:jc w:val="both"/>
        <w:rPr>
          <w:rFonts w:ascii="KievitPro-Regular" w:hAnsi="KievitPro-Regular" w:cs="Arial"/>
        </w:rPr>
      </w:pPr>
    </w:p>
    <w:p w14:paraId="6F9A2657" w14:textId="77777777" w:rsidR="00251C94" w:rsidRDefault="00251C94" w:rsidP="00251C94">
      <w:pPr>
        <w:jc w:val="both"/>
        <w:rPr>
          <w:rFonts w:ascii="KievitPro-Regular" w:hAnsi="KievitPro-Regular"/>
        </w:rPr>
      </w:pPr>
      <w:r w:rsidRPr="00251C94">
        <w:rPr>
          <w:rFonts w:ascii="KievitPro-Regular" w:hAnsi="KievitPro-Regular"/>
        </w:rPr>
        <w:t xml:space="preserve">Verifichiamo costantemente il rispetto degli standard di qualità e puntiamo al loro miglioramento continuo. </w:t>
      </w:r>
    </w:p>
    <w:p w14:paraId="1B35D1B9" w14:textId="77777777" w:rsidR="00251C94" w:rsidRPr="00251C94" w:rsidDel="009519A2" w:rsidRDefault="00251C94" w:rsidP="00251C94">
      <w:pPr>
        <w:jc w:val="both"/>
        <w:rPr>
          <w:rFonts w:ascii="KievitPro-Regular" w:hAnsi="KievitPro-Regular" w:cs="Arial"/>
        </w:rPr>
      </w:pPr>
    </w:p>
    <w:p w14:paraId="07BDCC93" w14:textId="77777777" w:rsidR="00251C94" w:rsidRDefault="00251C94" w:rsidP="00251C94">
      <w:pPr>
        <w:jc w:val="both"/>
        <w:rPr>
          <w:rFonts w:ascii="KievitPro-Regular" w:hAnsi="KievitPro-Regular"/>
        </w:rPr>
      </w:pPr>
      <w:r w:rsidRPr="00251C94">
        <w:rPr>
          <w:rFonts w:ascii="KievitPro-Regular" w:hAnsi="KievitPro-Regular"/>
        </w:rPr>
        <w:t xml:space="preserve">Il nostro sistema di gestione della qualità è orientato ai singoli settori di competenza e applichiamo le norme </w:t>
      </w:r>
      <w:r w:rsidRPr="00251C94">
        <w:rPr>
          <w:rFonts w:ascii="KievitPro-Regular" w:hAnsi="KievitPro-Regular"/>
          <w:highlight w:val="yellow"/>
        </w:rPr>
        <w:t>ISQM-CH 1, ISQM-CH 2 e ISA-CH 220</w:t>
      </w:r>
      <w:r w:rsidRPr="00251C94">
        <w:rPr>
          <w:rStyle w:val="Funotenzeichen"/>
          <w:rFonts w:ascii="KievitPro-Regular" w:hAnsi="KievitPro-Regular" w:cs="Arial"/>
          <w:highlight w:val="yellow"/>
          <w:lang w:val="de-CH"/>
        </w:rPr>
        <w:footnoteReference w:id="1"/>
      </w:r>
      <w:r w:rsidRPr="00251C94">
        <w:rPr>
          <w:rFonts w:ascii="KievitPro-Regular" w:hAnsi="KievitPro-Regular"/>
          <w:highlight w:val="yellow"/>
        </w:rPr>
        <w:t xml:space="preserve"> </w:t>
      </w:r>
      <w:r w:rsidRPr="00251C94">
        <w:rPr>
          <w:rFonts w:ascii="KievitPro-Regular" w:hAnsi="KievitPro-Regular"/>
        </w:rPr>
        <w:t>. La voce inserita nel registro dell'Autorità di sorveglianza dei revisori (ASR) relativa allo standard di gestione della qualità interna applicato viene verificata periodicamente per accertarne la correttezza, oppure viene adeguata in caso di cambiamento dello standard applicato. In questo contesto, il consiglio d'amministrazione è responsabile della realizzazione di un sistema di gestione della qualità. I singoli dipartimenti sono riportati nel nostro organigramma (si veda l'allegato).</w:t>
      </w:r>
    </w:p>
    <w:p w14:paraId="00442210" w14:textId="77777777" w:rsidR="00251C94" w:rsidRPr="00251C94" w:rsidRDefault="00251C94" w:rsidP="00251C94">
      <w:pPr>
        <w:jc w:val="both"/>
        <w:rPr>
          <w:rFonts w:ascii="KievitPro-Regular" w:hAnsi="KievitPro-Regular" w:cs="Arial"/>
        </w:rPr>
      </w:pPr>
    </w:p>
    <w:p w14:paraId="175DC559" w14:textId="77777777" w:rsidR="00251C94" w:rsidRPr="00251C94" w:rsidRDefault="00251C94" w:rsidP="00251C94">
      <w:pPr>
        <w:jc w:val="both"/>
        <w:rPr>
          <w:rFonts w:ascii="KievitPro-Regular" w:hAnsi="KievitPro-Regular" w:cs="Arial"/>
        </w:rPr>
      </w:pPr>
      <w:r w:rsidRPr="00251C94">
        <w:rPr>
          <w:rFonts w:ascii="KievitPro-Regular" w:hAnsi="KievitPro-Regular"/>
        </w:rPr>
        <w:t>I principi di seguito enunciati si applicano all'intera impresa di revisione. Si applicano, per analogia e in misura adeguata, anche ai mandati fiduciari e di consulenza.</w:t>
      </w:r>
    </w:p>
    <w:p w14:paraId="0368A5AD" w14:textId="77777777" w:rsidR="00251C94" w:rsidRPr="00251C94" w:rsidRDefault="00251C94" w:rsidP="00251C94">
      <w:pPr>
        <w:pStyle w:val="berschrift1"/>
        <w:rPr>
          <w:rFonts w:ascii="KievitPro-Regular" w:hAnsi="KievitPro-Regular"/>
          <w:b/>
          <w:sz w:val="24"/>
        </w:rPr>
      </w:pPr>
      <w:bookmarkStart w:id="6" w:name="_Toc236311847"/>
      <w:r w:rsidRPr="00251C94">
        <w:rPr>
          <w:rFonts w:ascii="KievitPro-Regular" w:hAnsi="KievitPro-Regular"/>
          <w:b/>
          <w:sz w:val="24"/>
        </w:rPr>
        <w:t>Principi di base</w:t>
      </w:r>
      <w:bookmarkEnd w:id="6"/>
    </w:p>
    <w:p w14:paraId="60A8961E" w14:textId="77777777" w:rsidR="00251C94" w:rsidRPr="00251C94" w:rsidRDefault="00251C94" w:rsidP="00251C94">
      <w:pPr>
        <w:tabs>
          <w:tab w:val="right" w:pos="9405"/>
        </w:tabs>
        <w:jc w:val="both"/>
        <w:rPr>
          <w:rFonts w:ascii="KievitPro-Regular" w:hAnsi="KievitPro-Regular"/>
        </w:rPr>
      </w:pPr>
      <w:r w:rsidRPr="00251C94">
        <w:rPr>
          <w:rFonts w:ascii="KievitPro-Regular" w:hAnsi="KievitPro-Regular"/>
        </w:rPr>
        <w:t xml:space="preserve">Ci impegniamo a rispettare le disposizioni di legge e i principi etici dell’International Code of Ethics for Professional </w:t>
      </w:r>
      <w:proofErr w:type="spellStart"/>
      <w:r w:rsidRPr="00251C94">
        <w:rPr>
          <w:rFonts w:ascii="KievitPro-Regular" w:hAnsi="KievitPro-Regular"/>
        </w:rPr>
        <w:t>Accountants</w:t>
      </w:r>
      <w:proofErr w:type="spellEnd"/>
      <w:r w:rsidRPr="00251C94">
        <w:rPr>
          <w:rFonts w:ascii="KievitPro-Regular" w:hAnsi="KievitPro-Regular"/>
        </w:rPr>
        <w:t xml:space="preserve"> (IESBA Code), in particolare per quanto riguarda l'integrità, l'obiettività, la competenza professionale e l'esercizio diligente della professione, la riservatezza e un comportamento conforme alla dignità professionale. Inoltre, ci atteniamo ai requisiti specialistici e professionali pertinenti di </w:t>
      </w:r>
      <w:r w:rsidRPr="00251C94">
        <w:rPr>
          <w:rFonts w:ascii="KievitPro-Regular" w:hAnsi="KievitPro-Regular"/>
          <w:highlight w:val="yellow"/>
        </w:rPr>
        <w:t>EXPERTsuisse</w:t>
      </w:r>
      <w:r w:rsidRPr="00251C94">
        <w:rPr>
          <w:rFonts w:ascii="KievitPro-Regular" w:hAnsi="KievitPro-Regular"/>
        </w:rPr>
        <w:t xml:space="preserve"> </w:t>
      </w:r>
      <w:r w:rsidRPr="00251C94">
        <w:rPr>
          <w:rFonts w:ascii="KievitPro-Regular" w:hAnsi="KievitPro-Regular"/>
          <w:highlight w:val="yellow"/>
        </w:rPr>
        <w:t>e/o FIDUCIARI|SUISSE</w:t>
      </w:r>
      <w:r w:rsidRPr="00251C94">
        <w:rPr>
          <w:rFonts w:ascii="KievitPro-Regular" w:hAnsi="KievitPro-Regular"/>
        </w:rPr>
        <w:t>.</w:t>
      </w:r>
      <w:r w:rsidRPr="00251C94">
        <w:rPr>
          <w:rFonts w:ascii="KievitPro-Regular" w:hAnsi="KievitPro-Regular"/>
        </w:rPr>
        <w:br w:type="page"/>
      </w:r>
    </w:p>
    <w:p w14:paraId="3E93E68C" w14:textId="77777777" w:rsidR="00251C94" w:rsidRDefault="00251C94" w:rsidP="00251C94">
      <w:pPr>
        <w:pStyle w:val="berschrift1"/>
        <w:rPr>
          <w:rFonts w:ascii="KievitPro-Regular" w:hAnsi="KievitPro-Regular"/>
          <w:b/>
          <w:sz w:val="24"/>
        </w:rPr>
      </w:pPr>
      <w:bookmarkStart w:id="7" w:name="_Toc236311848"/>
      <w:r w:rsidRPr="00251C94">
        <w:rPr>
          <w:rFonts w:ascii="KievitPro-Regular" w:hAnsi="KievitPro-Regular"/>
          <w:b/>
          <w:sz w:val="24"/>
        </w:rPr>
        <w:lastRenderedPageBreak/>
        <w:t>Approvazione</w:t>
      </w:r>
      <w:bookmarkEnd w:id="7"/>
    </w:p>
    <w:p w14:paraId="39890371" w14:textId="77777777" w:rsidR="00251C94" w:rsidRPr="00251C94" w:rsidRDefault="00251C94" w:rsidP="00251C94"/>
    <w:p w14:paraId="4B00670B" w14:textId="77777777" w:rsidR="00251C94" w:rsidRPr="00251C94" w:rsidRDefault="00251C94" w:rsidP="00251C94">
      <w:pPr>
        <w:jc w:val="both"/>
        <w:rPr>
          <w:rFonts w:ascii="KievitPro-Regular" w:hAnsi="KievitPro-Regular" w:cs="Arial"/>
        </w:rPr>
      </w:pPr>
      <w:r w:rsidRPr="00251C94">
        <w:rPr>
          <w:rFonts w:ascii="KievitPro-Regular" w:hAnsi="KievitPro-Regular"/>
        </w:rPr>
        <w:t xml:space="preserve">La presente versione del manuale è stata approvata dalla direzione dell'impresa in data </w:t>
      </w:r>
      <w:proofErr w:type="spellStart"/>
      <w:r w:rsidRPr="00251C94">
        <w:rPr>
          <w:rFonts w:ascii="KievitPro-Regular" w:hAnsi="KievitPro-Regular"/>
          <w:highlight w:val="yellow"/>
        </w:rPr>
        <w:t>xx.</w:t>
      </w:r>
      <w:proofErr w:type="gramStart"/>
      <w:r w:rsidRPr="00251C94">
        <w:rPr>
          <w:rFonts w:ascii="KievitPro-Regular" w:hAnsi="KievitPro-Regular"/>
          <w:highlight w:val="yellow"/>
        </w:rPr>
        <w:t>xx.xxxx</w:t>
      </w:r>
      <w:proofErr w:type="spellEnd"/>
      <w:proofErr w:type="gramEnd"/>
      <w:r w:rsidRPr="00251C94">
        <w:rPr>
          <w:rFonts w:ascii="KievitPro-Regular" w:hAnsi="KievitPro-Regular"/>
        </w:rPr>
        <w:t xml:space="preserve"> (ultima revisione </w:t>
      </w:r>
      <w:proofErr w:type="spellStart"/>
      <w:r w:rsidRPr="00251C94">
        <w:rPr>
          <w:rFonts w:ascii="KievitPro-Regular" w:hAnsi="KievitPro-Regular"/>
          <w:highlight w:val="yellow"/>
        </w:rPr>
        <w:t>xx.</w:t>
      </w:r>
      <w:proofErr w:type="gramStart"/>
      <w:r w:rsidRPr="00251C94">
        <w:rPr>
          <w:rFonts w:ascii="KievitPro-Regular" w:hAnsi="KievitPro-Regular"/>
          <w:highlight w:val="yellow"/>
        </w:rPr>
        <w:t>xx.xxxx</w:t>
      </w:r>
      <w:proofErr w:type="spellEnd"/>
      <w:proofErr w:type="gramEnd"/>
      <w:r w:rsidRPr="00251C94">
        <w:rPr>
          <w:rFonts w:ascii="KievitPro-Regular" w:hAnsi="KievitPro-Regular"/>
        </w:rPr>
        <w:t>).</w:t>
      </w:r>
    </w:p>
    <w:p w14:paraId="697DF732" w14:textId="77777777" w:rsidR="00251C94" w:rsidRPr="00251C94" w:rsidRDefault="00251C94" w:rsidP="00251C94">
      <w:pPr>
        <w:jc w:val="both"/>
        <w:rPr>
          <w:rFonts w:ascii="KievitPro-Regular" w:hAnsi="KievitPro-Regular" w:cs="Arial"/>
        </w:rPr>
      </w:pPr>
    </w:p>
    <w:p w14:paraId="20813014" w14:textId="77777777" w:rsidR="00251C94" w:rsidRDefault="00251C94" w:rsidP="00251C94">
      <w:pPr>
        <w:jc w:val="both"/>
        <w:rPr>
          <w:rFonts w:ascii="KievitPro-Regular" w:hAnsi="KievitPro-Regular" w:cs="Arial"/>
        </w:rPr>
      </w:pPr>
    </w:p>
    <w:p w14:paraId="6B8E85B1" w14:textId="77777777" w:rsidR="00251C94" w:rsidRPr="00251C94" w:rsidRDefault="00251C94" w:rsidP="00251C94">
      <w:pPr>
        <w:jc w:val="both"/>
        <w:rPr>
          <w:rFonts w:ascii="KievitPro-Regular" w:hAnsi="KievitPro-Regular" w:cs="Arial"/>
        </w:rPr>
      </w:pPr>
    </w:p>
    <w:p w14:paraId="171E2CDC" w14:textId="77777777" w:rsidR="00251C94" w:rsidRPr="00251C94" w:rsidRDefault="00251C94" w:rsidP="00251C94">
      <w:pPr>
        <w:tabs>
          <w:tab w:val="left" w:pos="2835"/>
          <w:tab w:val="left" w:pos="6237"/>
        </w:tabs>
        <w:jc w:val="both"/>
        <w:rPr>
          <w:rFonts w:ascii="KievitPro-Regular" w:hAnsi="KievitPro-Regular" w:cs="Arial"/>
        </w:rPr>
      </w:pPr>
      <w:r w:rsidRPr="00251C94">
        <w:rPr>
          <w:rFonts w:ascii="KievitPro-Regular" w:hAnsi="KievitPro-Regular"/>
        </w:rPr>
        <w:t>Firma(e):</w:t>
      </w:r>
      <w:r w:rsidRPr="00251C94">
        <w:rPr>
          <w:rFonts w:ascii="KievitPro-Regular" w:hAnsi="KievitPro-Regular"/>
        </w:rPr>
        <w:tab/>
        <w:t>____________________</w:t>
      </w:r>
      <w:r w:rsidRPr="00251C94">
        <w:rPr>
          <w:rFonts w:ascii="KievitPro-Regular" w:hAnsi="KievitPro-Regular"/>
        </w:rPr>
        <w:tab/>
        <w:t>____________________</w:t>
      </w:r>
    </w:p>
    <w:p w14:paraId="7BABB33C" w14:textId="77777777" w:rsidR="00251C94" w:rsidRPr="00251C94" w:rsidRDefault="00251C94" w:rsidP="00251C94">
      <w:pPr>
        <w:spacing w:line="240" w:lineRule="auto"/>
        <w:rPr>
          <w:rFonts w:ascii="KievitPro-Regular" w:hAnsi="KievitPro-Regular" w:cs="Arial"/>
          <w:smallCaps/>
          <w:spacing w:val="5"/>
          <w:sz w:val="24"/>
          <w:szCs w:val="32"/>
        </w:rPr>
      </w:pPr>
      <w:bookmarkStart w:id="8" w:name="_Toc331493576"/>
      <w:bookmarkStart w:id="9" w:name="_Toc331493992"/>
      <w:bookmarkStart w:id="10" w:name="_Toc331495024"/>
      <w:bookmarkStart w:id="11" w:name="_Toc331495816"/>
      <w:bookmarkStart w:id="12" w:name="_Toc331510675"/>
      <w:r w:rsidRPr="00251C94">
        <w:rPr>
          <w:rFonts w:ascii="KievitPro-Regular" w:hAnsi="KievitPro-Regular"/>
        </w:rPr>
        <w:br w:type="page"/>
      </w:r>
    </w:p>
    <w:p w14:paraId="0507F14C" w14:textId="77777777" w:rsidR="00251C94" w:rsidRDefault="00251C94" w:rsidP="00251C94">
      <w:pPr>
        <w:pStyle w:val="berschrift1"/>
        <w:numPr>
          <w:ilvl w:val="0"/>
          <w:numId w:val="16"/>
        </w:numPr>
        <w:ind w:left="426" w:hanging="426"/>
        <w:rPr>
          <w:rFonts w:ascii="KievitPro-Regular" w:hAnsi="KievitPro-Regular"/>
          <w:b/>
          <w:sz w:val="24"/>
        </w:rPr>
      </w:pPr>
      <w:bookmarkStart w:id="13" w:name="_Toc236311849"/>
      <w:r w:rsidRPr="00251C94">
        <w:rPr>
          <w:rFonts w:ascii="KievitPro-Regular" w:hAnsi="KievitPro-Regular"/>
          <w:b/>
          <w:sz w:val="24"/>
        </w:rPr>
        <w:lastRenderedPageBreak/>
        <w:t>Processo di valutazione dei rischi nello studio</w:t>
      </w:r>
      <w:bookmarkEnd w:id="13"/>
    </w:p>
    <w:p w14:paraId="6DF747FA" w14:textId="77777777" w:rsidR="00251C94" w:rsidRPr="00251C94" w:rsidRDefault="00251C94" w:rsidP="00251C94"/>
    <w:p w14:paraId="1CC0A4B0" w14:textId="77777777" w:rsidR="00251C94" w:rsidRDefault="00251C94" w:rsidP="00251C94">
      <w:pPr>
        <w:jc w:val="both"/>
        <w:rPr>
          <w:rFonts w:ascii="KievitPro-Regular" w:hAnsi="KievitPro-Regular"/>
        </w:rPr>
      </w:pPr>
      <w:r w:rsidRPr="00251C94">
        <w:rPr>
          <w:rFonts w:ascii="KievitPro-Regular" w:hAnsi="KievitPro-Regular"/>
        </w:rPr>
        <w:t xml:space="preserve">La direzione dell'impresa ha la responsabilità complessiva del sistema di gestione della qualità, nonché della sua implementazione, del suo mantenimento e del suo continuo sviluppo. Ciò comprende in particolare il processo di valutazione dei rischi, con la definizione di obiettivi di qualità concreti, l'identificazione e la valutazione dei rischi che compromettono la qualità nell'ambito della revisione, nonché la definizione di misure adeguate </w:t>
      </w:r>
      <w:proofErr w:type="gramStart"/>
      <w:r w:rsidRPr="00251C94">
        <w:rPr>
          <w:rFonts w:ascii="KievitPro-Regular" w:hAnsi="KievitPro-Regular"/>
        </w:rPr>
        <w:t>per il</w:t>
      </w:r>
      <w:proofErr w:type="gramEnd"/>
      <w:r w:rsidRPr="00251C94">
        <w:rPr>
          <w:rFonts w:ascii="KievitPro-Regular" w:hAnsi="KievitPro-Regular"/>
        </w:rPr>
        <w:t xml:space="preserve"> raggiungimento degli obiettivi di qualità.</w:t>
      </w:r>
    </w:p>
    <w:p w14:paraId="5762AB96" w14:textId="77777777" w:rsidR="00251C94" w:rsidRPr="00251C94" w:rsidRDefault="00251C94" w:rsidP="00251C94">
      <w:pPr>
        <w:jc w:val="both"/>
        <w:rPr>
          <w:rFonts w:ascii="KievitPro-Regular" w:hAnsi="KievitPro-Regular" w:cs="Arial"/>
        </w:rPr>
      </w:pPr>
    </w:p>
    <w:p w14:paraId="257AB0A2" w14:textId="77777777" w:rsidR="00251C94" w:rsidRPr="00251C94" w:rsidRDefault="00251C94" w:rsidP="00251C94">
      <w:pPr>
        <w:spacing w:after="160" w:line="278" w:lineRule="auto"/>
        <w:jc w:val="both"/>
        <w:rPr>
          <w:rFonts w:ascii="KievitPro-Regular" w:hAnsi="KievitPro-Regular" w:cs="Arial"/>
        </w:rPr>
      </w:pPr>
      <w:r w:rsidRPr="00251C94">
        <w:rPr>
          <w:rFonts w:ascii="KievitPro-Regular" w:hAnsi="KievitPro-Regular"/>
        </w:rPr>
        <w:t>La valutazione del rischio viene effettuata nell'ambito di un'analisi sistematica dei rischi e viene documentata in forma adeguata (si veda l’allegato). In tale contesto, i rischi individuati vengono valutati in base alla loro rilevanza e al loro potenziale impatto. Quanto più elevato è il livello di rischio attribuito, tanto più complete devono essere le misure di mitigazione del rischio da adottare. A tal fine non è strettamente necessaria una valutazione formalizzata tramite rating o analisi quantitative.</w:t>
      </w:r>
    </w:p>
    <w:p w14:paraId="6ED6EF45" w14:textId="77777777" w:rsidR="00251C94" w:rsidRPr="00251C94" w:rsidRDefault="00251C94" w:rsidP="00251C94">
      <w:pPr>
        <w:spacing w:after="160" w:line="278" w:lineRule="auto"/>
        <w:jc w:val="both"/>
        <w:rPr>
          <w:rFonts w:ascii="KievitPro-Regular" w:hAnsi="KievitPro-Regular" w:cs="Arial"/>
        </w:rPr>
      </w:pPr>
      <w:r w:rsidRPr="00251C94">
        <w:rPr>
          <w:rFonts w:ascii="KievitPro-Regular" w:hAnsi="KievitPro-Regular"/>
        </w:rPr>
        <w:t>L'analisi dei rischi viene effettuata e aggiornata regolarmente, almeno una volta all'anno, nonché in caso di cambiamenti significativi nell'attività, nell'organizzazione o nel contesto normativo. Il sistema di gestione della qualità è inteso come un processo dinamico e continuo, che viene costantemente adeguato alle mutate circostanze e alle nuove conoscenze.</w:t>
      </w:r>
    </w:p>
    <w:p w14:paraId="46A621A7" w14:textId="77777777" w:rsidR="00251C94" w:rsidRPr="00251C94" w:rsidRDefault="00251C94" w:rsidP="00251C94">
      <w:pPr>
        <w:spacing w:after="160" w:line="278" w:lineRule="auto"/>
        <w:jc w:val="both"/>
        <w:rPr>
          <w:rFonts w:ascii="KievitPro-Regular" w:hAnsi="KievitPro-Regular" w:cs="Arial"/>
        </w:rPr>
      </w:pPr>
      <w:r w:rsidRPr="00251C94">
        <w:rPr>
          <w:rFonts w:ascii="KievitPro-Regular" w:hAnsi="KievitPro-Regular"/>
        </w:rPr>
        <w:t>L'attuazione operativa e la manutenzione del sistema di gestione della qualità possono essere delegate al responsabile della gestione della qualità (responsabile QM). Quest'ultimo riferisce alla direzione dell'impresa, almeno una volta all'anno, in merito allo stato del sistema di gestione della qualità, ai rischi significativi e alle misure adottate o previste.</w:t>
      </w:r>
    </w:p>
    <w:p w14:paraId="6E65D99C" w14:textId="77777777" w:rsidR="00251C94" w:rsidRPr="00251C94" w:rsidRDefault="00251C94" w:rsidP="00251C94">
      <w:pPr>
        <w:spacing w:after="160" w:line="278" w:lineRule="auto"/>
        <w:jc w:val="both"/>
        <w:rPr>
          <w:rFonts w:ascii="KievitPro-Regular" w:hAnsi="KievitPro-Regular" w:cs="Arial"/>
        </w:rPr>
      </w:pPr>
      <w:r w:rsidRPr="00251C94">
        <w:rPr>
          <w:rFonts w:ascii="KievitPro-Regular" w:hAnsi="KievitPro-Regular"/>
        </w:rPr>
        <w:t>Nell'ambito del processo di valutazione dei rischi vengono presi in considerazione, in particolare, i rischi e gli aspetti relativi a:</w:t>
      </w:r>
    </w:p>
    <w:p w14:paraId="545A1C9F" w14:textId="77777777" w:rsidR="00251C94" w:rsidRPr="00251C94" w:rsidRDefault="00251C94" w:rsidP="00251C94">
      <w:pPr>
        <w:pStyle w:val="Listenabsatz"/>
        <w:numPr>
          <w:ilvl w:val="0"/>
          <w:numId w:val="18"/>
        </w:numPr>
        <w:tabs>
          <w:tab w:val="num" w:pos="720"/>
        </w:tabs>
        <w:spacing w:after="160" w:line="278" w:lineRule="auto"/>
        <w:jc w:val="both"/>
        <w:rPr>
          <w:rFonts w:ascii="KievitPro-Regular" w:hAnsi="KievitPro-Regular" w:cs="Arial"/>
        </w:rPr>
      </w:pPr>
      <w:r w:rsidRPr="00251C94">
        <w:rPr>
          <w:rFonts w:ascii="KievitPro-Regular" w:hAnsi="KievitPro-Regular"/>
        </w:rPr>
        <w:t xml:space="preserve">il rispetto dei requisiti legali, normativi e professionali pertinenti; </w:t>
      </w:r>
    </w:p>
    <w:p w14:paraId="2008EFC8" w14:textId="77777777" w:rsidR="00251C94" w:rsidRPr="00251C94" w:rsidRDefault="00251C94" w:rsidP="00251C94">
      <w:pPr>
        <w:pStyle w:val="Listenabsatz"/>
        <w:numPr>
          <w:ilvl w:val="0"/>
          <w:numId w:val="18"/>
        </w:numPr>
        <w:tabs>
          <w:tab w:val="num" w:pos="720"/>
        </w:tabs>
        <w:spacing w:after="160" w:line="278" w:lineRule="auto"/>
        <w:jc w:val="both"/>
        <w:rPr>
          <w:rFonts w:ascii="KievitPro-Regular" w:hAnsi="KievitPro-Regular" w:cs="Arial"/>
        </w:rPr>
      </w:pPr>
      <w:r w:rsidRPr="00251C94">
        <w:rPr>
          <w:rFonts w:ascii="KievitPro-Regular" w:hAnsi="KievitPro-Regular"/>
        </w:rPr>
        <w:t xml:space="preserve">la salvaguardia dell'indipendenza e dell'obiettività del personale specializzato; </w:t>
      </w:r>
    </w:p>
    <w:p w14:paraId="11E39457" w14:textId="77777777" w:rsidR="00251C94" w:rsidRPr="00251C94" w:rsidRDefault="00251C94" w:rsidP="00251C94">
      <w:pPr>
        <w:pStyle w:val="Listenabsatz"/>
        <w:numPr>
          <w:ilvl w:val="0"/>
          <w:numId w:val="18"/>
        </w:numPr>
        <w:tabs>
          <w:tab w:val="num" w:pos="720"/>
        </w:tabs>
        <w:spacing w:after="160" w:line="278" w:lineRule="auto"/>
        <w:jc w:val="both"/>
        <w:rPr>
          <w:rFonts w:ascii="KievitPro-Regular" w:hAnsi="KievitPro-Regular" w:cs="Arial"/>
        </w:rPr>
      </w:pPr>
      <w:r w:rsidRPr="00251C94">
        <w:rPr>
          <w:rFonts w:ascii="KievitPro-Regular" w:hAnsi="KievitPro-Regular"/>
        </w:rPr>
        <w:t xml:space="preserve">ricorsi o segnalazioni relative a possibili violazioni degli standard professionali o delle linee guida interne; </w:t>
      </w:r>
    </w:p>
    <w:p w14:paraId="62BE886C" w14:textId="77777777" w:rsidR="00251C94" w:rsidRPr="00251C94" w:rsidRDefault="00251C94" w:rsidP="00251C94">
      <w:pPr>
        <w:pStyle w:val="Listenabsatz"/>
        <w:numPr>
          <w:ilvl w:val="0"/>
          <w:numId w:val="18"/>
        </w:numPr>
        <w:tabs>
          <w:tab w:val="num" w:pos="720"/>
        </w:tabs>
        <w:spacing w:after="160" w:line="278" w:lineRule="auto"/>
        <w:jc w:val="both"/>
        <w:rPr>
          <w:rFonts w:ascii="KievitPro-Regular" w:hAnsi="KievitPro-Regular" w:cs="Arial"/>
        </w:rPr>
      </w:pPr>
      <w:r w:rsidRPr="00251C94">
        <w:rPr>
          <w:rFonts w:ascii="KievitPro-Regular" w:hAnsi="KievitPro-Regular"/>
        </w:rPr>
        <w:t xml:space="preserve">nuove informazioni relative a rapporti di mandato esistenti o accettati; </w:t>
      </w:r>
    </w:p>
    <w:p w14:paraId="428487A1" w14:textId="77777777" w:rsidR="00251C94" w:rsidRPr="00251C94" w:rsidRDefault="00251C94" w:rsidP="00251C94">
      <w:pPr>
        <w:pStyle w:val="Listenabsatz"/>
        <w:numPr>
          <w:ilvl w:val="0"/>
          <w:numId w:val="18"/>
        </w:numPr>
        <w:tabs>
          <w:tab w:val="num" w:pos="720"/>
        </w:tabs>
        <w:spacing w:after="160" w:line="278" w:lineRule="auto"/>
        <w:jc w:val="both"/>
        <w:rPr>
          <w:rFonts w:ascii="KievitPro-Regular" w:hAnsi="KievitPro-Regular" w:cs="Arial"/>
        </w:rPr>
      </w:pPr>
      <w:r w:rsidRPr="00251C94">
        <w:rPr>
          <w:rFonts w:ascii="KievitPro-Regular" w:hAnsi="KievitPro-Regular"/>
        </w:rPr>
        <w:t xml:space="preserve">la valutazione dei casi in cui siano necessarie misure aggiuntive di controllo della qualità o controlli di qualità relativi al mandato. </w:t>
      </w:r>
    </w:p>
    <w:p w14:paraId="7153F0A5" w14:textId="77777777" w:rsidR="00251C94" w:rsidRPr="00251C94" w:rsidRDefault="00251C94" w:rsidP="00251C94">
      <w:pPr>
        <w:tabs>
          <w:tab w:val="right" w:pos="9405"/>
        </w:tabs>
        <w:jc w:val="both"/>
        <w:rPr>
          <w:rFonts w:ascii="KievitPro-Regular" w:hAnsi="KievitPro-Regular" w:cs="Arial"/>
        </w:rPr>
      </w:pPr>
      <w:r w:rsidRPr="00251C94">
        <w:rPr>
          <w:rFonts w:ascii="KievitPro-Regular" w:hAnsi="KievitPro-Regular"/>
        </w:rPr>
        <w:t>Sulla base dei rischi individuati e valutati, la direzione decide, entro un termine adeguato, le misure necessarie e ne garantisce l'attuazione e la sorveglianza.</w:t>
      </w:r>
    </w:p>
    <w:p w14:paraId="3C43DCE2" w14:textId="77777777" w:rsidR="00251C94" w:rsidRPr="00251C94" w:rsidRDefault="00251C94" w:rsidP="00251C94">
      <w:pPr>
        <w:tabs>
          <w:tab w:val="right" w:pos="9405"/>
        </w:tabs>
        <w:rPr>
          <w:rFonts w:ascii="KievitPro-Regular" w:hAnsi="KievitPro-Regular" w:cs="Arial"/>
        </w:rPr>
      </w:pPr>
    </w:p>
    <w:p w14:paraId="127D9628" w14:textId="77777777" w:rsidR="00251C94" w:rsidRPr="00251C94" w:rsidRDefault="00251C94" w:rsidP="00251C94">
      <w:pPr>
        <w:rPr>
          <w:rFonts w:ascii="KievitPro-Regular" w:hAnsi="KievitPro-Regular" w:cs="Arial"/>
          <w:i/>
        </w:rPr>
      </w:pPr>
      <w:r w:rsidRPr="00251C94">
        <w:rPr>
          <w:rFonts w:ascii="KievitPro-Regular" w:hAnsi="KievitPro-Regular"/>
          <w:i/>
        </w:rPr>
        <w:t>Allegato 12.1: Lista di controllo «Valutazione dei rischi dello studio e relative misure specifiche»</w:t>
      </w:r>
    </w:p>
    <w:p w14:paraId="76F63E04" w14:textId="77777777" w:rsidR="00251C94" w:rsidRPr="00251C94" w:rsidRDefault="00251C94" w:rsidP="00251C94">
      <w:pPr>
        <w:spacing w:line="240" w:lineRule="auto"/>
        <w:rPr>
          <w:rFonts w:ascii="KievitPro-Regular" w:hAnsi="KievitPro-Regular" w:cs="Arial"/>
          <w:b/>
          <w:sz w:val="24"/>
          <w:szCs w:val="32"/>
        </w:rPr>
      </w:pPr>
    </w:p>
    <w:p w14:paraId="5FB61636" w14:textId="77777777" w:rsidR="00251C94" w:rsidRPr="00251C94" w:rsidRDefault="00251C94" w:rsidP="00251C94">
      <w:pPr>
        <w:spacing w:line="240" w:lineRule="auto"/>
        <w:rPr>
          <w:rFonts w:ascii="KievitPro-Regular" w:hAnsi="KievitPro-Regular" w:cs="Arial"/>
          <w:b/>
          <w:sz w:val="24"/>
          <w:szCs w:val="32"/>
        </w:rPr>
      </w:pPr>
    </w:p>
    <w:p w14:paraId="677F1212" w14:textId="77777777" w:rsidR="00251C94" w:rsidRPr="00251C94" w:rsidRDefault="00251C94" w:rsidP="00251C94">
      <w:pPr>
        <w:spacing w:line="240" w:lineRule="auto"/>
        <w:rPr>
          <w:rFonts w:ascii="KievitPro-Regular" w:hAnsi="KievitPro-Regular" w:cs="Arial"/>
          <w:b/>
          <w:smallCaps/>
          <w:spacing w:val="5"/>
          <w:sz w:val="24"/>
          <w:szCs w:val="32"/>
        </w:rPr>
      </w:pPr>
      <w:r w:rsidRPr="00251C94">
        <w:rPr>
          <w:rFonts w:ascii="KievitPro-Regular" w:hAnsi="KievitPro-Regular"/>
        </w:rPr>
        <w:br w:type="page"/>
      </w:r>
    </w:p>
    <w:p w14:paraId="10E5316E" w14:textId="77777777" w:rsidR="00251C94" w:rsidRPr="00251C94" w:rsidRDefault="00251C94" w:rsidP="00251C94">
      <w:pPr>
        <w:pStyle w:val="berschrift1"/>
        <w:numPr>
          <w:ilvl w:val="0"/>
          <w:numId w:val="16"/>
        </w:numPr>
        <w:ind w:left="426" w:hanging="426"/>
        <w:rPr>
          <w:rFonts w:ascii="KievitPro-Regular" w:hAnsi="KievitPro-Regular"/>
          <w:b/>
          <w:sz w:val="24"/>
        </w:rPr>
      </w:pPr>
      <w:bookmarkStart w:id="14" w:name="_Toc236311850"/>
      <w:r w:rsidRPr="00251C94">
        <w:rPr>
          <w:rFonts w:ascii="KievitPro-Regular" w:hAnsi="KievitPro-Regular"/>
          <w:b/>
          <w:sz w:val="24"/>
        </w:rPr>
        <w:lastRenderedPageBreak/>
        <w:t>Sorveglianza e leadership del sistema di gestione della qualità</w:t>
      </w:r>
      <w:bookmarkEnd w:id="14"/>
    </w:p>
    <w:p w14:paraId="43A60A39" w14:textId="77777777" w:rsidR="00251C94" w:rsidRPr="00DD452F" w:rsidRDefault="00251C94" w:rsidP="00251C94">
      <w:pPr>
        <w:pStyle w:val="Listenabsatz"/>
        <w:numPr>
          <w:ilvl w:val="1"/>
          <w:numId w:val="16"/>
        </w:numPr>
        <w:spacing w:before="240" w:after="120" w:line="278" w:lineRule="auto"/>
        <w:contextualSpacing w:val="0"/>
        <w:rPr>
          <w:rFonts w:ascii="KievitPro-Regular" w:hAnsi="KievitPro-Regular" w:cs="Arial"/>
          <w:b/>
          <w:bCs/>
          <w:sz w:val="22"/>
          <w:szCs w:val="22"/>
        </w:rPr>
      </w:pPr>
      <w:r w:rsidRPr="00DD452F">
        <w:rPr>
          <w:rFonts w:ascii="KievitPro-Regular" w:hAnsi="KievitPro-Regular"/>
          <w:b/>
          <w:sz w:val="22"/>
          <w:szCs w:val="22"/>
        </w:rPr>
        <w:t>Regolamenti</w:t>
      </w:r>
    </w:p>
    <w:p w14:paraId="53E30E90" w14:textId="77777777" w:rsidR="00251C94" w:rsidRPr="00251C94" w:rsidRDefault="00251C94" w:rsidP="00251C94">
      <w:pPr>
        <w:spacing w:after="160" w:line="278" w:lineRule="auto"/>
        <w:jc w:val="both"/>
        <w:rPr>
          <w:rFonts w:ascii="KievitPro-Regular" w:hAnsi="KievitPro-Regular" w:cs="Arial"/>
        </w:rPr>
      </w:pPr>
      <w:r w:rsidRPr="00251C94">
        <w:rPr>
          <w:rFonts w:ascii="KievitPro-Regular" w:hAnsi="KievitPro-Regular"/>
        </w:rPr>
        <w:t>L'impresa di revisione dispone di un sistema di gestione della qualità conforme ai requisiti degli standard ISQM-CH 1, ISQM-CH 2 e ISA-CH 220. Questo sistema ha lo scopo di garantire che i servizi di revisione siano forniti in modo corretto e con un livello di qualità adeguato. Il sistema di gestione della qualità viene sorvegliato costantemente e sottoposto a verifiche periodiche. A tal fine occorre garantire che la sua struttura rimanga adeguata, proporzionata ed efficace e che corrisponda alla situazione attuale dell'impresa di revisione.</w:t>
      </w:r>
    </w:p>
    <w:p w14:paraId="48B28CB1" w14:textId="77777777" w:rsidR="00251C94" w:rsidRPr="00DD452F" w:rsidRDefault="00251C94" w:rsidP="00251C94">
      <w:pPr>
        <w:pStyle w:val="Listenabsatz"/>
        <w:numPr>
          <w:ilvl w:val="1"/>
          <w:numId w:val="16"/>
        </w:numPr>
        <w:spacing w:before="240" w:after="120" w:line="278" w:lineRule="auto"/>
        <w:contextualSpacing w:val="0"/>
        <w:rPr>
          <w:rFonts w:ascii="KievitPro-Regular" w:hAnsi="KievitPro-Regular" w:cs="Arial"/>
          <w:b/>
          <w:bCs/>
          <w:sz w:val="22"/>
          <w:szCs w:val="22"/>
        </w:rPr>
      </w:pPr>
      <w:r w:rsidRPr="00DD452F">
        <w:rPr>
          <w:rFonts w:ascii="KievitPro-Regular" w:hAnsi="KievitPro-Regular"/>
          <w:b/>
          <w:sz w:val="22"/>
          <w:szCs w:val="22"/>
        </w:rPr>
        <w:t>Misure</w:t>
      </w:r>
    </w:p>
    <w:p w14:paraId="04CC4F1A" w14:textId="77777777" w:rsidR="00251C94" w:rsidRPr="00251C94" w:rsidRDefault="00251C94" w:rsidP="00251C94">
      <w:pPr>
        <w:pStyle w:val="Listenabsatz"/>
        <w:numPr>
          <w:ilvl w:val="2"/>
          <w:numId w:val="16"/>
        </w:numPr>
        <w:spacing w:before="240" w:after="120" w:line="278" w:lineRule="auto"/>
        <w:ind w:left="709"/>
        <w:contextualSpacing w:val="0"/>
        <w:jc w:val="both"/>
        <w:rPr>
          <w:rFonts w:ascii="KievitPro-Regular" w:hAnsi="KievitPro-Regular" w:cs="Arial"/>
          <w:b/>
          <w:bCs/>
        </w:rPr>
      </w:pPr>
      <w:r w:rsidRPr="00251C94">
        <w:rPr>
          <w:rFonts w:ascii="KievitPro-Regular" w:hAnsi="KievitPro-Regular"/>
          <w:b/>
        </w:rPr>
        <w:t>Responsabile della qualità</w:t>
      </w:r>
    </w:p>
    <w:p w14:paraId="2D034208" w14:textId="77777777" w:rsidR="00251C94" w:rsidRPr="00251C94" w:rsidRDefault="00251C94" w:rsidP="00251C94">
      <w:pPr>
        <w:spacing w:after="160" w:line="278" w:lineRule="auto"/>
        <w:jc w:val="both"/>
        <w:rPr>
          <w:rFonts w:ascii="KievitPro-Regular" w:hAnsi="KievitPro-Regular" w:cs="Arial"/>
        </w:rPr>
      </w:pPr>
      <w:r w:rsidRPr="00251C94">
        <w:rPr>
          <w:rFonts w:ascii="KievitPro-Regular" w:hAnsi="KievitPro-Regular"/>
        </w:rPr>
        <w:t xml:space="preserve">L'impresa di revisione designa un responsabile della gestione operativa e del coordinamento del sistema di gestione della qualità. Questa funzione, così come le relative competenze, sono chiaramente comunicate all'interno dell'organizzazione. La persona responsabile possiede le qualifiche professionali necessarie, l'esperienza pratica e le competenze adeguate </w:t>
      </w:r>
      <w:proofErr w:type="gramStart"/>
      <w:r w:rsidRPr="00251C94">
        <w:rPr>
          <w:rFonts w:ascii="KievitPro-Regular" w:hAnsi="KievitPro-Regular"/>
        </w:rPr>
        <w:t>per</w:t>
      </w:r>
      <w:proofErr w:type="gramEnd"/>
      <w:r w:rsidRPr="00251C94">
        <w:rPr>
          <w:rFonts w:ascii="KievitPro-Regular" w:hAnsi="KievitPro-Regular"/>
        </w:rPr>
        <w:t xml:space="preserve"> svolgere efficacemente i propri compiti. Di norma, ciò corrisponde a un'abilitazione professionale paragonabile a quella dei responsabili del mandato, alle necessarie competenze decisionali e a un'esperienza professionale pluriennale nel settore della revisione contabile.</w:t>
      </w:r>
    </w:p>
    <w:p w14:paraId="7108FF79" w14:textId="77777777" w:rsidR="00251C94" w:rsidRPr="00251C94" w:rsidRDefault="00251C94" w:rsidP="00251C94">
      <w:pPr>
        <w:spacing w:after="160" w:line="278" w:lineRule="auto"/>
        <w:jc w:val="both"/>
        <w:rPr>
          <w:rFonts w:ascii="KievitPro-Regular" w:hAnsi="KievitPro-Regular" w:cs="Arial"/>
        </w:rPr>
      </w:pPr>
      <w:r w:rsidRPr="00251C94">
        <w:rPr>
          <w:rFonts w:ascii="KievitPro-Regular" w:hAnsi="KievitPro-Regular"/>
        </w:rPr>
        <w:t>La responsabilità ultima del sistema di gestione della qualità spetta alla direzione dell'impresa o al consiglio d'amministrazione. Singoli compiti e competenze possono essere delegati alla direzione o alla persona responsabile della qualità; ciò non pregiudica la responsabilità complessiva (si veda ISQM-CH 1, punto 20).</w:t>
      </w:r>
    </w:p>
    <w:p w14:paraId="013DCB9B" w14:textId="77777777" w:rsidR="00251C94" w:rsidRPr="00251C94" w:rsidRDefault="00251C94" w:rsidP="00251C94">
      <w:pPr>
        <w:spacing w:after="160" w:line="278" w:lineRule="auto"/>
        <w:jc w:val="both"/>
        <w:rPr>
          <w:rFonts w:ascii="KievitPro-Regular" w:hAnsi="KievitPro-Regular" w:cs="Arial"/>
        </w:rPr>
      </w:pPr>
      <w:r w:rsidRPr="00251C94">
        <w:rPr>
          <w:rFonts w:ascii="KievitPro-Regular" w:hAnsi="KievitPro-Regular"/>
        </w:rPr>
        <w:t>La persona responsabile della gestione della qualità svolge in particolare i seguenti compiti:</w:t>
      </w:r>
    </w:p>
    <w:p w14:paraId="3AB8BC85" w14:textId="77777777" w:rsidR="00251C94" w:rsidRPr="00251C94" w:rsidRDefault="00251C94" w:rsidP="00251C94">
      <w:pPr>
        <w:pStyle w:val="Listenabsatz"/>
        <w:numPr>
          <w:ilvl w:val="0"/>
          <w:numId w:val="19"/>
        </w:numPr>
        <w:spacing w:after="160" w:line="278" w:lineRule="auto"/>
        <w:jc w:val="both"/>
        <w:rPr>
          <w:rFonts w:ascii="KievitPro-Regular" w:hAnsi="KievitPro-Regular" w:cs="Arial"/>
        </w:rPr>
      </w:pPr>
      <w:r w:rsidRPr="00251C94">
        <w:rPr>
          <w:rFonts w:ascii="KievitPro-Regular" w:hAnsi="KievitPro-Regular"/>
        </w:rPr>
        <w:t xml:space="preserve">gestione, aggiornamento e messa a disposizione della documentazione relativa alla qualità, comprese le linee guida interne, i modelli e gli strumenti di lavoro (è possibile un'attuazione graduale); </w:t>
      </w:r>
    </w:p>
    <w:p w14:paraId="5C251188" w14:textId="77777777" w:rsidR="00251C94" w:rsidRPr="00251C94" w:rsidRDefault="00251C94" w:rsidP="00251C94">
      <w:pPr>
        <w:pStyle w:val="Listenabsatz"/>
        <w:numPr>
          <w:ilvl w:val="0"/>
          <w:numId w:val="19"/>
        </w:numPr>
        <w:spacing w:after="160" w:line="278" w:lineRule="auto"/>
        <w:jc w:val="both"/>
        <w:rPr>
          <w:rFonts w:ascii="KievitPro-Regular" w:hAnsi="KievitPro-Regular" w:cs="Arial"/>
        </w:rPr>
      </w:pPr>
      <w:r w:rsidRPr="00251C94">
        <w:rPr>
          <w:rFonts w:ascii="KievitPro-Regular" w:hAnsi="KievitPro-Regular"/>
        </w:rPr>
        <w:t xml:space="preserve">garanzia che il personale specializzato sia informato sui contenuti e sui requisiti del sistema di gestione della qualità; </w:t>
      </w:r>
    </w:p>
    <w:p w14:paraId="151E8432" w14:textId="77777777" w:rsidR="00251C94" w:rsidRPr="00251C94" w:rsidRDefault="00251C94" w:rsidP="00251C94">
      <w:pPr>
        <w:pStyle w:val="Listenabsatz"/>
        <w:numPr>
          <w:ilvl w:val="0"/>
          <w:numId w:val="19"/>
        </w:numPr>
        <w:spacing w:after="160" w:line="278" w:lineRule="auto"/>
        <w:jc w:val="both"/>
        <w:rPr>
          <w:rFonts w:ascii="KievitPro-Regular" w:hAnsi="KievitPro-Regular" w:cs="Arial"/>
        </w:rPr>
      </w:pPr>
      <w:r w:rsidRPr="00251C94">
        <w:rPr>
          <w:rFonts w:ascii="KievitPro-Regular" w:hAnsi="KievitPro-Regular"/>
        </w:rPr>
        <w:t xml:space="preserve">verifica del rispetto delle linee guida e dei processi interni stabiliti; </w:t>
      </w:r>
    </w:p>
    <w:p w14:paraId="4EC23A52" w14:textId="77777777" w:rsidR="00251C94" w:rsidRPr="00251C94" w:rsidRDefault="00251C94" w:rsidP="00251C94">
      <w:pPr>
        <w:pStyle w:val="Listenabsatz"/>
        <w:numPr>
          <w:ilvl w:val="0"/>
          <w:numId w:val="19"/>
        </w:numPr>
        <w:spacing w:after="160" w:line="278" w:lineRule="auto"/>
        <w:jc w:val="both"/>
        <w:rPr>
          <w:rFonts w:ascii="KievitPro-Regular" w:hAnsi="KievitPro-Regular" w:cs="Arial"/>
        </w:rPr>
      </w:pPr>
      <w:r w:rsidRPr="00251C94">
        <w:rPr>
          <w:rFonts w:ascii="KievitPro-Regular" w:hAnsi="KievitPro-Regular"/>
        </w:rPr>
        <w:t xml:space="preserve">analisi e valutazione delle non conformità o delle lacune riscontrate nel sistema di gestione della qualità; </w:t>
      </w:r>
    </w:p>
    <w:p w14:paraId="0C44328F" w14:textId="77777777" w:rsidR="00251C94" w:rsidRPr="00251C94" w:rsidRDefault="00251C94" w:rsidP="00251C94">
      <w:pPr>
        <w:pStyle w:val="Listenabsatz"/>
        <w:numPr>
          <w:ilvl w:val="0"/>
          <w:numId w:val="19"/>
        </w:numPr>
        <w:spacing w:after="120" w:line="278" w:lineRule="auto"/>
        <w:ind w:left="357" w:hanging="357"/>
        <w:contextualSpacing w:val="0"/>
        <w:jc w:val="both"/>
        <w:rPr>
          <w:rFonts w:ascii="KievitPro-Regular" w:hAnsi="KievitPro-Regular" w:cs="Arial"/>
        </w:rPr>
      </w:pPr>
      <w:r w:rsidRPr="00251C94">
        <w:rPr>
          <w:rFonts w:ascii="KievitPro-Regular" w:hAnsi="KievitPro-Regular"/>
        </w:rPr>
        <w:t xml:space="preserve">elaborazione e coordinamento di misure di miglioramento e correttive adeguate </w:t>
      </w:r>
      <w:proofErr w:type="gramStart"/>
      <w:r w:rsidRPr="00251C94">
        <w:rPr>
          <w:rFonts w:ascii="KievitPro-Regular" w:hAnsi="KievitPro-Regular"/>
        </w:rPr>
        <w:t>per l'ulteriore</w:t>
      </w:r>
      <w:proofErr w:type="gramEnd"/>
      <w:r w:rsidRPr="00251C94">
        <w:rPr>
          <w:rFonts w:ascii="KievitPro-Regular" w:hAnsi="KievitPro-Regular"/>
        </w:rPr>
        <w:t xml:space="preserve"> sviluppo del sistema di gestione della qualità.</w:t>
      </w:r>
    </w:p>
    <w:p w14:paraId="2F545877" w14:textId="77777777" w:rsidR="00251C94" w:rsidRPr="00251C94" w:rsidRDefault="00251C94" w:rsidP="00251C94">
      <w:pPr>
        <w:pStyle w:val="Listenabsatz"/>
        <w:numPr>
          <w:ilvl w:val="2"/>
          <w:numId w:val="16"/>
        </w:numPr>
        <w:spacing w:before="240" w:after="120" w:line="278" w:lineRule="auto"/>
        <w:ind w:left="709"/>
        <w:contextualSpacing w:val="0"/>
        <w:jc w:val="both"/>
        <w:rPr>
          <w:rFonts w:ascii="KievitPro-Regular" w:hAnsi="KievitPro-Regular" w:cs="Arial"/>
          <w:b/>
          <w:bCs/>
        </w:rPr>
      </w:pPr>
      <w:r w:rsidRPr="00251C94">
        <w:rPr>
          <w:rFonts w:ascii="KievitPro-Regular" w:hAnsi="KievitPro-Regular"/>
          <w:b/>
        </w:rPr>
        <w:t>Gestione delle lacune e dei miglioramenti</w:t>
      </w:r>
    </w:p>
    <w:p w14:paraId="51D28FC4" w14:textId="77777777" w:rsidR="00251C94" w:rsidRPr="00251C94" w:rsidRDefault="00251C94" w:rsidP="00251C94">
      <w:pPr>
        <w:spacing w:after="160" w:line="278" w:lineRule="auto"/>
        <w:jc w:val="both"/>
        <w:rPr>
          <w:rFonts w:ascii="KievitPro-Regular" w:hAnsi="KievitPro-Regular" w:cs="Arial"/>
        </w:rPr>
      </w:pPr>
      <w:r w:rsidRPr="00251C94">
        <w:rPr>
          <w:rFonts w:ascii="KievitPro-Regular" w:hAnsi="KievitPro-Regular"/>
        </w:rPr>
        <w:t>Le lacune rilevate, le indicazioni relative alle potenzialità di miglioramento e le proposte di miglioramento avanzate vengono sistematicamente registrate, analizzate e valutate in relazione al loro impatto sul sistema di gestione della qualità. Ove necessario, occorre definire, attuare e monitorare misure correttive o di miglioramento adeguate.</w:t>
      </w:r>
    </w:p>
    <w:p w14:paraId="15E2376F" w14:textId="77777777" w:rsidR="00251C94" w:rsidRPr="00251C94" w:rsidRDefault="00251C94" w:rsidP="00251C94">
      <w:pPr>
        <w:spacing w:after="160" w:line="278" w:lineRule="auto"/>
        <w:jc w:val="both"/>
        <w:rPr>
          <w:rFonts w:ascii="KievitPro-Regular" w:hAnsi="KievitPro-Regular" w:cs="Arial"/>
        </w:rPr>
      </w:pPr>
      <w:r w:rsidRPr="00251C94">
        <w:rPr>
          <w:rFonts w:ascii="KievitPro-Regular" w:hAnsi="KievitPro-Regular"/>
        </w:rPr>
        <w:t>Le violazioni o le possibili violazioni dei requisiti di legge, normativi o interni che possano avere ripercussioni dirette sull'impresa di revisione (in particolare per quanto riguarda l'indipendenza, le qualifiche professionali o i rischi di responsabilità) devono essere segnalate immediatamente alla direzione. Quest'ultima valuta i fatti e decide in merito alle misure necessarie.</w:t>
      </w:r>
    </w:p>
    <w:p w14:paraId="22756003" w14:textId="77777777" w:rsidR="00251C94" w:rsidRPr="00251C94" w:rsidRDefault="00251C94" w:rsidP="00251C94">
      <w:pPr>
        <w:spacing w:after="160" w:line="278" w:lineRule="auto"/>
        <w:jc w:val="both"/>
        <w:rPr>
          <w:rFonts w:ascii="KievitPro-Regular" w:hAnsi="KievitPro-Regular" w:cs="Arial"/>
        </w:rPr>
      </w:pPr>
      <w:r w:rsidRPr="00251C94">
        <w:rPr>
          <w:rFonts w:ascii="KievitPro-Regular" w:hAnsi="KievitPro-Regular"/>
        </w:rPr>
        <w:t>Nell'ambito dello svolgimento del mandato, le persone responsabili devono raccogliere regolarmente feedback sulla soddisfazione del mandante, al più tardi in occasione della chiusura del mandato. I riscontri o le segnalazioni significative che potrebbero influire sul proseguimento del rapporto di mandato devono essere adeguatamente documentati e comunicati tempestivamente alla direzione.</w:t>
      </w:r>
    </w:p>
    <w:p w14:paraId="0BF11FE5" w14:textId="77777777" w:rsidR="00251C94" w:rsidRPr="00251C94" w:rsidRDefault="00251C94" w:rsidP="00251C94">
      <w:pPr>
        <w:spacing w:after="160" w:line="278" w:lineRule="auto"/>
        <w:jc w:val="both"/>
        <w:rPr>
          <w:rFonts w:ascii="KievitPro-Regular" w:hAnsi="KievitPro-Regular" w:cs="Arial"/>
        </w:rPr>
      </w:pPr>
      <w:r w:rsidRPr="00251C94">
        <w:rPr>
          <w:rFonts w:ascii="KievitPro-Regular" w:hAnsi="KievitPro-Regular"/>
        </w:rPr>
        <w:lastRenderedPageBreak/>
        <w:t>Qualora il rapporto di mandato venga sciolto dal cliente, le circostanze devono essere documentate in modo adeguato. Ove opportuno, occorre redigere una nota agli atti all'attenzione della direzione e archiviarla nel relativo fascicolo del cliente.</w:t>
      </w:r>
    </w:p>
    <w:p w14:paraId="3C614EA3" w14:textId="77777777" w:rsidR="00251C94" w:rsidRPr="00251C94" w:rsidRDefault="00251C94" w:rsidP="00251C94">
      <w:pPr>
        <w:spacing w:after="160" w:line="278" w:lineRule="auto"/>
        <w:jc w:val="both"/>
        <w:rPr>
          <w:rFonts w:ascii="KievitPro-Regular" w:hAnsi="KievitPro-Regular" w:cs="Arial"/>
        </w:rPr>
      </w:pPr>
      <w:r w:rsidRPr="00251C94">
        <w:rPr>
          <w:rFonts w:ascii="KievitPro-Regular" w:hAnsi="KievitPro-Regular"/>
        </w:rPr>
        <w:t>L'impresa di revisione promuove una cultura della comunicazione aperta. Tutti i collaboratori hanno la possibilità di segnalare dubbi di natura professionale, indicare eventuali lacune o proporre miglioramenti senza dover temere ripercussioni negative.</w:t>
      </w:r>
    </w:p>
    <w:p w14:paraId="7C1290C3" w14:textId="77777777" w:rsidR="00251C94" w:rsidRPr="00251C94" w:rsidRDefault="00251C94" w:rsidP="00251C94">
      <w:pPr>
        <w:pStyle w:val="Listenabsatz"/>
        <w:numPr>
          <w:ilvl w:val="2"/>
          <w:numId w:val="16"/>
        </w:numPr>
        <w:spacing w:before="240" w:after="120" w:line="278" w:lineRule="auto"/>
        <w:ind w:left="709"/>
        <w:contextualSpacing w:val="0"/>
        <w:jc w:val="both"/>
        <w:rPr>
          <w:rFonts w:ascii="KievitPro-Regular" w:hAnsi="KievitPro-Regular" w:cs="Arial"/>
          <w:b/>
          <w:bCs/>
        </w:rPr>
      </w:pPr>
      <w:r w:rsidRPr="00251C94">
        <w:rPr>
          <w:rFonts w:ascii="KievitPro-Regular" w:hAnsi="KievitPro-Regular"/>
          <w:b/>
        </w:rPr>
        <w:t>Revisione dei regolamenti relativi alla gestione della qualità</w:t>
      </w:r>
    </w:p>
    <w:p w14:paraId="6F4888F7" w14:textId="77777777" w:rsidR="00251C94" w:rsidRPr="00251C94" w:rsidRDefault="00251C94" w:rsidP="00251C94">
      <w:pPr>
        <w:spacing w:before="120" w:after="120" w:line="240" w:lineRule="auto"/>
        <w:jc w:val="both"/>
        <w:rPr>
          <w:rFonts w:ascii="KievitPro-Regular" w:hAnsi="KievitPro-Regular" w:cs="Arial"/>
        </w:rPr>
      </w:pPr>
      <w:r w:rsidRPr="00251C94">
        <w:rPr>
          <w:rFonts w:ascii="KievitPro-Regular" w:hAnsi="KievitPro-Regular"/>
        </w:rPr>
        <w:t>Il sistema di gestione della qualità viene verificato almeno una volta all'anno dalla persona responsabile della gestione della qualità, di concerto con la direzione, e, se necessario, adeguato. Tale processo deve essere documentato dalla persona responsabile della gestione della qualità. L'obiettivo di tale verifica è garantire che il sistema di gestione della qualità continui ad essere strutturato in modo adeguato, attuato in modo efficace e adatto alla situazione attuale dell'impresa di revisione.</w:t>
      </w:r>
    </w:p>
    <w:p w14:paraId="4CBB5CF2" w14:textId="77777777" w:rsidR="00251C94" w:rsidRPr="00251C94" w:rsidRDefault="00251C94" w:rsidP="00251C94">
      <w:pPr>
        <w:spacing w:before="120" w:after="120" w:line="240" w:lineRule="auto"/>
        <w:jc w:val="both"/>
        <w:rPr>
          <w:rFonts w:ascii="KievitPro-Regular" w:hAnsi="KievitPro-Regular" w:cs="Arial"/>
        </w:rPr>
      </w:pPr>
      <w:r w:rsidRPr="00251C94">
        <w:rPr>
          <w:rFonts w:ascii="KievitPro-Regular" w:hAnsi="KievitPro-Regular"/>
        </w:rPr>
        <w:t>Nell'ambito di tale revisione periodica vengono valutati e aggiornati, in particolare, i seguenti ambiti:</w:t>
      </w:r>
    </w:p>
    <w:p w14:paraId="4AE99B70" w14:textId="77777777" w:rsidR="00251C94" w:rsidRPr="00251C94" w:rsidRDefault="00251C94" w:rsidP="00251C94">
      <w:pPr>
        <w:numPr>
          <w:ilvl w:val="0"/>
          <w:numId w:val="20"/>
        </w:numPr>
        <w:tabs>
          <w:tab w:val="num" w:pos="720"/>
        </w:tabs>
        <w:spacing w:before="120" w:after="120" w:line="240" w:lineRule="auto"/>
        <w:jc w:val="both"/>
        <w:rPr>
          <w:rFonts w:ascii="KievitPro-Regular" w:hAnsi="KievitPro-Regular" w:cs="Arial"/>
        </w:rPr>
      </w:pPr>
      <w:r w:rsidRPr="00251C94">
        <w:rPr>
          <w:rFonts w:ascii="KievitPro-Regular" w:hAnsi="KievitPro-Regular"/>
        </w:rPr>
        <w:t xml:space="preserve">esecuzione e aggiornamento della valutazione dei rischi a livello dell'impresa di revisione; </w:t>
      </w:r>
    </w:p>
    <w:p w14:paraId="7EFCE443" w14:textId="77777777" w:rsidR="00251C94" w:rsidRPr="00251C94" w:rsidRDefault="00251C94" w:rsidP="00251C94">
      <w:pPr>
        <w:numPr>
          <w:ilvl w:val="0"/>
          <w:numId w:val="20"/>
        </w:numPr>
        <w:tabs>
          <w:tab w:val="num" w:pos="720"/>
        </w:tabs>
        <w:spacing w:before="120" w:after="120" w:line="240" w:lineRule="auto"/>
        <w:jc w:val="both"/>
        <w:rPr>
          <w:rFonts w:ascii="KievitPro-Regular" w:hAnsi="KievitPro-Regular" w:cs="Arial"/>
        </w:rPr>
      </w:pPr>
      <w:r w:rsidRPr="00251C94">
        <w:rPr>
          <w:rFonts w:ascii="KievitPro-Regular" w:hAnsi="KievitPro-Regular"/>
        </w:rPr>
        <w:t xml:space="preserve">verifica della classificazione di rischio dei mandati esistenti; </w:t>
      </w:r>
    </w:p>
    <w:p w14:paraId="46CDD09B" w14:textId="77777777" w:rsidR="00251C94" w:rsidRPr="00251C94" w:rsidRDefault="00251C94" w:rsidP="00251C94">
      <w:pPr>
        <w:numPr>
          <w:ilvl w:val="0"/>
          <w:numId w:val="20"/>
        </w:numPr>
        <w:tabs>
          <w:tab w:val="num" w:pos="720"/>
        </w:tabs>
        <w:spacing w:before="120" w:after="120" w:line="240" w:lineRule="auto"/>
        <w:jc w:val="both"/>
        <w:rPr>
          <w:rFonts w:ascii="KievitPro-Regular" w:hAnsi="KievitPro-Regular" w:cs="Arial"/>
        </w:rPr>
      </w:pPr>
      <w:r w:rsidRPr="00251C94">
        <w:rPr>
          <w:rFonts w:ascii="KievitPro-Regular" w:hAnsi="KievitPro-Regular"/>
        </w:rPr>
        <w:t xml:space="preserve">pianificazione e definizione delle attività di formazione e perfezionamento per il personale specializzato; </w:t>
      </w:r>
    </w:p>
    <w:p w14:paraId="60C8A44C" w14:textId="77777777" w:rsidR="00251C94" w:rsidRPr="00251C94" w:rsidRDefault="00251C94" w:rsidP="00251C94">
      <w:pPr>
        <w:numPr>
          <w:ilvl w:val="0"/>
          <w:numId w:val="20"/>
        </w:numPr>
        <w:tabs>
          <w:tab w:val="num" w:pos="720"/>
        </w:tabs>
        <w:spacing w:before="120" w:after="120" w:line="240" w:lineRule="auto"/>
        <w:jc w:val="both"/>
        <w:rPr>
          <w:rFonts w:ascii="KievitPro-Regular" w:hAnsi="KievitPro-Regular" w:cs="Arial"/>
        </w:rPr>
      </w:pPr>
      <w:r w:rsidRPr="00251C94">
        <w:rPr>
          <w:rFonts w:ascii="KievitPro-Regular" w:hAnsi="KievitPro-Regular"/>
        </w:rPr>
        <w:t xml:space="preserve">aggiornamento dell'elenco dei mandati; </w:t>
      </w:r>
    </w:p>
    <w:p w14:paraId="0C53D739" w14:textId="77777777" w:rsidR="00251C94" w:rsidRPr="00251C94" w:rsidRDefault="00251C94" w:rsidP="00251C94">
      <w:pPr>
        <w:numPr>
          <w:ilvl w:val="0"/>
          <w:numId w:val="20"/>
        </w:numPr>
        <w:tabs>
          <w:tab w:val="num" w:pos="720"/>
        </w:tabs>
        <w:spacing w:before="120" w:after="120" w:line="240" w:lineRule="auto"/>
        <w:jc w:val="both"/>
        <w:rPr>
          <w:rFonts w:ascii="KievitPro-Regular" w:hAnsi="KievitPro-Regular" w:cs="Arial"/>
        </w:rPr>
      </w:pPr>
      <w:r w:rsidRPr="00251C94">
        <w:rPr>
          <w:rFonts w:ascii="KievitPro-Regular" w:hAnsi="KievitPro-Regular"/>
        </w:rPr>
        <w:t xml:space="preserve">verifica della pianificazione delle risorse umane e dell'impiego dei responsabili dei mandati e dei collaboratori; </w:t>
      </w:r>
    </w:p>
    <w:p w14:paraId="0774507F" w14:textId="77777777" w:rsidR="00251C94" w:rsidRPr="00251C94" w:rsidRDefault="00251C94" w:rsidP="00251C94">
      <w:pPr>
        <w:numPr>
          <w:ilvl w:val="0"/>
          <w:numId w:val="20"/>
        </w:numPr>
        <w:tabs>
          <w:tab w:val="num" w:pos="720"/>
        </w:tabs>
        <w:spacing w:before="120" w:after="120" w:line="240" w:lineRule="auto"/>
        <w:jc w:val="both"/>
        <w:rPr>
          <w:rFonts w:ascii="KievitPro-Regular" w:hAnsi="KievitPro-Regular" w:cs="Arial"/>
        </w:rPr>
      </w:pPr>
      <w:r w:rsidRPr="00251C94">
        <w:rPr>
          <w:rFonts w:ascii="KievitPro-Regular" w:hAnsi="KievitPro-Regular"/>
        </w:rPr>
        <w:t xml:space="preserve">valutazione delle potenzialità di miglioramento esistenti e adozione di decisioni in merito alle misure correttive o di miglioramento necessarie nell'ambito della gestione della qualità; </w:t>
      </w:r>
    </w:p>
    <w:p w14:paraId="1440C0C0" w14:textId="77777777" w:rsidR="00251C94" w:rsidRPr="00251C94" w:rsidRDefault="00251C94" w:rsidP="00251C94">
      <w:pPr>
        <w:numPr>
          <w:ilvl w:val="0"/>
          <w:numId w:val="20"/>
        </w:numPr>
        <w:tabs>
          <w:tab w:val="num" w:pos="720"/>
        </w:tabs>
        <w:spacing w:before="120" w:after="120" w:line="240" w:lineRule="auto"/>
        <w:jc w:val="both"/>
        <w:rPr>
          <w:rFonts w:ascii="KievitPro-Regular" w:hAnsi="KievitPro-Regular" w:cs="Arial"/>
        </w:rPr>
      </w:pPr>
      <w:r w:rsidRPr="00251C94">
        <w:rPr>
          <w:rFonts w:ascii="KievitPro-Regular" w:hAnsi="KievitPro-Regular"/>
        </w:rPr>
        <w:t xml:space="preserve">verifica e documentazione dei corsi di perfezionamento frequentati, comprese le necessarie attestazioni; </w:t>
      </w:r>
    </w:p>
    <w:p w14:paraId="132F4A76" w14:textId="77777777" w:rsidR="00251C94" w:rsidRPr="00251C94" w:rsidRDefault="00251C94" w:rsidP="00251C94">
      <w:pPr>
        <w:numPr>
          <w:ilvl w:val="0"/>
          <w:numId w:val="20"/>
        </w:numPr>
        <w:tabs>
          <w:tab w:val="num" w:pos="720"/>
        </w:tabs>
        <w:spacing w:before="120" w:after="120" w:line="240" w:lineRule="auto"/>
        <w:jc w:val="both"/>
        <w:rPr>
          <w:rFonts w:ascii="KievitPro-Regular" w:hAnsi="KievitPro-Regular" w:cs="Arial"/>
        </w:rPr>
      </w:pPr>
      <w:r w:rsidRPr="00251C94">
        <w:rPr>
          <w:rFonts w:ascii="KievitPro-Regular" w:hAnsi="KievitPro-Regular"/>
        </w:rPr>
        <w:t xml:space="preserve">esecuzione e documentazione dei riesami interni, comprese le verifiche a livello di impresa dei singoli mandati; </w:t>
      </w:r>
    </w:p>
    <w:p w14:paraId="18485A00" w14:textId="77777777" w:rsidR="00251C94" w:rsidRPr="00251C94" w:rsidRDefault="00251C94" w:rsidP="00251C94">
      <w:pPr>
        <w:numPr>
          <w:ilvl w:val="0"/>
          <w:numId w:val="20"/>
        </w:numPr>
        <w:tabs>
          <w:tab w:val="num" w:pos="720"/>
        </w:tabs>
        <w:spacing w:before="120" w:after="120" w:line="240" w:lineRule="auto"/>
        <w:jc w:val="both"/>
        <w:rPr>
          <w:rFonts w:ascii="KievitPro-Regular" w:hAnsi="KievitPro-Regular" w:cs="Arial"/>
        </w:rPr>
      </w:pPr>
      <w:r w:rsidRPr="00251C94">
        <w:rPr>
          <w:rFonts w:ascii="KievitPro-Regular" w:hAnsi="KievitPro-Regular"/>
        </w:rPr>
        <w:t xml:space="preserve">valutazione complessiva dell'adeguatezza e dell'efficacia del sistema di gestione della qualità; </w:t>
      </w:r>
    </w:p>
    <w:p w14:paraId="2AB17044" w14:textId="77777777" w:rsidR="00251C94" w:rsidRPr="00251C94" w:rsidRDefault="00251C94" w:rsidP="00251C94">
      <w:pPr>
        <w:numPr>
          <w:ilvl w:val="0"/>
          <w:numId w:val="20"/>
        </w:numPr>
        <w:tabs>
          <w:tab w:val="num" w:pos="720"/>
        </w:tabs>
        <w:spacing w:before="120" w:after="120" w:line="240" w:lineRule="auto"/>
        <w:jc w:val="both"/>
        <w:rPr>
          <w:rFonts w:ascii="KievitPro-Regular" w:hAnsi="KievitPro-Regular" w:cs="Arial"/>
        </w:rPr>
      </w:pPr>
      <w:r w:rsidRPr="00251C94">
        <w:rPr>
          <w:rFonts w:ascii="KievitPro-Regular" w:hAnsi="KievitPro-Regular"/>
        </w:rPr>
        <w:t xml:space="preserve">verifica del manuale di gestione della qualità, nonché dei relativi strumenti di lavoro e delle liste di controllo, per quanto riguarda l’aggiornamento, la completezza e la conformità ai requisiti vigenti; </w:t>
      </w:r>
    </w:p>
    <w:p w14:paraId="742CB85E" w14:textId="77777777" w:rsidR="00251C94" w:rsidRPr="00251C94" w:rsidRDefault="00251C94" w:rsidP="00251C94">
      <w:pPr>
        <w:numPr>
          <w:ilvl w:val="0"/>
          <w:numId w:val="20"/>
        </w:numPr>
        <w:tabs>
          <w:tab w:val="num" w:pos="720"/>
        </w:tabs>
        <w:spacing w:before="120" w:after="120" w:line="240" w:lineRule="auto"/>
        <w:jc w:val="both"/>
        <w:rPr>
          <w:rFonts w:ascii="KievitPro-Regular" w:hAnsi="KievitPro-Regular" w:cs="Arial"/>
        </w:rPr>
      </w:pPr>
      <w:r w:rsidRPr="00251C94">
        <w:rPr>
          <w:rFonts w:ascii="KievitPro-Regular" w:hAnsi="KievitPro-Regular"/>
        </w:rPr>
        <w:t>verifica e aggiornamento degli obiettivi, dei rischi e delle misure secondo lo standard ISQM-CH 1.</w:t>
      </w:r>
    </w:p>
    <w:p w14:paraId="72A9DBEA" w14:textId="77777777" w:rsidR="00251C94" w:rsidRPr="00251C94" w:rsidRDefault="00251C94" w:rsidP="00251C94">
      <w:pPr>
        <w:spacing w:before="240" w:after="120" w:line="278" w:lineRule="auto"/>
        <w:jc w:val="both"/>
        <w:rPr>
          <w:rFonts w:ascii="KievitPro-Regular" w:hAnsi="KievitPro-Regular" w:cs="Arial"/>
        </w:rPr>
      </w:pPr>
      <w:r w:rsidRPr="00251C94">
        <w:rPr>
          <w:rFonts w:ascii="KievitPro-Regular" w:hAnsi="KievitPro-Regular"/>
        </w:rPr>
        <w:t>Il manuale di gestione della qualità, così come i modelli, gli strumenti di lavoro e le liste di controllo di supporto, vengono aggiornati quando necessario, ma almeno una volta all'anno. Le modifiche e gli adeguamenti vengono documentati in modo adeguato, anche nell'ambito del processo di revisione annuale, e comunicati al personale specializzato interessato.</w:t>
      </w:r>
      <w:r w:rsidRPr="00251C94">
        <w:rPr>
          <w:rFonts w:ascii="KievitPro-Regular" w:hAnsi="KievitPro-Regular"/>
        </w:rPr>
        <w:br w:type="page"/>
      </w:r>
    </w:p>
    <w:p w14:paraId="7966A441" w14:textId="77777777" w:rsidR="00251C94" w:rsidRPr="00251C94" w:rsidRDefault="00251C94" w:rsidP="00251C94">
      <w:pPr>
        <w:pStyle w:val="berschrift1"/>
        <w:numPr>
          <w:ilvl w:val="0"/>
          <w:numId w:val="16"/>
        </w:numPr>
        <w:ind w:left="426" w:hanging="426"/>
        <w:rPr>
          <w:rFonts w:ascii="KievitPro-Regular" w:hAnsi="KievitPro-Regular"/>
          <w:b/>
          <w:sz w:val="24"/>
        </w:rPr>
      </w:pPr>
      <w:bookmarkStart w:id="15" w:name="_Toc331496517"/>
      <w:bookmarkStart w:id="16" w:name="_Toc331510676"/>
      <w:bookmarkStart w:id="17" w:name="_Toc359071929"/>
      <w:bookmarkStart w:id="18" w:name="_Toc236311851"/>
      <w:bookmarkEnd w:id="8"/>
      <w:bookmarkEnd w:id="9"/>
      <w:bookmarkEnd w:id="10"/>
      <w:bookmarkEnd w:id="11"/>
      <w:bookmarkEnd w:id="12"/>
      <w:r w:rsidRPr="00251C94">
        <w:rPr>
          <w:rFonts w:ascii="KievitPro-Regular" w:hAnsi="KievitPro-Regular"/>
          <w:b/>
          <w:sz w:val="24"/>
        </w:rPr>
        <w:lastRenderedPageBreak/>
        <w:t>Requisiti professionali di comportamento di rilievo</w:t>
      </w:r>
      <w:bookmarkEnd w:id="15"/>
      <w:bookmarkEnd w:id="16"/>
      <w:bookmarkEnd w:id="17"/>
      <w:bookmarkEnd w:id="18"/>
    </w:p>
    <w:p w14:paraId="71B84261" w14:textId="77777777" w:rsidR="00251C94" w:rsidRPr="00DD452F" w:rsidRDefault="00251C94" w:rsidP="00251C94">
      <w:pPr>
        <w:pStyle w:val="Listenabsatz"/>
        <w:numPr>
          <w:ilvl w:val="1"/>
          <w:numId w:val="16"/>
        </w:numPr>
        <w:spacing w:before="240" w:after="120" w:line="278" w:lineRule="auto"/>
        <w:contextualSpacing w:val="0"/>
        <w:rPr>
          <w:rFonts w:ascii="KievitPro-Regular" w:hAnsi="KievitPro-Regular" w:cs="Arial"/>
          <w:b/>
          <w:bCs/>
          <w:sz w:val="22"/>
          <w:szCs w:val="22"/>
        </w:rPr>
      </w:pPr>
      <w:r w:rsidRPr="00DD452F">
        <w:rPr>
          <w:rFonts w:ascii="KievitPro-Regular" w:hAnsi="KievitPro-Regular"/>
          <w:b/>
          <w:sz w:val="22"/>
          <w:szCs w:val="22"/>
        </w:rPr>
        <w:t>Regolamenti</w:t>
      </w:r>
    </w:p>
    <w:p w14:paraId="44D76B50" w14:textId="77777777" w:rsidR="00251C94" w:rsidRPr="00251C94" w:rsidRDefault="00251C94" w:rsidP="00251C94">
      <w:pPr>
        <w:jc w:val="both"/>
        <w:rPr>
          <w:rFonts w:ascii="KievitPro-Regular" w:hAnsi="KievitPro-Regular" w:cs="Arial"/>
        </w:rPr>
      </w:pPr>
      <w:r w:rsidRPr="00251C94">
        <w:rPr>
          <w:rFonts w:ascii="KievitPro-Regular" w:hAnsi="KievitPro-Regular"/>
        </w:rPr>
        <w:t xml:space="preserve">Siamo un'impresa di revisione abilitata come </w:t>
      </w:r>
      <w:r w:rsidRPr="00251C94">
        <w:rPr>
          <w:rFonts w:ascii="KievitPro-Regular" w:hAnsi="KievitPro-Regular"/>
          <w:highlight w:val="yellow"/>
        </w:rPr>
        <w:t>revisore/perito revisore</w:t>
      </w:r>
      <w:r w:rsidRPr="00251C94">
        <w:rPr>
          <w:rFonts w:ascii="KievitPro-Regular" w:hAnsi="KievitPro-Regular"/>
        </w:rPr>
        <w:t xml:space="preserve">. </w:t>
      </w:r>
      <w:r w:rsidRPr="00251C94">
        <w:rPr>
          <w:rFonts w:ascii="KievitPro-Regular" w:hAnsi="KievitPro-Regular"/>
          <w:highlight w:val="yellow"/>
        </w:rPr>
        <w:t>Inoltre, siamo membri di FIDUCIARI|SUISSE e/o EXPERTsuisse</w:t>
      </w:r>
      <w:r w:rsidRPr="00251C94">
        <w:rPr>
          <w:rFonts w:ascii="KievitPro-Regular" w:hAnsi="KievitPro-Regular"/>
        </w:rPr>
        <w:t xml:space="preserve"> </w:t>
      </w:r>
      <w:r w:rsidRPr="00251C94">
        <w:rPr>
          <w:rFonts w:ascii="KievitPro-Regular" w:hAnsi="KievitPro-Regular"/>
          <w:i/>
          <w:highlight w:val="yellow"/>
        </w:rPr>
        <w:t>(In alternativa: elencare altre iscrizioni ad associazioni oppure omettere la frase)</w:t>
      </w:r>
      <w:r w:rsidRPr="00251C94">
        <w:rPr>
          <w:rFonts w:ascii="KievitPro-Regular" w:hAnsi="KievitPro-Regular"/>
        </w:rPr>
        <w:t>. Ci impegniamo a rispettare le disposizioni di legge in materia, le relative ordinanze e decreti, nonché i principi di deontologia.</w:t>
      </w:r>
    </w:p>
    <w:p w14:paraId="173CC171" w14:textId="77777777" w:rsidR="00251C94" w:rsidRPr="00251C94" w:rsidRDefault="00251C94" w:rsidP="00251C94">
      <w:pPr>
        <w:jc w:val="both"/>
        <w:rPr>
          <w:rFonts w:ascii="KievitPro-Regular" w:hAnsi="KievitPro-Regular" w:cs="Arial"/>
        </w:rPr>
      </w:pPr>
      <w:r w:rsidRPr="00251C94">
        <w:rPr>
          <w:rFonts w:ascii="KievitPro-Regular" w:hAnsi="KievitPro-Regular"/>
        </w:rPr>
        <w:t>Ci impegniamo a salvaguardare l'indipendenza interna ed esterna dell'impresa e del personale specializzato, qualora ciò sia richiesto dalle norme di legge e dai requisiti professionali di comportamento. Il personale specializzato è soggetto al segreto professionale, in particolare al segreto di revisione (art. 730b cpv. 2 CO). Ciò richiede un approccio altrettanto diligente alla gestione dell'infrastruttura IT interna all'impresa e all'elaborazione elettronica dei dati.</w:t>
      </w:r>
    </w:p>
    <w:p w14:paraId="10D5DCAD" w14:textId="77777777" w:rsidR="00251C94" w:rsidRPr="00251C94" w:rsidRDefault="00251C94" w:rsidP="00251C94">
      <w:pPr>
        <w:jc w:val="both"/>
        <w:rPr>
          <w:rFonts w:ascii="KievitPro-Regular" w:hAnsi="KievitPro-Regular" w:cs="Arial"/>
        </w:rPr>
      </w:pPr>
      <w:r w:rsidRPr="00251C94">
        <w:rPr>
          <w:rFonts w:ascii="KievitPro-Regular" w:hAnsi="KievitPro-Regular"/>
        </w:rPr>
        <w:t xml:space="preserve">Ci assicuriamo che i nostri collaboratori addetti alla revisione dispongano delle competenze tecniche necessarie per adempiere i propri obblighi di legge con la dovuta diligenza. A tal proposito, ci assicuriamo che la formazione di perfezionamento del personale addetto alla revisione sia bilanciata e si basi anche sulla complessità dei mandati di revisione di cui si occupa (revisione limitata </w:t>
      </w:r>
      <w:r w:rsidRPr="00251C94">
        <w:rPr>
          <w:rFonts w:ascii="KievitPro-Regular" w:hAnsi="KievitPro-Regular"/>
          <w:highlight w:val="red"/>
        </w:rPr>
        <w:t>e/o ordinaria</w:t>
      </w:r>
      <w:r w:rsidRPr="00251C94">
        <w:rPr>
          <w:rFonts w:ascii="KievitPro-Regular" w:hAnsi="KievitPro-Regular"/>
        </w:rPr>
        <w:t xml:space="preserve">; principi di revisione e contabili applicabili, ecc.). </w:t>
      </w:r>
    </w:p>
    <w:p w14:paraId="777F9D67" w14:textId="77777777" w:rsidR="00251C94" w:rsidRPr="00251C94" w:rsidRDefault="00251C94" w:rsidP="00251C94">
      <w:pPr>
        <w:tabs>
          <w:tab w:val="right" w:pos="9405"/>
        </w:tabs>
        <w:jc w:val="both"/>
        <w:rPr>
          <w:rFonts w:ascii="KievitPro-Regular" w:hAnsi="KievitPro-Regular" w:cs="Arial"/>
        </w:rPr>
      </w:pPr>
      <w:r w:rsidRPr="00251C94">
        <w:rPr>
          <w:rFonts w:ascii="KievitPro-Regular" w:hAnsi="KievitPro-Regular"/>
        </w:rPr>
        <w:t xml:space="preserve">Disponiamo di un'organizzazione adeguata, il cui organigramma costituisce parte integrante del sistema di gestione della qualità. L'impresa è sostanzialmente suddivisa nei settori </w:t>
      </w:r>
      <w:r w:rsidRPr="00251C94">
        <w:rPr>
          <w:rFonts w:ascii="KievitPro-Regular" w:hAnsi="KievitPro-Regular"/>
          <w:highlight w:val="yellow"/>
        </w:rPr>
        <w:t>revisione, immobiliare, contabilità/amministrazione fiduciaria e consulenza fiscale e aziendale</w:t>
      </w:r>
      <w:r w:rsidRPr="00251C94">
        <w:rPr>
          <w:rFonts w:ascii="KievitPro-Regular" w:hAnsi="KievitPro-Regular"/>
        </w:rPr>
        <w:t xml:space="preserve"> (si veda l'organigramma in allegato).</w:t>
      </w:r>
    </w:p>
    <w:p w14:paraId="75C68056" w14:textId="77777777" w:rsidR="00251C94" w:rsidRPr="00DD452F" w:rsidRDefault="00251C94" w:rsidP="00251C94">
      <w:pPr>
        <w:pStyle w:val="Listenabsatz"/>
        <w:numPr>
          <w:ilvl w:val="1"/>
          <w:numId w:val="16"/>
        </w:numPr>
        <w:spacing w:before="240" w:after="120" w:line="278" w:lineRule="auto"/>
        <w:contextualSpacing w:val="0"/>
        <w:rPr>
          <w:rFonts w:ascii="KievitPro-Regular" w:hAnsi="KievitPro-Regular" w:cs="Arial"/>
          <w:b/>
          <w:sz w:val="22"/>
          <w:szCs w:val="22"/>
        </w:rPr>
      </w:pPr>
      <w:r w:rsidRPr="00DD452F">
        <w:rPr>
          <w:rFonts w:ascii="KievitPro-Regular" w:hAnsi="KievitPro-Regular"/>
          <w:b/>
          <w:sz w:val="22"/>
          <w:szCs w:val="22"/>
        </w:rPr>
        <w:t>Misure</w:t>
      </w:r>
    </w:p>
    <w:p w14:paraId="5B365043" w14:textId="77777777" w:rsidR="00251C94" w:rsidRDefault="00251C94" w:rsidP="00251C94">
      <w:pPr>
        <w:tabs>
          <w:tab w:val="right" w:pos="9405"/>
        </w:tabs>
        <w:jc w:val="both"/>
        <w:rPr>
          <w:rFonts w:ascii="KievitPro-Regular" w:hAnsi="KievitPro-Regular"/>
        </w:rPr>
      </w:pPr>
      <w:r w:rsidRPr="00251C94">
        <w:rPr>
          <w:rFonts w:ascii="KievitPro-Regular" w:hAnsi="KievitPro-Regular"/>
        </w:rPr>
        <w:t xml:space="preserve">I nostri revisori capo sono in possesso dell’abilitazione dell'Autorità di sorveglianza dei revisori (ASR) come </w:t>
      </w:r>
      <w:r w:rsidRPr="00251C94">
        <w:rPr>
          <w:rFonts w:ascii="KievitPro-Regular" w:hAnsi="KievitPro-Regular"/>
          <w:highlight w:val="yellow"/>
        </w:rPr>
        <w:t>revisori o periti revisori</w:t>
      </w:r>
      <w:r w:rsidRPr="00251C94">
        <w:rPr>
          <w:rFonts w:ascii="KievitPro-Regular" w:hAnsi="KievitPro-Regular"/>
        </w:rPr>
        <w:t>. Si impegnano quindi in prima persona a rispettare le disposizioni di legge e i principi di deontologia. Tra queste figurano, tra l'altro, le norme di etica e professionali, le linee guida sull'indipendenza e quelle relative al perfezionamento.</w:t>
      </w:r>
    </w:p>
    <w:p w14:paraId="4137DD5E" w14:textId="77777777" w:rsidR="00251C94" w:rsidRPr="00251C94" w:rsidRDefault="00251C94" w:rsidP="00251C94">
      <w:pPr>
        <w:tabs>
          <w:tab w:val="right" w:pos="9405"/>
        </w:tabs>
        <w:jc w:val="both"/>
        <w:rPr>
          <w:rFonts w:ascii="KievitPro-Regular" w:hAnsi="KievitPro-Regular" w:cs="Arial"/>
        </w:rPr>
      </w:pPr>
    </w:p>
    <w:p w14:paraId="4DB1FF45" w14:textId="77777777" w:rsidR="00251C94" w:rsidRDefault="00251C94" w:rsidP="00251C94">
      <w:pPr>
        <w:tabs>
          <w:tab w:val="right" w:pos="9405"/>
        </w:tabs>
        <w:jc w:val="both"/>
        <w:rPr>
          <w:rFonts w:ascii="KievitPro-Regular" w:hAnsi="KievitPro-Regular"/>
        </w:rPr>
      </w:pPr>
      <w:r w:rsidRPr="00251C94">
        <w:rPr>
          <w:rFonts w:ascii="KievitPro-Regular" w:hAnsi="KievitPro-Regular"/>
        </w:rPr>
        <w:t xml:space="preserve">Tutti i collaboratori coinvolti nella revisione, nonché tutti i membri dell'organo direttivo o amministrativo di massimo livello (ad es. membri del consiglio d'amministrazione), della direzione generale (ad es. direttori) e i collaboratori con funzioni decisionali devono firmare ogni anno una dichiarazione di indipendenza. Alla dichiarazione è allegato un elenco dei mandati di revisione attualmente in corso. Inoltre, il rispetto delle norme in materia di indipendenza viene regolarmente verificato e documentato in occasione della verifica per l'accettazione o il proseguimento di un mandato, al fine di individuare immediatamente eventuali violazioni delle linee guida sull'indipendenza (vedere anche il punto 2.2). </w:t>
      </w:r>
    </w:p>
    <w:p w14:paraId="48EB5A0C" w14:textId="77777777" w:rsidR="00251C94" w:rsidRPr="00251C94" w:rsidRDefault="00251C94" w:rsidP="00251C94">
      <w:pPr>
        <w:tabs>
          <w:tab w:val="right" w:pos="9405"/>
        </w:tabs>
        <w:jc w:val="both"/>
        <w:rPr>
          <w:rFonts w:ascii="KievitPro-Regular" w:hAnsi="KievitPro-Regular" w:cs="Arial"/>
        </w:rPr>
      </w:pPr>
    </w:p>
    <w:p w14:paraId="409AC73E" w14:textId="77777777" w:rsidR="00251C94" w:rsidRDefault="00251C94" w:rsidP="00251C94">
      <w:pPr>
        <w:tabs>
          <w:tab w:val="right" w:pos="9405"/>
        </w:tabs>
        <w:jc w:val="both"/>
        <w:rPr>
          <w:rFonts w:ascii="KievitPro-Regular" w:hAnsi="KievitPro-Regular"/>
        </w:rPr>
      </w:pPr>
      <w:r w:rsidRPr="00251C94">
        <w:rPr>
          <w:rFonts w:ascii="KievitPro-Regular" w:hAnsi="KievitPro-Regular"/>
        </w:rPr>
        <w:t>Anche i dipendenti della nostra organizzazione che non partecipano alla revisione (ad esempio, i fiduciari senza funzioni dirigenziali) devono presentare ogni anno una dichiarazione scritta in cui attestano di non essere membri del consiglio d’amministrazione di alcun cliente sottoposto a revisione né di ricoprire altre funzioni decisionali presso lo stesso. La conferma scritta può essere fornita in formato cartaceo o elettronico.</w:t>
      </w:r>
    </w:p>
    <w:p w14:paraId="46575667" w14:textId="77777777" w:rsidR="00251C94" w:rsidRPr="00251C94" w:rsidRDefault="00251C94" w:rsidP="00251C94">
      <w:pPr>
        <w:tabs>
          <w:tab w:val="right" w:pos="9405"/>
        </w:tabs>
        <w:jc w:val="both"/>
        <w:rPr>
          <w:rFonts w:ascii="KievitPro-Regular" w:hAnsi="KievitPro-Regular" w:cs="Arial"/>
        </w:rPr>
      </w:pPr>
    </w:p>
    <w:p w14:paraId="0CDA72D0" w14:textId="77777777" w:rsidR="00251C94" w:rsidRDefault="00251C94" w:rsidP="00251C94">
      <w:pPr>
        <w:tabs>
          <w:tab w:val="right" w:pos="9405"/>
        </w:tabs>
        <w:jc w:val="both"/>
        <w:rPr>
          <w:rFonts w:ascii="KievitPro-Regular" w:hAnsi="KievitPro-Regular"/>
        </w:rPr>
      </w:pPr>
      <w:r w:rsidRPr="00251C94">
        <w:rPr>
          <w:rFonts w:ascii="KievitPro-Regular" w:hAnsi="KievitPro-Regular"/>
        </w:rPr>
        <w:t xml:space="preserve">Inoltre, la direzione e il responsabile del dipartimento di revisione organizzano ogni anno una riunione dedicata al tema dell'indipendenza. In questa occasione, tutti i mandati vengono esaminati alla luce di eventuali problemi di indipendenza e, se necessario, vengono adottate le misure appropriate. </w:t>
      </w:r>
    </w:p>
    <w:p w14:paraId="078B71E9" w14:textId="77777777" w:rsidR="00251C94" w:rsidRPr="00251C94" w:rsidRDefault="00251C94" w:rsidP="00251C94">
      <w:pPr>
        <w:tabs>
          <w:tab w:val="right" w:pos="9405"/>
        </w:tabs>
        <w:jc w:val="both"/>
        <w:rPr>
          <w:rFonts w:ascii="KievitPro-Regular" w:hAnsi="KievitPro-Regular" w:cs="Arial"/>
        </w:rPr>
      </w:pPr>
    </w:p>
    <w:p w14:paraId="33734E82" w14:textId="77777777" w:rsidR="00251C94" w:rsidRDefault="00251C94" w:rsidP="00251C94">
      <w:pPr>
        <w:tabs>
          <w:tab w:val="right" w:pos="9405"/>
        </w:tabs>
        <w:jc w:val="both"/>
        <w:rPr>
          <w:rFonts w:ascii="KievitPro-Regular" w:hAnsi="KievitPro-Regular"/>
        </w:rPr>
      </w:pPr>
      <w:r w:rsidRPr="00251C94">
        <w:rPr>
          <w:rFonts w:ascii="KievitPro-Regular" w:hAnsi="KievitPro-Regular"/>
        </w:rPr>
        <w:t>La responsabilità dei mandati viene assegnata ed è documentata negli elenchi dei mandati. In tale contesto, viene rispettata e osservata la separazione delle funzioni (nell'ambito della revisione limitata e della collaborazione nella tenuta dei conti). Ulteriori misure di tutela relative alla separazione organizzativa nell'ambito della revisione limitata sono riportate nella sezione 3.6.</w:t>
      </w:r>
    </w:p>
    <w:p w14:paraId="393F2701" w14:textId="77777777" w:rsidR="00251C94" w:rsidRPr="00251C94" w:rsidRDefault="00251C94" w:rsidP="00251C94">
      <w:pPr>
        <w:tabs>
          <w:tab w:val="right" w:pos="9405"/>
        </w:tabs>
        <w:jc w:val="both"/>
        <w:rPr>
          <w:rFonts w:ascii="KievitPro-Regular" w:hAnsi="KievitPro-Regular" w:cs="Arial"/>
        </w:rPr>
      </w:pPr>
    </w:p>
    <w:p w14:paraId="6997ACDD" w14:textId="77777777" w:rsidR="00251C94" w:rsidRPr="00251C94" w:rsidRDefault="00251C94" w:rsidP="00251C94">
      <w:pPr>
        <w:tabs>
          <w:tab w:val="right" w:pos="9405"/>
        </w:tabs>
        <w:jc w:val="both"/>
        <w:rPr>
          <w:rFonts w:ascii="KievitPro-Regular" w:hAnsi="KievitPro-Regular" w:cs="Arial"/>
        </w:rPr>
      </w:pPr>
      <w:r w:rsidRPr="00251C94">
        <w:rPr>
          <w:rFonts w:ascii="KievitPro-Regular" w:hAnsi="KievitPro-Regular"/>
        </w:rPr>
        <w:t>Prestiamo particolare attenzione affinché la familiarità tra le persone coinvolte nello svolgimento della revisione e il cliente sottoposto a revisione non diventi così stretta da dare l'impressione che l'obiettività e l'indipendenza del revisore siano compromesse o pregiudicate.</w:t>
      </w:r>
    </w:p>
    <w:p w14:paraId="7ACF79BE" w14:textId="77777777" w:rsidR="00251C94" w:rsidRDefault="00251C94" w:rsidP="00251C94">
      <w:pPr>
        <w:tabs>
          <w:tab w:val="right" w:pos="9405"/>
        </w:tabs>
        <w:jc w:val="both"/>
        <w:rPr>
          <w:rFonts w:ascii="KievitPro-Regular" w:hAnsi="KievitPro-Regular"/>
        </w:rPr>
      </w:pPr>
      <w:r w:rsidRPr="00251C94">
        <w:rPr>
          <w:rFonts w:ascii="KievitPro-Regular" w:hAnsi="KievitPro-Regular"/>
        </w:rPr>
        <w:lastRenderedPageBreak/>
        <w:t>Il rispetto degli obblighi di riservatezza, delle norme di comportamento relative all'utilizzo dei sistemi informatici e alla sicurezza dei dati, nonché l'obbligo di attenersi alle linee guida in materia di IT, vengono documentati e confermati dai collaboratori. La documentazione si basa sui relativi modelli interni e sugli strumenti di lavoro.</w:t>
      </w:r>
    </w:p>
    <w:p w14:paraId="09257072" w14:textId="77777777" w:rsidR="00251C94" w:rsidRPr="00251C94" w:rsidRDefault="00251C94" w:rsidP="00251C94">
      <w:pPr>
        <w:tabs>
          <w:tab w:val="right" w:pos="9405"/>
        </w:tabs>
        <w:jc w:val="both"/>
        <w:rPr>
          <w:rFonts w:ascii="KievitPro-Regular" w:hAnsi="KievitPro-Regular" w:cs="Arial"/>
        </w:rPr>
      </w:pPr>
    </w:p>
    <w:p w14:paraId="7CB1DF4D" w14:textId="3750880F" w:rsidR="00251C94" w:rsidRPr="00251C94" w:rsidRDefault="00251C94" w:rsidP="00251C94">
      <w:pPr>
        <w:spacing w:line="360" w:lineRule="auto"/>
        <w:rPr>
          <w:rFonts w:ascii="KievitPro-Regular" w:hAnsi="KievitPro-Regular" w:cs="Arial"/>
        </w:rPr>
      </w:pPr>
      <w:r>
        <w:rPr>
          <w:rFonts w:ascii="KievitPro-Regular" w:hAnsi="KievitPro-Regular"/>
        </w:rPr>
        <w:t xml:space="preserve"> </w:t>
      </w:r>
    </w:p>
    <w:p w14:paraId="4ED07F63" w14:textId="77777777" w:rsidR="00251C94" w:rsidRPr="00251C94" w:rsidRDefault="00251C94" w:rsidP="00251C94">
      <w:pPr>
        <w:tabs>
          <w:tab w:val="left" w:pos="1418"/>
        </w:tabs>
        <w:rPr>
          <w:rFonts w:ascii="KievitPro-Regular" w:hAnsi="KievitPro-Regular" w:cs="Arial"/>
          <w:i/>
        </w:rPr>
      </w:pPr>
    </w:p>
    <w:p w14:paraId="2FB3E0E4" w14:textId="77777777" w:rsidR="00251C94" w:rsidRPr="00251C94" w:rsidRDefault="00251C94" w:rsidP="00251C94">
      <w:pPr>
        <w:pStyle w:val="berschrift1"/>
        <w:numPr>
          <w:ilvl w:val="0"/>
          <w:numId w:val="16"/>
        </w:numPr>
        <w:ind w:left="426" w:hanging="426"/>
        <w:rPr>
          <w:rFonts w:ascii="KievitPro-Regular" w:hAnsi="KievitPro-Regular"/>
          <w:b/>
          <w:sz w:val="24"/>
        </w:rPr>
      </w:pPr>
      <w:r w:rsidRPr="00251C94">
        <w:rPr>
          <w:rFonts w:ascii="KievitPro-Regular" w:hAnsi="KievitPro-Regular"/>
        </w:rPr>
        <w:br w:type="page"/>
      </w:r>
      <w:bookmarkStart w:id="19" w:name="_Toc331510677"/>
      <w:bookmarkStart w:id="20" w:name="_Toc359071930"/>
      <w:bookmarkStart w:id="21" w:name="_Toc236311852"/>
      <w:r w:rsidRPr="00251C94">
        <w:rPr>
          <w:rFonts w:ascii="KievitPro-Regular" w:hAnsi="KievitPro-Regular"/>
          <w:b/>
          <w:sz w:val="24"/>
        </w:rPr>
        <w:lastRenderedPageBreak/>
        <w:t>Accettazione e continuazione dei rapporti con i mandanti e di determinati mandati</w:t>
      </w:r>
      <w:bookmarkEnd w:id="19"/>
      <w:bookmarkEnd w:id="20"/>
      <w:bookmarkEnd w:id="21"/>
    </w:p>
    <w:p w14:paraId="22C76232" w14:textId="77777777" w:rsidR="00251C94" w:rsidRPr="00DD452F" w:rsidRDefault="00251C94" w:rsidP="00251C94">
      <w:pPr>
        <w:pStyle w:val="Listenabsatz"/>
        <w:numPr>
          <w:ilvl w:val="1"/>
          <w:numId w:val="16"/>
        </w:numPr>
        <w:spacing w:before="240" w:after="120" w:line="278" w:lineRule="auto"/>
        <w:contextualSpacing w:val="0"/>
        <w:rPr>
          <w:rFonts w:ascii="KievitPro-Regular" w:hAnsi="KievitPro-Regular" w:cs="Arial"/>
          <w:b/>
          <w:bCs/>
          <w:sz w:val="22"/>
          <w:szCs w:val="22"/>
        </w:rPr>
      </w:pPr>
      <w:r w:rsidRPr="00DD452F">
        <w:rPr>
          <w:rFonts w:ascii="KievitPro-Regular" w:hAnsi="KievitPro-Regular"/>
          <w:b/>
          <w:sz w:val="22"/>
          <w:szCs w:val="22"/>
        </w:rPr>
        <w:t>Regolamenti</w:t>
      </w:r>
    </w:p>
    <w:p w14:paraId="560EEA0F" w14:textId="77777777" w:rsidR="00251C94" w:rsidRPr="00251C94" w:rsidRDefault="00251C94" w:rsidP="00251C94">
      <w:pPr>
        <w:tabs>
          <w:tab w:val="right" w:pos="9405"/>
        </w:tabs>
        <w:jc w:val="both"/>
        <w:rPr>
          <w:rFonts w:ascii="KievitPro-Regular" w:hAnsi="KievitPro-Regular" w:cs="Arial"/>
        </w:rPr>
      </w:pPr>
      <w:r w:rsidRPr="00251C94">
        <w:rPr>
          <w:rFonts w:ascii="KievitPro-Regular" w:hAnsi="KievitPro-Regular"/>
        </w:rPr>
        <w:t>I mandati vengono accettati e portati avanti solo se sono disponibili le competenze e le conoscenze necessarie per una corretta esecuzione, nonché risorse temporali e di personale sufficienti, se è possibile garantire il regolare svolgimento degli stessi e se vengono rispettati i principi di indipendenza.</w:t>
      </w:r>
    </w:p>
    <w:p w14:paraId="15362FBF" w14:textId="77777777" w:rsidR="00251C94" w:rsidRPr="00251C94" w:rsidRDefault="00251C94" w:rsidP="00251C94">
      <w:pPr>
        <w:tabs>
          <w:tab w:val="right" w:pos="9405"/>
        </w:tabs>
        <w:jc w:val="both"/>
        <w:rPr>
          <w:rFonts w:ascii="KievitPro-Regular" w:hAnsi="KievitPro-Regular" w:cs="Arial"/>
        </w:rPr>
      </w:pPr>
      <w:r w:rsidRPr="00251C94">
        <w:rPr>
          <w:rFonts w:ascii="KievitPro-Regular" w:hAnsi="KievitPro-Regular"/>
        </w:rPr>
        <w:t>Nell'ambito del processo di approvazione e continuazione viene inoltre valutata in modo critico l'integrità del management. I mandati vengono accettati o portati avanti solo se tale verifica ha esito positivo.</w:t>
      </w:r>
    </w:p>
    <w:p w14:paraId="5AD2743F" w14:textId="77777777" w:rsidR="00251C94" w:rsidRPr="00251C94" w:rsidRDefault="00251C94" w:rsidP="00251C94">
      <w:pPr>
        <w:tabs>
          <w:tab w:val="right" w:pos="9405"/>
        </w:tabs>
        <w:jc w:val="both"/>
        <w:rPr>
          <w:rFonts w:ascii="KievitPro-Regular" w:hAnsi="KievitPro-Regular" w:cs="Arial"/>
        </w:rPr>
      </w:pPr>
      <w:r w:rsidRPr="00251C94">
        <w:rPr>
          <w:rFonts w:ascii="KievitPro-Regular" w:hAnsi="KievitPro-Regular"/>
        </w:rPr>
        <w:t>I mandati vengono classificati in categorie di rischio adeguate in base al loro livello di rischio.</w:t>
      </w:r>
    </w:p>
    <w:p w14:paraId="56C28820" w14:textId="77777777" w:rsidR="00251C94" w:rsidRPr="00DD452F" w:rsidRDefault="00251C94" w:rsidP="00251C94">
      <w:pPr>
        <w:pStyle w:val="Listenabsatz"/>
        <w:numPr>
          <w:ilvl w:val="1"/>
          <w:numId w:val="16"/>
        </w:numPr>
        <w:spacing w:before="240" w:after="120" w:line="278" w:lineRule="auto"/>
        <w:contextualSpacing w:val="0"/>
        <w:rPr>
          <w:rFonts w:ascii="KievitPro-Regular" w:hAnsi="KievitPro-Regular" w:cs="Arial"/>
          <w:b/>
          <w:bCs/>
          <w:sz w:val="22"/>
          <w:szCs w:val="22"/>
        </w:rPr>
      </w:pPr>
      <w:r w:rsidRPr="00DD452F">
        <w:rPr>
          <w:rFonts w:ascii="KievitPro-Regular" w:hAnsi="KievitPro-Regular"/>
          <w:b/>
          <w:sz w:val="22"/>
          <w:szCs w:val="22"/>
        </w:rPr>
        <w:t>Misure</w:t>
      </w:r>
    </w:p>
    <w:p w14:paraId="7FED1B66" w14:textId="278075D3" w:rsidR="00251C94" w:rsidRDefault="00251C94" w:rsidP="00251C94">
      <w:pPr>
        <w:tabs>
          <w:tab w:val="right" w:pos="9405"/>
        </w:tabs>
        <w:jc w:val="both"/>
        <w:rPr>
          <w:rFonts w:ascii="KievitPro-Regular" w:hAnsi="KievitPro-Regular"/>
        </w:rPr>
      </w:pPr>
      <w:r w:rsidRPr="00251C94">
        <w:rPr>
          <w:rFonts w:ascii="KievitPro-Regular" w:hAnsi="KievitPro-Regular"/>
        </w:rPr>
        <w:t>La direzione è responsabile dell'accettazione dei mandati. A tal fine, si consulta con il responsabile del mandato (ad esempio, il revisore capo). Il responsabile del mandato si assicura che siano disponibili tutte le informazioni e i documenti necessari al processo decisionale e li documenta avvalendosi della lista di controllo per la valutazione dell’accettazione del mandato.</w:t>
      </w:r>
      <w:r>
        <w:rPr>
          <w:rFonts w:ascii="KievitPro-Regular" w:hAnsi="KievitPro-Regular"/>
        </w:rPr>
        <w:t xml:space="preserve"> </w:t>
      </w:r>
    </w:p>
    <w:p w14:paraId="394E68B4" w14:textId="77777777" w:rsidR="00251C94" w:rsidRPr="00251C94" w:rsidRDefault="00251C94" w:rsidP="00251C94">
      <w:pPr>
        <w:tabs>
          <w:tab w:val="right" w:pos="9405"/>
        </w:tabs>
        <w:jc w:val="both"/>
        <w:rPr>
          <w:rFonts w:ascii="KievitPro-Regular" w:hAnsi="KievitPro-Regular" w:cs="Arial"/>
        </w:rPr>
      </w:pPr>
    </w:p>
    <w:p w14:paraId="464107D9" w14:textId="5C61EAA7" w:rsidR="00251C94" w:rsidRDefault="00251C94" w:rsidP="00251C94">
      <w:pPr>
        <w:tabs>
          <w:tab w:val="right" w:pos="9405"/>
        </w:tabs>
        <w:jc w:val="both"/>
        <w:rPr>
          <w:rFonts w:ascii="KievitPro-Regular" w:hAnsi="KievitPro-Regular"/>
        </w:rPr>
      </w:pPr>
      <w:r w:rsidRPr="00251C94">
        <w:rPr>
          <w:rFonts w:ascii="KievitPro-Regular" w:hAnsi="KievitPro-Regular"/>
        </w:rPr>
        <w:t>Nel valutare l'accettazione del mandato, occorre assicurarsi che lo studio non abbia interessi finanziari o economici che possano compromettere l'indipendenza o il corretto svolgimento delle attività di revisione, oppure limitarne in modo inammissibile la portata.</w:t>
      </w:r>
    </w:p>
    <w:p w14:paraId="0476F0D8" w14:textId="77777777" w:rsidR="00251C94" w:rsidRPr="00251C94" w:rsidRDefault="00251C94" w:rsidP="00251C94">
      <w:pPr>
        <w:tabs>
          <w:tab w:val="right" w:pos="9405"/>
        </w:tabs>
        <w:jc w:val="both"/>
        <w:rPr>
          <w:rFonts w:ascii="KievitPro-Regular" w:hAnsi="KievitPro-Regular" w:cs="Arial"/>
        </w:rPr>
      </w:pPr>
    </w:p>
    <w:p w14:paraId="47D6E9F8" w14:textId="77777777" w:rsidR="00251C94" w:rsidRDefault="00251C94" w:rsidP="00251C94">
      <w:pPr>
        <w:tabs>
          <w:tab w:val="right" w:pos="9405"/>
        </w:tabs>
        <w:jc w:val="both"/>
        <w:rPr>
          <w:rFonts w:ascii="KievitPro-Regular" w:hAnsi="KievitPro-Regular"/>
        </w:rPr>
      </w:pPr>
      <w:r w:rsidRPr="00251C94">
        <w:rPr>
          <w:rFonts w:ascii="KievitPro-Regular" w:hAnsi="KievitPro-Regular"/>
        </w:rPr>
        <w:t>La verifica dei requisiti necessari per la continuazione di un mandato o per le eventuali dimissioni viene effettuata ogni anno dopo la chiusura delle attività di revisione e prima di un'eventuale rielezione da parte dell'assemblea generale ordinaria del cliente. Le relative constatazioni e conclusioni devono essere adeguatamente documentate.</w:t>
      </w:r>
    </w:p>
    <w:p w14:paraId="0C272CE6" w14:textId="77777777" w:rsidR="00251C94" w:rsidRPr="00251C94" w:rsidRDefault="00251C94" w:rsidP="00251C94">
      <w:pPr>
        <w:tabs>
          <w:tab w:val="right" w:pos="9405"/>
        </w:tabs>
        <w:jc w:val="both"/>
        <w:rPr>
          <w:rFonts w:ascii="KievitPro-Regular" w:hAnsi="KievitPro-Regular" w:cs="Arial"/>
        </w:rPr>
      </w:pPr>
    </w:p>
    <w:p w14:paraId="1ADABCA4" w14:textId="77777777" w:rsidR="00251C94" w:rsidRDefault="00251C94" w:rsidP="00251C94">
      <w:pPr>
        <w:tabs>
          <w:tab w:val="right" w:pos="9405"/>
        </w:tabs>
        <w:jc w:val="both"/>
        <w:rPr>
          <w:rFonts w:ascii="KievitPro-Regular" w:hAnsi="KievitPro-Regular"/>
        </w:rPr>
      </w:pPr>
      <w:r w:rsidRPr="00251C94">
        <w:rPr>
          <w:rFonts w:ascii="KievitPro-Regular" w:hAnsi="KievitPro-Regular"/>
        </w:rPr>
        <w:t>Le modifiche apportate dal cliente al mandato devono essere valutate e documentate in modo analogo a quanto previsto per l'accettazione del mandato. In caso di accettazione delle modifiche, prima dell'inizio delle attività di revisione dovrà essere redatta una conferma di mandato aggiornata o nuova.</w:t>
      </w:r>
    </w:p>
    <w:p w14:paraId="47515E40" w14:textId="77777777" w:rsidR="00251C94" w:rsidRPr="00251C94" w:rsidRDefault="00251C94" w:rsidP="00251C94">
      <w:pPr>
        <w:tabs>
          <w:tab w:val="right" w:pos="9405"/>
        </w:tabs>
        <w:jc w:val="both"/>
        <w:rPr>
          <w:rFonts w:ascii="KievitPro-Regular" w:hAnsi="KievitPro-Regular" w:cs="Arial"/>
        </w:rPr>
      </w:pPr>
    </w:p>
    <w:p w14:paraId="5483A87C" w14:textId="77777777" w:rsidR="00251C94" w:rsidRDefault="00251C94" w:rsidP="00251C94">
      <w:pPr>
        <w:tabs>
          <w:tab w:val="right" w:pos="9405"/>
        </w:tabs>
        <w:jc w:val="both"/>
        <w:rPr>
          <w:rFonts w:ascii="KievitPro-Regular" w:hAnsi="KievitPro-Regular"/>
        </w:rPr>
      </w:pPr>
      <w:r w:rsidRPr="00251C94">
        <w:rPr>
          <w:rFonts w:ascii="KievitPro-Regular" w:hAnsi="KievitPro-Regular"/>
        </w:rPr>
        <w:t>L'impresa di revisione informa i propri mandanti sui rischi connessi ai doppi mandati. La relativa comunicazione viene documentata.</w:t>
      </w:r>
    </w:p>
    <w:p w14:paraId="77F039ED" w14:textId="77777777" w:rsidR="00251C94" w:rsidRPr="00251C94" w:rsidRDefault="00251C94" w:rsidP="00251C94">
      <w:pPr>
        <w:tabs>
          <w:tab w:val="right" w:pos="9405"/>
        </w:tabs>
        <w:jc w:val="both"/>
        <w:rPr>
          <w:rFonts w:ascii="KievitPro-Regular" w:hAnsi="KievitPro-Regular" w:cs="Arial"/>
        </w:rPr>
      </w:pPr>
    </w:p>
    <w:p w14:paraId="59E36CC5" w14:textId="77777777" w:rsidR="00251C94" w:rsidRDefault="00251C94" w:rsidP="00251C94">
      <w:pPr>
        <w:tabs>
          <w:tab w:val="right" w:pos="9405"/>
        </w:tabs>
        <w:jc w:val="both"/>
        <w:rPr>
          <w:rFonts w:ascii="KievitPro-Regular" w:hAnsi="KievitPro-Regular"/>
        </w:rPr>
      </w:pPr>
      <w:r w:rsidRPr="00251C94">
        <w:rPr>
          <w:rFonts w:ascii="KievitPro-Regular" w:hAnsi="KievitPro-Regular"/>
        </w:rPr>
        <w:t>In caso di dimissioni da un mandato, è necessario motivare la decisione in modo comprensibile, documentarla e garantirne il regolare svolgimento.</w:t>
      </w:r>
    </w:p>
    <w:p w14:paraId="382AFCF3" w14:textId="77777777" w:rsidR="00251C94" w:rsidRPr="00251C94" w:rsidRDefault="00251C94" w:rsidP="00251C94">
      <w:pPr>
        <w:tabs>
          <w:tab w:val="right" w:pos="9405"/>
        </w:tabs>
        <w:jc w:val="both"/>
        <w:rPr>
          <w:rFonts w:ascii="KievitPro-Regular" w:hAnsi="KievitPro-Regular" w:cs="Arial"/>
        </w:rPr>
      </w:pPr>
    </w:p>
    <w:p w14:paraId="04D0A59A" w14:textId="77777777" w:rsidR="00251C94" w:rsidRDefault="00251C94" w:rsidP="00251C94">
      <w:pPr>
        <w:tabs>
          <w:tab w:val="right" w:pos="9405"/>
        </w:tabs>
        <w:jc w:val="both"/>
        <w:rPr>
          <w:rFonts w:ascii="KievitPro-Regular" w:hAnsi="KievitPro-Regular"/>
        </w:rPr>
      </w:pPr>
      <w:r w:rsidRPr="00251C94">
        <w:rPr>
          <w:rFonts w:ascii="KievitPro-Regular" w:hAnsi="KievitPro-Regular"/>
        </w:rPr>
        <w:t>Al momento dell'accettazione del mandato, i mandati di revisione vengono classificati in categorie di rischio (alto, medio, basso). La classificazione viene riesaminata almeno una volta all'anno nell'ambito della continuazione del mandato e, se necessario, adeguata.</w:t>
      </w:r>
    </w:p>
    <w:p w14:paraId="2553C6A7" w14:textId="77777777" w:rsidR="00251C94" w:rsidRPr="00251C94" w:rsidRDefault="00251C94" w:rsidP="00251C94">
      <w:pPr>
        <w:tabs>
          <w:tab w:val="right" w:pos="9405"/>
        </w:tabs>
        <w:jc w:val="both"/>
        <w:rPr>
          <w:rFonts w:ascii="KievitPro-Regular" w:hAnsi="KievitPro-Regular" w:cs="Arial"/>
        </w:rPr>
      </w:pPr>
    </w:p>
    <w:p w14:paraId="536DA4DD" w14:textId="77777777" w:rsidR="00251C94" w:rsidRDefault="00251C94" w:rsidP="00251C94">
      <w:pPr>
        <w:tabs>
          <w:tab w:val="right" w:pos="9405"/>
        </w:tabs>
        <w:jc w:val="both"/>
        <w:rPr>
          <w:rFonts w:ascii="KievitPro-Regular" w:hAnsi="KievitPro-Regular"/>
        </w:rPr>
      </w:pPr>
      <w:r w:rsidRPr="00251C94">
        <w:rPr>
          <w:rFonts w:ascii="KievitPro-Regular" w:hAnsi="KievitPro-Regular"/>
        </w:rPr>
        <w:t>A seconda della categoria di rischio, vengono definite e attuate misure interne adeguate. La classificazione del rischio viene riportata nella panoramica dei mandati. Il responsabile del mandato o il responsabile della gestione della qualità competente possono decidere in qualsiasi momento di elevare il livello di un mandato, qualora le circostanze specifiche del mandato lo richiedano.</w:t>
      </w:r>
    </w:p>
    <w:p w14:paraId="738E02A7" w14:textId="77777777" w:rsidR="00251C94" w:rsidRPr="00251C94" w:rsidRDefault="00251C94" w:rsidP="00251C94">
      <w:pPr>
        <w:tabs>
          <w:tab w:val="right" w:pos="9405"/>
        </w:tabs>
        <w:jc w:val="both"/>
        <w:rPr>
          <w:rFonts w:ascii="KievitPro-Regular" w:hAnsi="KievitPro-Regular" w:cs="Arial"/>
        </w:rPr>
      </w:pPr>
    </w:p>
    <w:p w14:paraId="305A9AA9" w14:textId="77777777" w:rsidR="00251C94" w:rsidRPr="00251C94" w:rsidRDefault="00251C94" w:rsidP="00251C94">
      <w:pPr>
        <w:tabs>
          <w:tab w:val="left" w:pos="1418"/>
          <w:tab w:val="right" w:pos="9405"/>
        </w:tabs>
        <w:spacing w:before="60" w:after="60" w:line="276" w:lineRule="auto"/>
        <w:rPr>
          <w:rFonts w:ascii="KievitPro-Regular" w:hAnsi="KievitPro-Regular" w:cs="Arial"/>
          <w:i/>
        </w:rPr>
      </w:pPr>
      <w:r w:rsidRPr="00251C94">
        <w:rPr>
          <w:rFonts w:ascii="KievitPro-Regular" w:hAnsi="KievitPro-Regular"/>
          <w:i/>
        </w:rPr>
        <w:t xml:space="preserve">Allegato 12.5: </w:t>
      </w:r>
      <w:r w:rsidRPr="00251C94">
        <w:rPr>
          <w:rFonts w:ascii="KievitPro-Regular" w:hAnsi="KievitPro-Regular"/>
          <w:i/>
        </w:rPr>
        <w:tab/>
        <w:t>Lista di controllo per la valutazione dell'accettazione del mandato</w:t>
      </w:r>
    </w:p>
    <w:p w14:paraId="1EEC2036" w14:textId="77777777" w:rsidR="00251C94" w:rsidRPr="00251C94" w:rsidRDefault="00251C94" w:rsidP="00251C94">
      <w:pPr>
        <w:tabs>
          <w:tab w:val="left" w:pos="1418"/>
          <w:tab w:val="right" w:pos="9405"/>
        </w:tabs>
        <w:spacing w:before="60" w:after="60" w:line="276" w:lineRule="auto"/>
        <w:rPr>
          <w:rFonts w:ascii="KievitPro-Regular" w:hAnsi="KievitPro-Regular" w:cs="Arial"/>
          <w:i/>
        </w:rPr>
      </w:pPr>
      <w:r w:rsidRPr="00251C94">
        <w:rPr>
          <w:rFonts w:ascii="KievitPro-Regular" w:hAnsi="KievitPro-Regular"/>
          <w:i/>
        </w:rPr>
        <w:t xml:space="preserve">Allegato 12.6: </w:t>
      </w:r>
      <w:r w:rsidRPr="00251C94">
        <w:rPr>
          <w:rFonts w:ascii="KievitPro-Regular" w:hAnsi="KievitPro-Regular"/>
          <w:i/>
        </w:rPr>
        <w:tab/>
        <w:t xml:space="preserve">Lista di controllo per la valutazione della continuazione dei mandati </w:t>
      </w:r>
    </w:p>
    <w:p w14:paraId="639C70C9" w14:textId="77777777" w:rsidR="00251C94" w:rsidRPr="00251C94" w:rsidRDefault="00251C94" w:rsidP="00251C94">
      <w:pPr>
        <w:tabs>
          <w:tab w:val="left" w:pos="1418"/>
          <w:tab w:val="right" w:pos="9405"/>
        </w:tabs>
        <w:spacing w:before="60" w:after="60" w:line="276" w:lineRule="auto"/>
        <w:rPr>
          <w:rFonts w:ascii="KievitPro-Regular" w:hAnsi="KievitPro-Regular" w:cs="Arial"/>
          <w:i/>
        </w:rPr>
      </w:pPr>
      <w:r w:rsidRPr="00251C94">
        <w:rPr>
          <w:rFonts w:ascii="KievitPro-Regular" w:hAnsi="KievitPro-Regular"/>
          <w:i/>
        </w:rPr>
        <w:t xml:space="preserve">Allegato 12.7: </w:t>
      </w:r>
      <w:r w:rsidRPr="00251C94">
        <w:rPr>
          <w:rFonts w:ascii="KievitPro-Regular" w:hAnsi="KievitPro-Regular"/>
          <w:i/>
        </w:rPr>
        <w:tab/>
        <w:t>Modello di conferma di mandato in caso di doppio mandato</w:t>
      </w:r>
    </w:p>
    <w:p w14:paraId="039FBF91" w14:textId="77777777" w:rsidR="00251C94" w:rsidRPr="00251C94" w:rsidRDefault="00251C94" w:rsidP="00251C94">
      <w:pPr>
        <w:tabs>
          <w:tab w:val="left" w:pos="1418"/>
          <w:tab w:val="right" w:pos="9405"/>
        </w:tabs>
        <w:spacing w:before="60" w:after="60" w:line="276" w:lineRule="auto"/>
        <w:rPr>
          <w:rFonts w:ascii="KievitPro-Regular" w:hAnsi="KievitPro-Regular" w:cs="Arial"/>
          <w:i/>
        </w:rPr>
      </w:pPr>
      <w:r w:rsidRPr="00251C94">
        <w:rPr>
          <w:rFonts w:ascii="KievitPro-Regular" w:hAnsi="KievitPro-Regular"/>
          <w:i/>
        </w:rPr>
        <w:t>Allegato 12.8:</w:t>
      </w:r>
      <w:r w:rsidRPr="00251C94">
        <w:rPr>
          <w:rFonts w:ascii="KievitPro-Regular" w:hAnsi="KievitPro-Regular"/>
          <w:i/>
        </w:rPr>
        <w:tab/>
        <w:t>Regolamento sulla collaborazione in caso di doppio mandato</w:t>
      </w:r>
    </w:p>
    <w:p w14:paraId="2284CA69" w14:textId="77777777" w:rsidR="00251C94" w:rsidRPr="00251C94" w:rsidRDefault="00251C94" w:rsidP="00251C94">
      <w:pPr>
        <w:tabs>
          <w:tab w:val="left" w:pos="1418"/>
          <w:tab w:val="right" w:pos="9405"/>
        </w:tabs>
        <w:spacing w:before="60" w:after="60" w:line="276" w:lineRule="auto"/>
        <w:rPr>
          <w:rFonts w:ascii="KievitPro-Regular" w:hAnsi="KievitPro-Regular" w:cs="Arial"/>
          <w:i/>
        </w:rPr>
      </w:pPr>
      <w:r w:rsidRPr="00251C94">
        <w:rPr>
          <w:rFonts w:ascii="KievitPro-Regular" w:hAnsi="KievitPro-Regular"/>
          <w:i/>
        </w:rPr>
        <w:t>Allegato 12.9:</w:t>
      </w:r>
      <w:r w:rsidRPr="00251C94">
        <w:rPr>
          <w:rFonts w:ascii="KievitPro-Regular" w:hAnsi="KievitPro-Regular"/>
          <w:i/>
        </w:rPr>
        <w:tab/>
        <w:t>Lista di controllo per le dimissioni dal mandato</w:t>
      </w:r>
    </w:p>
    <w:p w14:paraId="5B55E27A" w14:textId="77777777" w:rsidR="00251C94" w:rsidRPr="00251C94" w:rsidRDefault="00251C94" w:rsidP="00251C94">
      <w:pPr>
        <w:pStyle w:val="berschrift1"/>
        <w:numPr>
          <w:ilvl w:val="0"/>
          <w:numId w:val="16"/>
        </w:numPr>
        <w:ind w:left="426" w:hanging="426"/>
        <w:rPr>
          <w:rFonts w:ascii="KievitPro-Regular" w:hAnsi="KievitPro-Regular"/>
          <w:b/>
          <w:sz w:val="24"/>
        </w:rPr>
      </w:pPr>
      <w:r w:rsidRPr="00251C94">
        <w:rPr>
          <w:rFonts w:ascii="KievitPro-Regular" w:hAnsi="KievitPro-Regular"/>
        </w:rPr>
        <w:br w:type="page"/>
      </w:r>
      <w:bookmarkStart w:id="22" w:name="_Toc236311853"/>
      <w:r w:rsidRPr="00251C94">
        <w:rPr>
          <w:rFonts w:ascii="KievitPro-Regular" w:hAnsi="KievitPro-Regular"/>
          <w:b/>
          <w:sz w:val="24"/>
        </w:rPr>
        <w:lastRenderedPageBreak/>
        <w:t>Risorse</w:t>
      </w:r>
      <w:bookmarkEnd w:id="22"/>
    </w:p>
    <w:p w14:paraId="08DE5557" w14:textId="77777777" w:rsidR="00251C94" w:rsidRPr="00251C94" w:rsidRDefault="00251C94" w:rsidP="00251C94">
      <w:pPr>
        <w:tabs>
          <w:tab w:val="right" w:pos="9405"/>
        </w:tabs>
        <w:spacing w:before="120" w:after="120"/>
        <w:jc w:val="both"/>
        <w:rPr>
          <w:rFonts w:ascii="KievitPro-Regular" w:hAnsi="KievitPro-Regular" w:cs="Arial"/>
        </w:rPr>
      </w:pPr>
      <w:r w:rsidRPr="00251C94">
        <w:rPr>
          <w:rFonts w:ascii="KievitPro-Regular" w:hAnsi="KievitPro-Regular"/>
        </w:rPr>
        <w:t>Tra le risorse necessarie per il sistema di gestione della qualità figurano in particolare:</w:t>
      </w:r>
    </w:p>
    <w:p w14:paraId="547C971D" w14:textId="77777777" w:rsidR="00251C94" w:rsidRPr="00251C94" w:rsidRDefault="00251C94" w:rsidP="00251C94">
      <w:pPr>
        <w:numPr>
          <w:ilvl w:val="0"/>
          <w:numId w:val="21"/>
        </w:numPr>
        <w:tabs>
          <w:tab w:val="num" w:pos="720"/>
          <w:tab w:val="right" w:pos="9405"/>
        </w:tabs>
        <w:spacing w:before="120" w:after="120" w:line="240" w:lineRule="auto"/>
        <w:jc w:val="both"/>
        <w:rPr>
          <w:rFonts w:ascii="KievitPro-Regular" w:hAnsi="KievitPro-Regular" w:cs="Arial"/>
        </w:rPr>
      </w:pPr>
      <w:r w:rsidRPr="00251C94">
        <w:rPr>
          <w:rFonts w:ascii="KievitPro-Regular" w:hAnsi="KievitPro-Regular"/>
          <w:b/>
        </w:rPr>
        <w:t>risorse umane</w:t>
      </w:r>
      <w:r w:rsidRPr="00251C94">
        <w:rPr>
          <w:rFonts w:ascii="KievitPro-Regular" w:hAnsi="KievitPro-Regular"/>
        </w:rPr>
        <w:t xml:space="preserve">, compresi collaboratori sufficientemente qualificati e idonei; </w:t>
      </w:r>
    </w:p>
    <w:p w14:paraId="4ABE0954" w14:textId="77777777" w:rsidR="00251C94" w:rsidRPr="00251C94" w:rsidRDefault="00251C94" w:rsidP="00251C94">
      <w:pPr>
        <w:numPr>
          <w:ilvl w:val="0"/>
          <w:numId w:val="21"/>
        </w:numPr>
        <w:tabs>
          <w:tab w:val="num" w:pos="720"/>
          <w:tab w:val="right" w:pos="9405"/>
        </w:tabs>
        <w:spacing w:before="120" w:after="120" w:line="240" w:lineRule="auto"/>
        <w:jc w:val="both"/>
        <w:rPr>
          <w:rFonts w:ascii="KievitPro-Regular" w:hAnsi="KievitPro-Regular" w:cs="Arial"/>
        </w:rPr>
      </w:pPr>
      <w:r w:rsidRPr="00251C94">
        <w:rPr>
          <w:rFonts w:ascii="KievitPro-Regular" w:hAnsi="KievitPro-Regular"/>
          <w:b/>
        </w:rPr>
        <w:t>risorse tecnologiche</w:t>
      </w:r>
      <w:r w:rsidRPr="00251C94">
        <w:rPr>
          <w:rFonts w:ascii="KievitPro-Regular" w:hAnsi="KievitPro-Regular"/>
        </w:rPr>
        <w:t xml:space="preserve">, ad esempio sistemi informatici, soluzioni software o applicazioni digitali; </w:t>
      </w:r>
    </w:p>
    <w:p w14:paraId="7778B487" w14:textId="77777777" w:rsidR="00251C94" w:rsidRPr="00251C94" w:rsidRDefault="00251C94" w:rsidP="00251C94">
      <w:pPr>
        <w:numPr>
          <w:ilvl w:val="0"/>
          <w:numId w:val="21"/>
        </w:numPr>
        <w:tabs>
          <w:tab w:val="num" w:pos="720"/>
          <w:tab w:val="right" w:pos="9405"/>
        </w:tabs>
        <w:spacing w:before="120" w:after="120" w:line="240" w:lineRule="auto"/>
        <w:jc w:val="both"/>
        <w:rPr>
          <w:rFonts w:ascii="KievitPro-Regular" w:hAnsi="KievitPro-Regular" w:cs="Arial"/>
        </w:rPr>
      </w:pPr>
      <w:r w:rsidRPr="00251C94">
        <w:rPr>
          <w:rFonts w:ascii="KievitPro-Regular" w:hAnsi="KievitPro-Regular"/>
          <w:b/>
        </w:rPr>
        <w:t>risorse intellettuali</w:t>
      </w:r>
      <w:r w:rsidRPr="00251C94">
        <w:rPr>
          <w:rFonts w:ascii="KievitPro-Regular" w:hAnsi="KievitPro-Regular"/>
        </w:rPr>
        <w:t xml:space="preserve">, quali linee guida interne, metodi, strumenti di lavoro, processi o guide tecniche. </w:t>
      </w:r>
    </w:p>
    <w:p w14:paraId="6CB29727" w14:textId="77777777" w:rsidR="00251C94" w:rsidRPr="00251C94" w:rsidRDefault="00251C94" w:rsidP="00251C94">
      <w:pPr>
        <w:tabs>
          <w:tab w:val="right" w:pos="9405"/>
        </w:tabs>
        <w:spacing w:before="120" w:after="120"/>
        <w:jc w:val="both"/>
        <w:rPr>
          <w:rFonts w:ascii="KievitPro-Regular" w:hAnsi="KievitPro-Regular" w:cs="Arial"/>
        </w:rPr>
      </w:pPr>
      <w:r w:rsidRPr="00251C94">
        <w:rPr>
          <w:rFonts w:ascii="KievitPro-Regular" w:hAnsi="KievitPro-Regular"/>
        </w:rPr>
        <w:t>Inoltre, la disponibilità di risorse finanziarie adeguate costituisce un presupposto essenziale per la creazione, lo sviluppo e il mantenimento di tali risorse, nonché per l'efficacia complessiva del sistema di gestione della qualità.</w:t>
      </w:r>
    </w:p>
    <w:p w14:paraId="1A5D939A" w14:textId="77777777" w:rsidR="00251C94" w:rsidRPr="00251C94" w:rsidRDefault="00251C94" w:rsidP="00251C94">
      <w:pPr>
        <w:tabs>
          <w:tab w:val="right" w:pos="9405"/>
        </w:tabs>
        <w:jc w:val="both"/>
        <w:rPr>
          <w:rFonts w:ascii="KievitPro-Regular" w:hAnsi="KievitPro-Regular" w:cs="Arial"/>
          <w:b/>
        </w:rPr>
      </w:pPr>
      <w:r w:rsidRPr="00251C94">
        <w:rPr>
          <w:rFonts w:ascii="KievitPro-Regular" w:hAnsi="KievitPro-Regular"/>
        </w:rPr>
        <w:t>Le risorse necessarie possono essere disponibili all'interno della stessa impresa di revisione oppure essere reperite esternamente, ad esempio tramite una rete, imprese vicine o fornitori di servizi esterni.</w:t>
      </w:r>
    </w:p>
    <w:p w14:paraId="12F44C19" w14:textId="77777777" w:rsidR="00251C94" w:rsidRPr="00DD452F" w:rsidRDefault="00251C94" w:rsidP="00251C94">
      <w:pPr>
        <w:pStyle w:val="Listenabsatz"/>
        <w:numPr>
          <w:ilvl w:val="1"/>
          <w:numId w:val="16"/>
        </w:numPr>
        <w:spacing w:before="240" w:after="120" w:line="278" w:lineRule="auto"/>
        <w:contextualSpacing w:val="0"/>
        <w:rPr>
          <w:rFonts w:ascii="KievitPro-Regular" w:hAnsi="KievitPro-Regular" w:cs="Arial"/>
          <w:b/>
          <w:bCs/>
          <w:sz w:val="22"/>
          <w:szCs w:val="22"/>
        </w:rPr>
      </w:pPr>
      <w:r w:rsidRPr="00DD452F">
        <w:rPr>
          <w:rFonts w:ascii="KievitPro-Regular" w:hAnsi="KievitPro-Regular"/>
          <w:b/>
          <w:sz w:val="22"/>
          <w:szCs w:val="22"/>
        </w:rPr>
        <w:t>Personale</w:t>
      </w:r>
    </w:p>
    <w:p w14:paraId="411803B2" w14:textId="77777777" w:rsidR="00251C94" w:rsidRPr="00251C94" w:rsidRDefault="00251C94" w:rsidP="00251C94">
      <w:pPr>
        <w:pStyle w:val="Listenabsatz"/>
        <w:numPr>
          <w:ilvl w:val="2"/>
          <w:numId w:val="16"/>
        </w:numPr>
        <w:spacing w:before="240" w:after="120" w:line="278" w:lineRule="auto"/>
        <w:ind w:left="709"/>
        <w:contextualSpacing w:val="0"/>
        <w:jc w:val="both"/>
        <w:rPr>
          <w:rFonts w:ascii="KievitPro-Regular" w:hAnsi="KievitPro-Regular" w:cs="Arial"/>
          <w:b/>
          <w:bCs/>
        </w:rPr>
      </w:pPr>
      <w:r w:rsidRPr="00251C94">
        <w:rPr>
          <w:rFonts w:ascii="KievitPro-Regular" w:hAnsi="KievitPro-Regular"/>
          <w:b/>
        </w:rPr>
        <w:t>Regolamenti</w:t>
      </w:r>
    </w:p>
    <w:p w14:paraId="5152885F" w14:textId="77777777" w:rsidR="00251C94" w:rsidRDefault="00251C94" w:rsidP="00251C94">
      <w:pPr>
        <w:jc w:val="both"/>
        <w:rPr>
          <w:rFonts w:ascii="KievitPro-Regular" w:hAnsi="KievitPro-Regular"/>
        </w:rPr>
      </w:pPr>
      <w:r w:rsidRPr="00251C94">
        <w:rPr>
          <w:rFonts w:ascii="KievitPro-Regular" w:hAnsi="KievitPro-Regular"/>
        </w:rPr>
        <w:t>I nostri collaboratori si distinguono per le loro elevate competenze. Sosteniamo i nostri collaboratori e richiediamo loro un costante perfezionamento professionale e una continua crescita personale. La formazione e il perfezionamento del personale, a tutti i livelli, sono costanti e mirati. Le esigenze in materia di formazione e perfezionamento vengono discusse nell'ambito della valutazione annuale delle prestazioni. A tal fine, seguiamo le linee guida sul perfezionamento e ci atteniamo alle indicazioni delle associazioni di categoria.</w:t>
      </w:r>
    </w:p>
    <w:p w14:paraId="3E9FEF6F" w14:textId="77777777" w:rsidR="00251C94" w:rsidRPr="00251C94" w:rsidRDefault="00251C94" w:rsidP="00251C94">
      <w:pPr>
        <w:jc w:val="both"/>
        <w:rPr>
          <w:rFonts w:ascii="KievitPro-Regular" w:hAnsi="KievitPro-Regular" w:cs="Arial"/>
        </w:rPr>
      </w:pPr>
    </w:p>
    <w:p w14:paraId="66469401" w14:textId="77777777" w:rsidR="00251C94" w:rsidRPr="00251C94" w:rsidRDefault="00251C94" w:rsidP="00251C94">
      <w:pPr>
        <w:jc w:val="both"/>
        <w:rPr>
          <w:rFonts w:ascii="KievitPro-Regular" w:hAnsi="KievitPro-Regular" w:cs="Arial"/>
        </w:rPr>
      </w:pPr>
      <w:r w:rsidRPr="00251C94">
        <w:rPr>
          <w:rFonts w:ascii="KievitPro-Regular" w:hAnsi="KievitPro-Regular"/>
        </w:rPr>
        <w:t>Ci assicuriamo che i compiti e le responsabilità vengano assegnati in base alle capacità e alle competenze dei collaboratori. Nell'assegnazione dei mandati si presta attenzione sia a garantire un'adeguata continuità nell'assistenza al mandante, sia al rispetto di eventuali disposizioni di legge o normative in materia di rotazione. In questo modo garantiamo che i mandati vengano eseguiti in conformità con gli standard professionali e con i requisiti legali e normativi applicabili, consentendo ai responsabili dei mandati di redigere i rapporti di revisione in modo che siano adeguati alle circostanze del caso.</w:t>
      </w:r>
    </w:p>
    <w:p w14:paraId="3CA8CEFE" w14:textId="77777777" w:rsidR="00251C94" w:rsidRPr="00251C94" w:rsidRDefault="00251C94" w:rsidP="00251C94">
      <w:pPr>
        <w:pStyle w:val="Listenabsatz"/>
        <w:numPr>
          <w:ilvl w:val="2"/>
          <w:numId w:val="16"/>
        </w:numPr>
        <w:spacing w:before="240" w:after="120" w:line="278" w:lineRule="auto"/>
        <w:ind w:left="709"/>
        <w:contextualSpacing w:val="0"/>
        <w:jc w:val="both"/>
        <w:rPr>
          <w:rFonts w:ascii="KievitPro-Regular" w:hAnsi="KievitPro-Regular" w:cs="Arial"/>
          <w:b/>
          <w:bCs/>
        </w:rPr>
      </w:pPr>
      <w:r w:rsidRPr="00251C94">
        <w:rPr>
          <w:rFonts w:ascii="KievitPro-Regular" w:hAnsi="KievitPro-Regular"/>
          <w:b/>
        </w:rPr>
        <w:t>Misure</w:t>
      </w:r>
    </w:p>
    <w:p w14:paraId="3319BDF1" w14:textId="77777777" w:rsidR="00251C94" w:rsidRDefault="00251C94" w:rsidP="00251C94">
      <w:pPr>
        <w:jc w:val="both"/>
        <w:rPr>
          <w:rFonts w:ascii="KievitPro-Regular" w:hAnsi="KievitPro-Regular"/>
        </w:rPr>
      </w:pPr>
      <w:r w:rsidRPr="00251C94">
        <w:rPr>
          <w:rFonts w:ascii="KievitPro-Regular" w:hAnsi="KievitPro-Regular"/>
        </w:rPr>
        <w:t>Il responsabile delle risorse umane è incaricato dell'attuazione e dell'applicazione corrente delle norme e delle procedure relative al personale. Garantisce che siano conformi alle norme vigenti in materia di diritto del lavoro, nonché ai requisiti organizzativi e professionali dell'impresa di revisione.</w:t>
      </w:r>
    </w:p>
    <w:p w14:paraId="66AC7F1E" w14:textId="77777777" w:rsidR="00251C94" w:rsidRPr="00251C94" w:rsidRDefault="00251C94" w:rsidP="00251C94">
      <w:pPr>
        <w:jc w:val="both"/>
        <w:rPr>
          <w:rFonts w:ascii="KievitPro-Regular" w:hAnsi="KievitPro-Regular" w:cs="Arial"/>
        </w:rPr>
      </w:pPr>
    </w:p>
    <w:p w14:paraId="7D988DF4" w14:textId="77777777" w:rsidR="00251C94" w:rsidRDefault="00251C94" w:rsidP="00251C94">
      <w:pPr>
        <w:jc w:val="both"/>
        <w:rPr>
          <w:rFonts w:ascii="KievitPro-Regular" w:hAnsi="KievitPro-Regular"/>
        </w:rPr>
      </w:pPr>
      <w:r w:rsidRPr="00251C94">
        <w:rPr>
          <w:rFonts w:ascii="KievitPro-Regular" w:hAnsi="KievitPro-Regular"/>
        </w:rPr>
        <w:t>Nel settore della revisione dei conti vengono impiegati o assunti solo collaboratori che dispongono delle qualifiche professionali, delle competenze e dei requisiti personali necessari per lo svolgimento corretto dei propri compiti.</w:t>
      </w:r>
    </w:p>
    <w:p w14:paraId="3BDB51C8" w14:textId="77777777" w:rsidR="00251C94" w:rsidRPr="00251C94" w:rsidRDefault="00251C94" w:rsidP="00251C94">
      <w:pPr>
        <w:jc w:val="both"/>
        <w:rPr>
          <w:rFonts w:ascii="KievitPro-Regular" w:hAnsi="KievitPro-Regular" w:cs="Arial"/>
        </w:rPr>
      </w:pPr>
    </w:p>
    <w:p w14:paraId="608ACDD0" w14:textId="77777777" w:rsidR="00251C94" w:rsidRDefault="00251C94" w:rsidP="00251C94">
      <w:pPr>
        <w:jc w:val="both"/>
        <w:rPr>
          <w:rFonts w:ascii="KievitPro-Regular" w:hAnsi="KievitPro-Regular"/>
        </w:rPr>
      </w:pPr>
      <w:r w:rsidRPr="00251C94">
        <w:rPr>
          <w:rFonts w:ascii="KievitPro-Regular" w:hAnsi="KievitPro-Regular"/>
        </w:rPr>
        <w:t xml:space="preserve">I collaboratori vengono valutati dai propri superiori almeno una volta all'anno nell'ambito di una valutazione delle prestazioni e della crescita. In questo contesto, oltre ai criteri economici, vengono presi in considerazione in particolare gli aspetti qualitativi dell'esercizio della professione. Insieme ai collaboratori vengono definiti e documentati gli obiettivi, le misure di crescita e le esigenze in materia di formazione e perfezionamento. </w:t>
      </w:r>
    </w:p>
    <w:p w14:paraId="2C1F27BB" w14:textId="77777777" w:rsidR="00251C94" w:rsidRPr="00251C94" w:rsidRDefault="00251C94" w:rsidP="00251C94">
      <w:pPr>
        <w:jc w:val="both"/>
        <w:rPr>
          <w:rFonts w:ascii="KievitPro-Regular" w:hAnsi="KievitPro-Regular" w:cs="Arial"/>
        </w:rPr>
      </w:pPr>
    </w:p>
    <w:p w14:paraId="48068E49" w14:textId="77777777" w:rsidR="00251C94" w:rsidRDefault="00251C94" w:rsidP="00251C94">
      <w:pPr>
        <w:jc w:val="both"/>
        <w:rPr>
          <w:rFonts w:ascii="KievitPro-Regular" w:hAnsi="KievitPro-Regular"/>
        </w:rPr>
      </w:pPr>
      <w:r w:rsidRPr="00251C94">
        <w:rPr>
          <w:rFonts w:ascii="KievitPro-Regular" w:hAnsi="KievitPro-Regular"/>
        </w:rPr>
        <w:t>Il personale specializzato viene costantemente informato, in base ai propri compiti e alle proprie responsabilità, sugli sviluppi legislativi, normativi, tecnici e interni e riceve una formazione di perfezionamento attraverso corsi interni e/o esterni.</w:t>
      </w:r>
    </w:p>
    <w:p w14:paraId="43506E4A" w14:textId="77777777" w:rsidR="00251C94" w:rsidRPr="00251C94" w:rsidRDefault="00251C94" w:rsidP="00251C94">
      <w:pPr>
        <w:jc w:val="both"/>
        <w:rPr>
          <w:rFonts w:ascii="KievitPro-Regular" w:hAnsi="KievitPro-Regular" w:cs="Arial"/>
        </w:rPr>
      </w:pPr>
    </w:p>
    <w:p w14:paraId="3E8D6BAC" w14:textId="77777777" w:rsidR="00251C94" w:rsidRPr="00251C94" w:rsidRDefault="00251C94" w:rsidP="00251C94">
      <w:pPr>
        <w:jc w:val="both"/>
        <w:rPr>
          <w:rFonts w:ascii="KievitPro-Regular" w:hAnsi="KievitPro-Regular" w:cs="Arial"/>
        </w:rPr>
      </w:pPr>
      <w:r w:rsidRPr="00251C94">
        <w:rPr>
          <w:rFonts w:ascii="KievitPro-Regular" w:hAnsi="KievitPro-Regular"/>
        </w:rPr>
        <w:t xml:space="preserve">A dimostrazione del rispetto dei requisiti di perfezionamento fungono, in particolare, gli estratti o le sintesi ricavati dai sistemi di registrazione di FIDUCIARI|SUISSE e/o EXPERTsuisse. Qualora non si ricorra a una soluzione associativa, è necessario tenere un registro interno equivalente contenente informazioni relative alla data, </w:t>
      </w:r>
      <w:r w:rsidRPr="00251C94">
        <w:rPr>
          <w:rFonts w:ascii="KievitPro-Regular" w:hAnsi="KievitPro-Regular"/>
        </w:rPr>
        <w:lastRenderedPageBreak/>
        <w:t>alla denominazione del corso, all'organizzatore e alle ore o ai giorni accreditabili</w:t>
      </w:r>
      <w:r w:rsidRPr="00251C94">
        <w:rPr>
          <w:rStyle w:val="Funotenzeichen"/>
          <w:rFonts w:ascii="KievitPro-Regular" w:hAnsi="KievitPro-Regular" w:cs="Arial"/>
          <w:i/>
          <w:lang w:val="de-CH"/>
        </w:rPr>
        <w:footnoteReference w:id="2"/>
      </w:r>
      <w:r w:rsidRPr="00251C94">
        <w:rPr>
          <w:rFonts w:ascii="KievitPro-Regular" w:hAnsi="KievitPro-Regular"/>
        </w:rPr>
        <w:t>. I riepiloghi del perfezionamento, insieme alle relative attestazioni di frequenza e di partecipazione, vengono verificati, vistati e documentati almeno una volta all'anno secondo il principio del doppio controllo</w:t>
      </w:r>
      <w:r w:rsidRPr="00251C94">
        <w:rPr>
          <w:rStyle w:val="Funotenzeichen"/>
          <w:rFonts w:ascii="KievitPro-Regular" w:hAnsi="KievitPro-Regular" w:cs="Arial"/>
          <w:i/>
          <w:lang w:val="de-CH"/>
        </w:rPr>
        <w:footnoteReference w:id="3"/>
      </w:r>
      <w:r w:rsidRPr="00251C94">
        <w:rPr>
          <w:rFonts w:ascii="KievitPro-Regular" w:hAnsi="KievitPro-Regular"/>
        </w:rPr>
        <w:t xml:space="preserve">. </w:t>
      </w:r>
    </w:p>
    <w:p w14:paraId="52688791" w14:textId="77777777" w:rsidR="00251C94" w:rsidRPr="00251C94" w:rsidRDefault="00251C94" w:rsidP="00251C94">
      <w:pPr>
        <w:jc w:val="both"/>
        <w:rPr>
          <w:rFonts w:ascii="KievitPro-Regular" w:hAnsi="KievitPro-Regular" w:cs="Arial"/>
        </w:rPr>
      </w:pPr>
      <w:r w:rsidRPr="00251C94">
        <w:rPr>
          <w:rFonts w:ascii="KievitPro-Regular" w:hAnsi="KievitPro-Regular"/>
        </w:rPr>
        <w:t>L'impresa di revisione garantisce che le risorse umane, tecniche, tecnologiche e finanziarie necessarie siano messe a disposizione tempestivamente, affinché possano essere soddisfatti i requisiti di qualità.</w:t>
      </w:r>
    </w:p>
    <w:p w14:paraId="0F25969A" w14:textId="77777777" w:rsidR="00251C94" w:rsidRDefault="00251C94" w:rsidP="00251C94">
      <w:pPr>
        <w:jc w:val="both"/>
        <w:rPr>
          <w:rFonts w:ascii="KievitPro-Regular" w:hAnsi="KievitPro-Regular"/>
        </w:rPr>
      </w:pPr>
      <w:r w:rsidRPr="00251C94">
        <w:rPr>
          <w:rFonts w:ascii="KievitPro-Regular" w:hAnsi="KievitPro-Regular"/>
        </w:rPr>
        <w:t>Da tutti i collaboratori ci si aspetta che, con il loro comportamento e il loro modo di lavorare, sostengano la visione della qualità dell'impresa di revisione, sviluppino costantemente le proprie competenze professionali e svolgano i compiti loro affidati con la dovuta diligenza.</w:t>
      </w:r>
    </w:p>
    <w:p w14:paraId="4C810845" w14:textId="77777777" w:rsidR="00251C94" w:rsidRPr="00251C94" w:rsidRDefault="00251C94" w:rsidP="00251C94">
      <w:pPr>
        <w:jc w:val="both"/>
        <w:rPr>
          <w:rFonts w:ascii="KievitPro-Regular" w:hAnsi="KievitPro-Regular" w:cs="Arial"/>
        </w:rPr>
      </w:pPr>
    </w:p>
    <w:p w14:paraId="300F4C04" w14:textId="77777777" w:rsidR="00251C94" w:rsidRPr="00251C94" w:rsidRDefault="00251C94" w:rsidP="00251C94">
      <w:pPr>
        <w:tabs>
          <w:tab w:val="left" w:pos="1560"/>
          <w:tab w:val="right" w:pos="9405"/>
        </w:tabs>
        <w:spacing w:before="60" w:after="60" w:line="240" w:lineRule="auto"/>
        <w:rPr>
          <w:rFonts w:ascii="KievitPro-Regular" w:hAnsi="KievitPro-Regular" w:cs="Arial"/>
          <w:i/>
        </w:rPr>
      </w:pPr>
      <w:r w:rsidRPr="00251C94">
        <w:rPr>
          <w:rFonts w:ascii="KievitPro-Regular" w:hAnsi="KievitPro-Regular"/>
          <w:i/>
        </w:rPr>
        <w:t xml:space="preserve">Allegato 12.10: </w:t>
      </w:r>
      <w:r w:rsidRPr="00251C94">
        <w:rPr>
          <w:rFonts w:ascii="KievitPro-Regular" w:hAnsi="KievitPro-Regular"/>
          <w:i/>
        </w:rPr>
        <w:tab/>
        <w:t>Valutazione periodica dei dipendenti</w:t>
      </w:r>
    </w:p>
    <w:p w14:paraId="55E40686" w14:textId="77777777" w:rsidR="00251C94" w:rsidRPr="00251C94" w:rsidRDefault="00251C94" w:rsidP="00251C94">
      <w:pPr>
        <w:tabs>
          <w:tab w:val="left" w:pos="1560"/>
          <w:tab w:val="right" w:pos="9405"/>
        </w:tabs>
        <w:spacing w:before="60" w:after="60" w:line="240" w:lineRule="auto"/>
        <w:rPr>
          <w:rFonts w:ascii="KievitPro-Regular" w:hAnsi="KievitPro-Regular" w:cs="Arial"/>
          <w:i/>
        </w:rPr>
      </w:pPr>
      <w:r w:rsidRPr="00251C94">
        <w:rPr>
          <w:rFonts w:ascii="KievitPro-Regular" w:hAnsi="KievitPro-Regular"/>
          <w:i/>
        </w:rPr>
        <w:t>Allegato 12.11:</w:t>
      </w:r>
      <w:r w:rsidRPr="00251C94">
        <w:rPr>
          <w:rFonts w:ascii="KievitPro-Regular" w:hAnsi="KievitPro-Regular"/>
          <w:i/>
        </w:rPr>
        <w:tab/>
        <w:t>Modello di verifica del perfezionamento a livello di impresa</w:t>
      </w:r>
    </w:p>
    <w:p w14:paraId="27DB310D" w14:textId="77777777" w:rsidR="00251C94" w:rsidRPr="00251C94" w:rsidRDefault="00251C94" w:rsidP="00251C94">
      <w:pPr>
        <w:pStyle w:val="Listenabsatz"/>
        <w:tabs>
          <w:tab w:val="right" w:pos="9405"/>
        </w:tabs>
        <w:ind w:left="360"/>
        <w:jc w:val="both"/>
        <w:rPr>
          <w:rFonts w:ascii="KievitPro-Regular" w:hAnsi="KievitPro-Regular" w:cs="Arial"/>
        </w:rPr>
      </w:pPr>
    </w:p>
    <w:p w14:paraId="1EF5888E" w14:textId="77777777" w:rsidR="00251C94" w:rsidRPr="00251C94" w:rsidRDefault="00251C94" w:rsidP="00251C94">
      <w:pPr>
        <w:pStyle w:val="Listenabsatz"/>
        <w:numPr>
          <w:ilvl w:val="1"/>
          <w:numId w:val="16"/>
        </w:numPr>
        <w:spacing w:before="240" w:after="120" w:line="278" w:lineRule="auto"/>
        <w:contextualSpacing w:val="0"/>
        <w:rPr>
          <w:rFonts w:ascii="KievitPro-Regular" w:hAnsi="KievitPro-Regular" w:cs="Arial"/>
          <w:b/>
        </w:rPr>
      </w:pPr>
      <w:r w:rsidRPr="00251C94">
        <w:rPr>
          <w:rFonts w:ascii="KievitPro-Regular" w:hAnsi="KievitPro-Regular"/>
          <w:b/>
        </w:rPr>
        <w:t>Risorse tecnologiche</w:t>
      </w:r>
    </w:p>
    <w:p w14:paraId="4C847857" w14:textId="77777777" w:rsidR="00251C94" w:rsidRPr="00251C94" w:rsidRDefault="00251C94" w:rsidP="00251C94">
      <w:pPr>
        <w:jc w:val="both"/>
        <w:rPr>
          <w:rFonts w:ascii="KievitPro-Regular" w:hAnsi="KievitPro-Regular" w:cs="Arial"/>
        </w:rPr>
      </w:pPr>
      <w:r w:rsidRPr="00251C94">
        <w:rPr>
          <w:rFonts w:ascii="KievitPro-Regular" w:hAnsi="KievitPro-Regular"/>
        </w:rPr>
        <w:t>A supporto dei processi aziendali e dell'attività di revisione, l'impresa di revisione si avvale di risorse tecnologiche e sistemi informatici adeguati. Tra questi figurano in particolare i software standard per i processi d'ufficio e di documentazione, nonché applicazioni specializzate per lo svolgimento e la documentazione delle attività di revisione.</w:t>
      </w:r>
    </w:p>
    <w:p w14:paraId="110989C2" w14:textId="77777777" w:rsidR="00251C94" w:rsidRPr="00251C94" w:rsidRDefault="00251C94" w:rsidP="00251C94">
      <w:pPr>
        <w:jc w:val="both"/>
        <w:rPr>
          <w:rFonts w:ascii="KievitPro-Regular" w:hAnsi="KievitPro-Regular" w:cs="Arial"/>
        </w:rPr>
      </w:pPr>
      <w:r w:rsidRPr="00251C94">
        <w:rPr>
          <w:rFonts w:ascii="KievitPro-Regular" w:hAnsi="KievitPro-Regular"/>
        </w:rPr>
        <w:t>L'infrastruttura IT è protetta da adeguate misure di sicurezza tecniche e organizzative. Tra queste figurano in particolare i sistemi di accesso e di autorizzazione, la protezione tramite password, i backup dei dati, i firewall e altre misure volte a garantire la riservatezza, l'integrità e la disponibilità dei dati.</w:t>
      </w:r>
    </w:p>
    <w:p w14:paraId="35F69D63" w14:textId="77777777" w:rsidR="00251C94" w:rsidRPr="00251C94" w:rsidRDefault="00251C94" w:rsidP="00251C94">
      <w:pPr>
        <w:jc w:val="both"/>
        <w:rPr>
          <w:rFonts w:ascii="KievitPro-Regular" w:hAnsi="KievitPro-Regular" w:cs="Arial"/>
        </w:rPr>
      </w:pPr>
      <w:r w:rsidRPr="00251C94">
        <w:rPr>
          <w:rFonts w:ascii="KievitPro-Regular" w:hAnsi="KievitPro-Regular"/>
        </w:rPr>
        <w:t>Per lo svolgimento e la documentazione dei mandati di revisione viene utilizzato un software di revisione adeguato. I sistemi e le applicazioni utilizzati vengono controllati regolarmente e, se necessario, aggiornati.</w:t>
      </w:r>
    </w:p>
    <w:p w14:paraId="5100A47F" w14:textId="77777777" w:rsidR="00251C94" w:rsidRPr="00251C94" w:rsidRDefault="00251C94" w:rsidP="00251C94">
      <w:pPr>
        <w:pStyle w:val="Listenabsatz"/>
        <w:numPr>
          <w:ilvl w:val="1"/>
          <w:numId w:val="16"/>
        </w:numPr>
        <w:spacing w:before="240" w:after="120" w:line="278" w:lineRule="auto"/>
        <w:contextualSpacing w:val="0"/>
        <w:rPr>
          <w:rFonts w:ascii="KievitPro-Regular" w:hAnsi="KievitPro-Regular" w:cs="Arial"/>
          <w:b/>
          <w:bCs/>
        </w:rPr>
      </w:pPr>
      <w:r w:rsidRPr="00251C94">
        <w:rPr>
          <w:rFonts w:ascii="KievitPro-Regular" w:hAnsi="KievitPro-Regular"/>
          <w:b/>
        </w:rPr>
        <w:t>Risorse intellettuali</w:t>
      </w:r>
    </w:p>
    <w:p w14:paraId="20B38B8F" w14:textId="77777777" w:rsidR="00251C94" w:rsidRPr="00251C94" w:rsidRDefault="00251C94" w:rsidP="00251C94">
      <w:pPr>
        <w:jc w:val="both"/>
        <w:rPr>
          <w:rFonts w:ascii="KievitPro-Regular" w:hAnsi="KievitPro-Regular" w:cs="Arial"/>
        </w:rPr>
      </w:pPr>
      <w:r w:rsidRPr="00251C94">
        <w:rPr>
          <w:rFonts w:ascii="KievitPro-Regular" w:hAnsi="KievitPro-Regular"/>
        </w:rPr>
        <w:t>Per garantire un esercizio della professione a regola d'arte e orientato alla qualità, l'impresa di revisione dispone di diverse risorse intellettuali. Tra queste figurano in particolare le direttive interne, gli strumenti di lavoro, i modelli, le liste di controllo, la letteratura specialistica, le pubblicazioni e le comunicazioni delle associazioni di categoria, nonché le basi legislative e normative pertinenti, ad esempio il Codice delle obbligazioni svizzero e le Swiss GAAP RPC.</w:t>
      </w:r>
    </w:p>
    <w:p w14:paraId="22FDA440" w14:textId="6816AF22" w:rsidR="00251C94" w:rsidRDefault="00251C94" w:rsidP="00251C94">
      <w:pPr>
        <w:jc w:val="both"/>
        <w:rPr>
          <w:rFonts w:ascii="KievitPro-Regular" w:hAnsi="KievitPro-Regular"/>
        </w:rPr>
      </w:pPr>
      <w:r w:rsidRPr="00251C94">
        <w:rPr>
          <w:rFonts w:ascii="KievitPro-Regular" w:hAnsi="KievitPro-Regular"/>
        </w:rPr>
        <w:t>Le informazioni tecniche rilevanti vengono messe a disposizione dei collaboratori in forma adeguata, sia in formato elettronico che cartaceo. Il responsabile della gestione della qualità e i collaboratori si assicurano che la documentazione, i modelli e le linee guida tecniche utilizzati siano aggiornati. I contenuti obsoleti o incompleti individuati devono essere segnalati e aggiornati di conseguenza.</w:t>
      </w:r>
    </w:p>
    <w:p w14:paraId="4949A050" w14:textId="77777777" w:rsidR="00251C94" w:rsidRDefault="00251C94">
      <w:pPr>
        <w:spacing w:line="240" w:lineRule="auto"/>
        <w:rPr>
          <w:rFonts w:ascii="KievitPro-Regular" w:hAnsi="KievitPro-Regular"/>
        </w:rPr>
      </w:pPr>
      <w:r>
        <w:rPr>
          <w:rFonts w:ascii="KievitPro-Regular" w:hAnsi="KievitPro-Regular"/>
        </w:rPr>
        <w:br w:type="page"/>
      </w:r>
    </w:p>
    <w:p w14:paraId="7792E0AC" w14:textId="77777777" w:rsidR="00251C94" w:rsidRPr="00251C94" w:rsidRDefault="00251C94" w:rsidP="00251C94">
      <w:pPr>
        <w:pStyle w:val="berschrift1"/>
        <w:numPr>
          <w:ilvl w:val="0"/>
          <w:numId w:val="16"/>
        </w:numPr>
        <w:spacing w:before="240"/>
        <w:ind w:left="426" w:hanging="426"/>
        <w:rPr>
          <w:rFonts w:ascii="KievitPro-Regular" w:hAnsi="KievitPro-Regular"/>
          <w:b/>
          <w:sz w:val="24"/>
        </w:rPr>
      </w:pPr>
      <w:bookmarkStart w:id="23" w:name="_Toc331508578"/>
      <w:bookmarkStart w:id="24" w:name="_Toc331510679"/>
      <w:bookmarkStart w:id="25" w:name="_Toc359071932"/>
      <w:bookmarkStart w:id="26" w:name="_Toc236311854"/>
      <w:r w:rsidRPr="00251C94">
        <w:rPr>
          <w:rFonts w:ascii="KievitPro-Regular" w:hAnsi="KievitPro-Regular"/>
          <w:b/>
          <w:sz w:val="24"/>
        </w:rPr>
        <w:lastRenderedPageBreak/>
        <w:t>Esecuzione dei mandati</w:t>
      </w:r>
      <w:bookmarkEnd w:id="23"/>
      <w:bookmarkEnd w:id="24"/>
      <w:bookmarkEnd w:id="25"/>
      <w:bookmarkEnd w:id="26"/>
    </w:p>
    <w:p w14:paraId="58C213E1" w14:textId="77777777" w:rsidR="00251C94" w:rsidRPr="00251C94" w:rsidRDefault="00251C94" w:rsidP="00251C94">
      <w:pPr>
        <w:pStyle w:val="berschrift2"/>
        <w:numPr>
          <w:ilvl w:val="1"/>
          <w:numId w:val="16"/>
        </w:numPr>
        <w:spacing w:before="360" w:after="240"/>
        <w:ind w:left="425" w:hanging="425"/>
        <w:rPr>
          <w:rFonts w:ascii="KievitPro-Regular" w:hAnsi="KievitPro-Regular"/>
          <w:b/>
          <w:sz w:val="22"/>
          <w:szCs w:val="24"/>
        </w:rPr>
      </w:pPr>
      <w:bookmarkStart w:id="27" w:name="_Toc236311855"/>
      <w:r w:rsidRPr="00251C94">
        <w:rPr>
          <w:rFonts w:ascii="KievitPro-Regular" w:hAnsi="KievitPro-Regular"/>
          <w:b/>
          <w:sz w:val="22"/>
        </w:rPr>
        <w:t>Regolamenti e misure</w:t>
      </w:r>
      <w:bookmarkEnd w:id="27"/>
    </w:p>
    <w:p w14:paraId="28818012" w14:textId="77777777" w:rsidR="00251C94" w:rsidRPr="00251C94" w:rsidRDefault="00251C94" w:rsidP="00251C94">
      <w:pPr>
        <w:pStyle w:val="berschrift2"/>
        <w:numPr>
          <w:ilvl w:val="2"/>
          <w:numId w:val="16"/>
        </w:numPr>
        <w:tabs>
          <w:tab w:val="clear" w:pos="709"/>
          <w:tab w:val="left" w:pos="0"/>
        </w:tabs>
        <w:spacing w:after="240"/>
        <w:ind w:left="0" w:firstLine="0"/>
        <w:rPr>
          <w:rFonts w:ascii="KievitPro-Regular" w:hAnsi="KievitPro-Regular"/>
          <w:b/>
          <w:sz w:val="20"/>
          <w:szCs w:val="20"/>
        </w:rPr>
      </w:pPr>
      <w:r w:rsidRPr="00251C94">
        <w:rPr>
          <w:rFonts w:ascii="KievitPro-Regular" w:hAnsi="KievitPro-Regular"/>
          <w:b/>
          <w:sz w:val="20"/>
          <w:szCs w:val="20"/>
        </w:rPr>
        <w:t>Regolamenti</w:t>
      </w:r>
    </w:p>
    <w:p w14:paraId="0B1B0A82" w14:textId="77777777" w:rsidR="00251C94" w:rsidRDefault="00251C94" w:rsidP="00251C94">
      <w:pPr>
        <w:jc w:val="both"/>
        <w:rPr>
          <w:rFonts w:ascii="KievitPro-Regular" w:hAnsi="KievitPro-Regular"/>
        </w:rPr>
      </w:pPr>
      <w:r w:rsidRPr="00251C94">
        <w:rPr>
          <w:rFonts w:ascii="KievitPro-Regular" w:hAnsi="KievitPro-Regular"/>
        </w:rPr>
        <w:t>Pianifichiamo e monitoriamo i nostri mandati in modo da garantire che siano eseguiti correttamente e portati a termine tempestivamente, nel rispetto dei principi di deontologia. I mandati di revisione vengono monitorati in particolare per verificarne il rispetto dei termini di legge. Verifichiamo i mandati e redigiamo rapporti di revisione adeguati.</w:t>
      </w:r>
    </w:p>
    <w:p w14:paraId="69CDDA55" w14:textId="77777777" w:rsidR="00251C94" w:rsidRPr="00251C94" w:rsidRDefault="00251C94" w:rsidP="00251C94">
      <w:pPr>
        <w:jc w:val="both"/>
        <w:rPr>
          <w:rFonts w:ascii="KievitPro-Regular" w:hAnsi="KievitPro-Regular" w:cs="Arial"/>
        </w:rPr>
      </w:pPr>
    </w:p>
    <w:p w14:paraId="276EDA25" w14:textId="77777777" w:rsidR="00251C94" w:rsidRPr="00251C94" w:rsidRDefault="00251C94" w:rsidP="00251C94">
      <w:pPr>
        <w:jc w:val="both"/>
        <w:rPr>
          <w:rFonts w:ascii="KievitPro-Regular" w:hAnsi="KievitPro-Regular" w:cs="Arial"/>
        </w:rPr>
      </w:pPr>
      <w:r w:rsidRPr="00251C94">
        <w:rPr>
          <w:rFonts w:ascii="KievitPro-Regular" w:hAnsi="KievitPro-Regular"/>
        </w:rPr>
        <w:t xml:space="preserve">Nella fase di pianificazione dei mandati viene designato un responsabile che dispone delle competenze, delle capacità e dei poteri necessari per svolgere la funzione. I suoi obblighi sono chiaramente definiti. L'identità e il ruolo del revisore capo vengono comunicati ai membri della direzione del mandante che ricoprono posizioni chiave e al responsabile della supervisione. </w:t>
      </w:r>
    </w:p>
    <w:p w14:paraId="62B38AC4" w14:textId="77777777" w:rsidR="00251C94" w:rsidRPr="005A51B7" w:rsidRDefault="00251C94" w:rsidP="00251C94">
      <w:pPr>
        <w:pStyle w:val="berschrift2"/>
        <w:numPr>
          <w:ilvl w:val="2"/>
          <w:numId w:val="16"/>
        </w:numPr>
        <w:tabs>
          <w:tab w:val="clear" w:pos="709"/>
          <w:tab w:val="left" w:pos="0"/>
        </w:tabs>
        <w:spacing w:after="240"/>
        <w:ind w:left="0" w:firstLine="0"/>
        <w:rPr>
          <w:rFonts w:ascii="KievitPro-Regular" w:hAnsi="KievitPro-Regular"/>
          <w:b/>
          <w:sz w:val="20"/>
          <w:szCs w:val="20"/>
        </w:rPr>
      </w:pPr>
      <w:r w:rsidRPr="005A51B7">
        <w:rPr>
          <w:rFonts w:ascii="KievitPro-Regular" w:hAnsi="KievitPro-Regular"/>
          <w:b/>
          <w:sz w:val="20"/>
          <w:szCs w:val="20"/>
        </w:rPr>
        <w:t>Misure</w:t>
      </w:r>
    </w:p>
    <w:p w14:paraId="1CDF6C6E" w14:textId="77777777" w:rsidR="00251C94" w:rsidRDefault="00251C94" w:rsidP="00251C94">
      <w:pPr>
        <w:jc w:val="both"/>
        <w:rPr>
          <w:rFonts w:ascii="KievitPro-Regular" w:hAnsi="KievitPro-Regular"/>
        </w:rPr>
      </w:pPr>
      <w:r w:rsidRPr="00251C94">
        <w:rPr>
          <w:rFonts w:ascii="KievitPro-Regular" w:hAnsi="KievitPro-Regular"/>
        </w:rPr>
        <w:t>L'impresa di revisione tiene un elenco costantemente aggiornato di tutti i mandati di revisione. Questa cosiddetta lista di controllo funge anche da strumento di controllo per la gestione e il monitoraggio dei mandati di revisione e contiene pertanto tutte le informazioni significative necessarie per la pianificazione, la supervisione e il corretto svolgimento dei mandati di revisione. Tra queste figurano in particolare le informazioni relative alle persone responsabili, alla categoria di rischio, alle scadenze significative, al tipo di revisione, allo stato di avanzamento del mandato e alla completezza della documentazione. Se necessario, la panoramica dei mandati viene integrata con ulteriori informazioni rilevanti, ad esempio in merito agli obblighi di rotazione, alle misure di controllo della qualità relativo al mandato o a particolari rischi economici del mandante.</w:t>
      </w:r>
    </w:p>
    <w:p w14:paraId="63C6E316" w14:textId="77777777" w:rsidR="00251C94" w:rsidRPr="00251C94" w:rsidRDefault="00251C94" w:rsidP="00251C94">
      <w:pPr>
        <w:jc w:val="both"/>
        <w:rPr>
          <w:rFonts w:ascii="KievitPro-Regular" w:hAnsi="KievitPro-Regular" w:cs="Arial"/>
        </w:rPr>
      </w:pPr>
    </w:p>
    <w:p w14:paraId="424F68AA" w14:textId="77777777" w:rsidR="00251C94" w:rsidRDefault="00251C94" w:rsidP="00251C94">
      <w:pPr>
        <w:jc w:val="both"/>
        <w:rPr>
          <w:rFonts w:ascii="KievitPro-Regular" w:hAnsi="KievitPro-Regular"/>
        </w:rPr>
      </w:pPr>
      <w:r w:rsidRPr="00251C94">
        <w:rPr>
          <w:rFonts w:ascii="KievitPro-Regular" w:hAnsi="KievitPro-Regular"/>
        </w:rPr>
        <w:t>Il responsabile del mandato o il revisore capo sono responsabili del rispetto dei termini e delle date previste, nonché dell'adozione tempestiva di misure adeguate in caso di ritardi o di discrepanze riscontrate.</w:t>
      </w:r>
    </w:p>
    <w:p w14:paraId="61C86C36" w14:textId="77777777" w:rsidR="00251C94" w:rsidRPr="00251C94" w:rsidRDefault="00251C94" w:rsidP="00251C94">
      <w:pPr>
        <w:jc w:val="both"/>
        <w:rPr>
          <w:rFonts w:ascii="KievitPro-Regular" w:hAnsi="KievitPro-Regular" w:cs="Arial"/>
        </w:rPr>
      </w:pPr>
    </w:p>
    <w:p w14:paraId="7B6F1E24" w14:textId="77777777" w:rsidR="00251C94" w:rsidRDefault="00251C94" w:rsidP="00251C94">
      <w:pPr>
        <w:jc w:val="both"/>
        <w:rPr>
          <w:rFonts w:ascii="KievitPro-Regular" w:hAnsi="KievitPro-Regular"/>
        </w:rPr>
      </w:pPr>
      <w:r w:rsidRPr="00251C94">
        <w:rPr>
          <w:rFonts w:ascii="KievitPro-Regular" w:hAnsi="KievitPro-Regular"/>
        </w:rPr>
        <w:t>Al fine di garantire un'adeguata pianificazione della stagione di revisione e un corretto impiego delle risorse, la panoramica dei mandati viene regolarmente esaminata e verificata dai responsabili competenti.</w:t>
      </w:r>
    </w:p>
    <w:p w14:paraId="5FC990FA" w14:textId="77777777" w:rsidR="00251C94" w:rsidRPr="00251C94" w:rsidRDefault="00251C94" w:rsidP="00251C94">
      <w:pPr>
        <w:jc w:val="both"/>
        <w:rPr>
          <w:rFonts w:ascii="KievitPro-Regular" w:hAnsi="KievitPro-Regular" w:cs="Arial"/>
        </w:rPr>
      </w:pPr>
    </w:p>
    <w:p w14:paraId="70E449DB" w14:textId="77777777" w:rsidR="00251C94" w:rsidRPr="00251C94" w:rsidRDefault="00251C94" w:rsidP="00251C94">
      <w:pPr>
        <w:jc w:val="both"/>
        <w:rPr>
          <w:rFonts w:ascii="KievitPro-Regular" w:hAnsi="KievitPro-Regular" w:cs="Arial"/>
        </w:rPr>
      </w:pPr>
      <w:r w:rsidRPr="00251C94">
        <w:rPr>
          <w:rFonts w:ascii="KievitPro-Regular" w:hAnsi="KievitPro-Regular"/>
        </w:rPr>
        <w:t xml:space="preserve">In caso di doppi mandati, vengono prese in considerazione le misure necessarie a livello di personale e organizzativo per garantire l'indipendenza ed evitare conflitti di interesse. I doppi mandati vengono accettati esclusivamente nell'ambito di revisioni limitate. I doppi mandati devono essere confermati per iscritto e con conferme di mandato separate. Il contributo dei collaboratori alla contabilità o la partecipazione ad altre prestazioni di servizi che comportino il rischio di un </w:t>
      </w:r>
      <w:proofErr w:type="spellStart"/>
      <w:r w:rsidRPr="00251C94">
        <w:rPr>
          <w:rFonts w:ascii="KievitPro-Regular" w:hAnsi="KievitPro-Regular"/>
        </w:rPr>
        <w:t>autoriesame</w:t>
      </w:r>
      <w:proofErr w:type="spellEnd"/>
      <w:r w:rsidRPr="00251C94">
        <w:rPr>
          <w:rFonts w:ascii="KievitPro-Regular" w:hAnsi="KievitPro-Regular"/>
        </w:rPr>
        <w:t xml:space="preserve"> da parte dell'impresa devono essere indicati nel rapporto di revisione. Ciò vale anche nel caso in cui il servizio aggiuntivo sia fornito da una società del gruppo o da un'impresa vicina.</w:t>
      </w:r>
    </w:p>
    <w:p w14:paraId="00F23D4A" w14:textId="77777777" w:rsidR="00251C94" w:rsidRPr="00251C94" w:rsidRDefault="00251C94" w:rsidP="00251C94">
      <w:pPr>
        <w:jc w:val="both"/>
        <w:rPr>
          <w:rFonts w:ascii="KievitPro-Regular" w:hAnsi="KievitPro-Regular" w:cs="Arial"/>
        </w:rPr>
      </w:pPr>
      <w:r w:rsidRPr="00251C94">
        <w:rPr>
          <w:rFonts w:ascii="KievitPro-Regular" w:hAnsi="KievitPro-Regular"/>
        </w:rPr>
        <w:t xml:space="preserve"> </w:t>
      </w:r>
    </w:p>
    <w:p w14:paraId="6825F48E" w14:textId="77777777" w:rsidR="00251C94" w:rsidRPr="00251C94" w:rsidRDefault="00251C94" w:rsidP="00251C94">
      <w:pPr>
        <w:tabs>
          <w:tab w:val="left" w:pos="1418"/>
        </w:tabs>
        <w:rPr>
          <w:rFonts w:ascii="KievitPro-Regular" w:hAnsi="KievitPro-Regular" w:cs="Arial"/>
          <w:i/>
        </w:rPr>
      </w:pPr>
      <w:r w:rsidRPr="00251C94">
        <w:rPr>
          <w:rFonts w:ascii="KievitPro-Regular" w:hAnsi="KievitPro-Regular"/>
          <w:i/>
        </w:rPr>
        <w:t>Allegato 12.12:</w:t>
      </w:r>
      <w:r w:rsidRPr="00251C94">
        <w:rPr>
          <w:rFonts w:ascii="KievitPro-Regular" w:hAnsi="KievitPro-Regular"/>
          <w:i/>
        </w:rPr>
        <w:tab/>
        <w:t>Modello di lista di controllo per i mandati di revisione</w:t>
      </w:r>
    </w:p>
    <w:p w14:paraId="1323E007" w14:textId="77777777" w:rsidR="00251C94" w:rsidRPr="00251C94" w:rsidRDefault="00251C94" w:rsidP="00251C94">
      <w:pPr>
        <w:pStyle w:val="berschrift2"/>
        <w:numPr>
          <w:ilvl w:val="1"/>
          <w:numId w:val="16"/>
        </w:numPr>
        <w:spacing w:before="360" w:after="240"/>
        <w:ind w:left="425" w:hanging="425"/>
        <w:rPr>
          <w:rFonts w:ascii="KievitPro-Regular" w:hAnsi="KievitPro-Regular"/>
          <w:b/>
          <w:sz w:val="22"/>
        </w:rPr>
      </w:pPr>
      <w:r w:rsidRPr="00251C94">
        <w:rPr>
          <w:rFonts w:ascii="KievitPro-Regular" w:hAnsi="KievitPro-Regular"/>
        </w:rPr>
        <w:br w:type="page"/>
      </w:r>
      <w:bookmarkStart w:id="28" w:name="_Toc236311856"/>
      <w:r w:rsidRPr="00251C94">
        <w:rPr>
          <w:rFonts w:ascii="KievitPro-Regular" w:hAnsi="KievitPro-Regular"/>
          <w:b/>
          <w:sz w:val="22"/>
        </w:rPr>
        <w:lastRenderedPageBreak/>
        <w:t>Qualità costante nell'esecuzione dei mandati</w:t>
      </w:r>
      <w:bookmarkEnd w:id="28"/>
    </w:p>
    <w:p w14:paraId="625635D2" w14:textId="4856CD56" w:rsidR="00251C94" w:rsidRDefault="00251C94" w:rsidP="00251C94">
      <w:pPr>
        <w:jc w:val="both"/>
        <w:rPr>
          <w:rFonts w:ascii="KievitPro-Regular" w:hAnsi="KievitPro-Regular"/>
        </w:rPr>
      </w:pPr>
      <w:r w:rsidRPr="00251C94">
        <w:rPr>
          <w:rFonts w:ascii="KievitPro-Regular" w:hAnsi="KievitPro-Regular"/>
        </w:rPr>
        <w:t>Il personale specializzato è obbligato a utilizzare le linee guida tecniche e organizzative, gli strumenti di lavoro e i processi previsti per l'esecuzione dei mandati di revisione. L'impresa di revisione garantisce che le informazioni rilevanti siano chiaramente identificate, mantenute aggiornate e rese accessibili in modo adeguato ai collaboratori competenti.</w:t>
      </w:r>
      <w:r w:rsidR="005A51B7">
        <w:rPr>
          <w:rFonts w:ascii="KievitPro-Regular" w:hAnsi="KievitPro-Regular"/>
        </w:rPr>
        <w:t xml:space="preserve"> </w:t>
      </w:r>
    </w:p>
    <w:p w14:paraId="18D8223C" w14:textId="77777777" w:rsidR="005A51B7" w:rsidRPr="00251C94" w:rsidRDefault="005A51B7" w:rsidP="00251C94">
      <w:pPr>
        <w:jc w:val="both"/>
        <w:rPr>
          <w:rFonts w:ascii="KievitPro-Regular" w:hAnsi="KievitPro-Regular" w:cs="Arial"/>
        </w:rPr>
      </w:pPr>
    </w:p>
    <w:p w14:paraId="205BABDB" w14:textId="77777777" w:rsidR="00251C94" w:rsidRDefault="00251C94" w:rsidP="00251C94">
      <w:pPr>
        <w:jc w:val="both"/>
        <w:rPr>
          <w:rFonts w:ascii="KievitPro-Regular" w:hAnsi="KievitPro-Regular"/>
        </w:rPr>
      </w:pPr>
      <w:r w:rsidRPr="00251C94">
        <w:rPr>
          <w:rFonts w:ascii="KievitPro-Regular" w:hAnsi="KievitPro-Regular"/>
        </w:rPr>
        <w:t xml:space="preserve">Per garantire un’esecuzione del mandato coerente, ricostruibile e conforme alla legge, vengono utilizzati appunti di lavoro standardizzati e un software di revisione adeguato. A tal fine, si presta attenzione affinché </w:t>
      </w:r>
      <w:proofErr w:type="gramStart"/>
      <w:r w:rsidRPr="00251C94">
        <w:rPr>
          <w:rFonts w:ascii="KievitPro-Regular" w:hAnsi="KievitPro-Regular"/>
        </w:rPr>
        <w:t>il team incaricato sia composto</w:t>
      </w:r>
      <w:proofErr w:type="gramEnd"/>
      <w:r w:rsidRPr="00251C94">
        <w:rPr>
          <w:rFonts w:ascii="KievitPro-Regular" w:hAnsi="KievitPro-Regular"/>
        </w:rPr>
        <w:t xml:space="preserve"> in modo adeguato e affinché, di norma, almeno un quinto (20%) delle persone coinvolte nell'esecuzione del mandato sia in possesso della necessaria abilitazione professionale e svolga un quinto (20%) delle ore di revisione fatturate al cliente.</w:t>
      </w:r>
    </w:p>
    <w:p w14:paraId="1F3E5DBC" w14:textId="77777777" w:rsidR="005A51B7" w:rsidRPr="00251C94" w:rsidRDefault="005A51B7" w:rsidP="00251C94">
      <w:pPr>
        <w:jc w:val="both"/>
        <w:rPr>
          <w:rFonts w:ascii="KievitPro-Regular" w:hAnsi="KievitPro-Regular" w:cs="Arial"/>
        </w:rPr>
      </w:pPr>
    </w:p>
    <w:p w14:paraId="77DCBFFB" w14:textId="77777777" w:rsidR="00251C94" w:rsidRDefault="00251C94" w:rsidP="00251C94">
      <w:pPr>
        <w:jc w:val="both"/>
        <w:rPr>
          <w:rFonts w:ascii="KievitPro-Regular" w:hAnsi="KievitPro-Regular"/>
        </w:rPr>
      </w:pPr>
      <w:r w:rsidRPr="00251C94">
        <w:rPr>
          <w:rFonts w:ascii="KievitPro-Regular" w:hAnsi="KievitPro-Regular"/>
        </w:rPr>
        <w:t xml:space="preserve">I membri </w:t>
      </w:r>
      <w:proofErr w:type="gramStart"/>
      <w:r w:rsidRPr="00251C94">
        <w:rPr>
          <w:rFonts w:ascii="KievitPro-Regular" w:hAnsi="KievitPro-Regular"/>
        </w:rPr>
        <w:t>del team</w:t>
      </w:r>
      <w:proofErr w:type="gramEnd"/>
      <w:r w:rsidRPr="00251C94">
        <w:rPr>
          <w:rFonts w:ascii="KievitPro-Regular" w:hAnsi="KievitPro-Regular"/>
        </w:rPr>
        <w:t xml:space="preserve"> di revisione devono svolgere i propri compiti esercitando la dovuta valutazione coscienziosa e, nella misura in cui ciò sia necessario in base alla natura del mandato, con il necessario scetticismo professionale.</w:t>
      </w:r>
    </w:p>
    <w:p w14:paraId="04694FCE" w14:textId="77777777" w:rsidR="005A51B7" w:rsidRPr="00251C94" w:rsidRDefault="005A51B7" w:rsidP="00251C94">
      <w:pPr>
        <w:jc w:val="both"/>
        <w:rPr>
          <w:rFonts w:ascii="KievitPro-Regular" w:hAnsi="KievitPro-Regular" w:cs="Arial"/>
        </w:rPr>
      </w:pPr>
    </w:p>
    <w:p w14:paraId="6ABDEEB3" w14:textId="77777777" w:rsidR="00251C94" w:rsidRDefault="00251C94" w:rsidP="00251C94">
      <w:pPr>
        <w:jc w:val="both"/>
        <w:rPr>
          <w:rFonts w:ascii="KievitPro-Regular" w:hAnsi="KievitPro-Regular"/>
        </w:rPr>
      </w:pPr>
      <w:r w:rsidRPr="00251C94">
        <w:rPr>
          <w:rFonts w:ascii="KievitPro-Regular" w:hAnsi="KievitPro-Regular"/>
        </w:rPr>
        <w:t>Qualora, nell'ambito dei servizi di revisione, si ricorra a esperti esterni o a partner, le condizioni generali, le competenze e i requisiti di qualità della collaborazione vengono disciplinati per iscritto. Il rispetto di tali disposizioni viene verificato regolarmente.</w:t>
      </w:r>
    </w:p>
    <w:p w14:paraId="1A558BD2" w14:textId="77777777" w:rsidR="005A51B7" w:rsidRPr="00251C94" w:rsidRDefault="005A51B7" w:rsidP="00251C94">
      <w:pPr>
        <w:jc w:val="both"/>
        <w:rPr>
          <w:rFonts w:ascii="KievitPro-Regular" w:hAnsi="KievitPro-Regular" w:cs="Arial"/>
        </w:rPr>
      </w:pPr>
    </w:p>
    <w:p w14:paraId="137B463C" w14:textId="77777777" w:rsidR="00251C94" w:rsidRDefault="00251C94" w:rsidP="00251C94">
      <w:pPr>
        <w:jc w:val="both"/>
        <w:rPr>
          <w:rFonts w:ascii="KievitPro-Regular" w:hAnsi="KievitPro-Regular"/>
        </w:rPr>
      </w:pPr>
      <w:r w:rsidRPr="00251C94">
        <w:rPr>
          <w:rFonts w:ascii="KievitPro-Regular" w:hAnsi="KievitPro-Regular"/>
        </w:rPr>
        <w:t>L'esecuzione dei mandati di revisione avviene in conformità ai principi di revisione svizzeri applicabili. Le revisioni limitate vengono effettuate secondo lo standard svizzero sulla revisione limitata (SRL), mentre le revisioni ordinarie vengono effettuate secondo gli standard svizzeri di revisione dei conti (SA-CH). Si tiene inoltre conto delle prescrizioni legali in materia, delle normative specifiche e dei principi contabili applicabili.</w:t>
      </w:r>
    </w:p>
    <w:p w14:paraId="14F05564" w14:textId="77777777" w:rsidR="005A51B7" w:rsidRPr="00251C94" w:rsidRDefault="005A51B7" w:rsidP="00251C94">
      <w:pPr>
        <w:jc w:val="both"/>
        <w:rPr>
          <w:rFonts w:ascii="KievitPro-Regular" w:hAnsi="KievitPro-Regular" w:cs="Arial"/>
        </w:rPr>
      </w:pPr>
    </w:p>
    <w:p w14:paraId="7B423346" w14:textId="77777777" w:rsidR="00251C94" w:rsidRPr="00251C94" w:rsidRDefault="00251C94" w:rsidP="00251C94">
      <w:pPr>
        <w:jc w:val="both"/>
        <w:rPr>
          <w:rFonts w:ascii="KievitPro-Regular" w:hAnsi="KievitPro-Regular" w:cs="Arial"/>
        </w:rPr>
      </w:pPr>
      <w:r w:rsidRPr="00251C94">
        <w:rPr>
          <w:rFonts w:ascii="KievitPro-Regular" w:hAnsi="KievitPro-Regular"/>
        </w:rPr>
        <w:t xml:space="preserve">A supporto dell'attività professionale, il personale specializzato ha inoltre a disposizione diverse fonti di informazione esterne e basi tecniche, in particolare leggi, standard, direttive, pubblicazioni e indicazioni pratiche fornite da EXPERTsuisse e/o FIDUCIARI|SUISSE. Ciò garantisce che gli sviluppi tecnici rilevanti e le modifiche normative possano essere presi in considerazione tempestivamente. </w:t>
      </w:r>
    </w:p>
    <w:p w14:paraId="35B60F93" w14:textId="77777777" w:rsidR="00251C94" w:rsidRPr="005A51B7" w:rsidRDefault="00251C94" w:rsidP="005A51B7">
      <w:pPr>
        <w:pStyle w:val="berschrift2"/>
        <w:numPr>
          <w:ilvl w:val="1"/>
          <w:numId w:val="16"/>
        </w:numPr>
        <w:spacing w:before="360" w:after="240"/>
        <w:ind w:left="425" w:hanging="425"/>
        <w:rPr>
          <w:rFonts w:ascii="KievitPro-Regular" w:hAnsi="KievitPro-Regular"/>
          <w:b/>
          <w:sz w:val="22"/>
        </w:rPr>
      </w:pPr>
      <w:bookmarkStart w:id="29" w:name="_Toc236311857"/>
      <w:bookmarkStart w:id="30" w:name="_Toc331493577"/>
      <w:bookmarkStart w:id="31" w:name="_Toc331493993"/>
      <w:bookmarkStart w:id="32" w:name="_Toc331495025"/>
      <w:bookmarkStart w:id="33" w:name="_Toc331495817"/>
      <w:bookmarkStart w:id="34" w:name="_Toc331510681"/>
      <w:r w:rsidRPr="00251C94">
        <w:rPr>
          <w:rFonts w:ascii="KievitPro-Regular" w:hAnsi="KievitPro-Regular"/>
          <w:b/>
          <w:sz w:val="22"/>
        </w:rPr>
        <w:t>Sorveglianza dell’esecuzione del mandato</w:t>
      </w:r>
      <w:bookmarkEnd w:id="29"/>
    </w:p>
    <w:p w14:paraId="248039B8" w14:textId="77777777" w:rsidR="00251C94" w:rsidRDefault="00251C94" w:rsidP="00251C94">
      <w:pPr>
        <w:jc w:val="both"/>
        <w:rPr>
          <w:rFonts w:ascii="KievitPro-Regular" w:hAnsi="KievitPro-Regular"/>
        </w:rPr>
      </w:pPr>
      <w:r w:rsidRPr="00251C94">
        <w:rPr>
          <w:rFonts w:ascii="KievitPro-Regular" w:hAnsi="KievitPro-Regular"/>
        </w:rPr>
        <w:t>L'esecuzione di revisioni dei conti annuali, review e altre verifiche di gestione dell’azienda, nonché prestazioni di servizi correlati, è oggetto di una sorveglianza costante. Le conoscenze acquisite nell'ambito della gestione pratica dei mandati, dei controlli interni o degli sviluppi settoriali vengono debitamente prese in considerazione e confluiscono nell'ulteriore sviluppo dell'attività di revisione e dei processi applicati.</w:t>
      </w:r>
    </w:p>
    <w:p w14:paraId="7E3D1980" w14:textId="77777777" w:rsidR="005A51B7" w:rsidRPr="00251C94" w:rsidRDefault="005A51B7" w:rsidP="00251C94">
      <w:pPr>
        <w:jc w:val="both"/>
        <w:rPr>
          <w:rFonts w:ascii="KievitPro-Regular" w:hAnsi="KievitPro-Regular" w:cs="Arial"/>
        </w:rPr>
      </w:pPr>
    </w:p>
    <w:p w14:paraId="66330DFA" w14:textId="77777777" w:rsidR="00251C94" w:rsidRDefault="00251C94" w:rsidP="00251C94">
      <w:pPr>
        <w:jc w:val="both"/>
        <w:rPr>
          <w:rFonts w:ascii="KievitPro-Regular" w:hAnsi="KievitPro-Regular"/>
        </w:rPr>
      </w:pPr>
      <w:r w:rsidRPr="00251C94">
        <w:rPr>
          <w:rFonts w:ascii="KievitPro-Regular" w:hAnsi="KievitPro-Regular"/>
        </w:rPr>
        <w:t xml:space="preserve">Il responsabile del mandato è incaricato del monitoraggio e della gestione continui del rispettivo mandato. In particolare, valuta se i membri </w:t>
      </w:r>
      <w:proofErr w:type="gramStart"/>
      <w:r w:rsidRPr="00251C94">
        <w:rPr>
          <w:rFonts w:ascii="KievitPro-Regular" w:hAnsi="KievitPro-Regular"/>
        </w:rPr>
        <w:t>del team coinvolti</w:t>
      </w:r>
      <w:proofErr w:type="gramEnd"/>
      <w:r w:rsidRPr="00251C94">
        <w:rPr>
          <w:rFonts w:ascii="KievitPro-Regular" w:hAnsi="KievitPro-Regular"/>
        </w:rPr>
        <w:t xml:space="preserve"> dispongano delle conoscenze tecniche, delle competenze e delle risorse temporali necessarie per svolgere correttamente i compiti loro assegnati. Inoltre, garantisce che i fatti significativi, i rischi e le constatazioni emersi durante l'esecuzione del mandato vengano individuati tempestivamente, valutati e gestiti in modo adeguato.</w:t>
      </w:r>
    </w:p>
    <w:p w14:paraId="1C4B2B74" w14:textId="77777777" w:rsidR="005A51B7" w:rsidRPr="00251C94" w:rsidRDefault="005A51B7" w:rsidP="00251C94">
      <w:pPr>
        <w:jc w:val="both"/>
        <w:rPr>
          <w:rFonts w:ascii="KievitPro-Regular" w:hAnsi="KievitPro-Regular" w:cs="Arial"/>
        </w:rPr>
      </w:pPr>
    </w:p>
    <w:p w14:paraId="4FAC0A42" w14:textId="77777777" w:rsidR="00251C94" w:rsidRDefault="00251C94" w:rsidP="00251C94">
      <w:pPr>
        <w:jc w:val="both"/>
        <w:rPr>
          <w:rFonts w:ascii="KievitPro-Regular" w:hAnsi="KievitPro-Regular"/>
        </w:rPr>
      </w:pPr>
      <w:r w:rsidRPr="00251C94">
        <w:rPr>
          <w:rFonts w:ascii="KievitPro-Regular" w:hAnsi="KievitPro-Regular"/>
        </w:rPr>
        <w:t>Le questioni di particolare rilevanza o di maggiore complessità devono, se necessario, essere discusse con esperti del settore oppure sottoposte a consultazione.</w:t>
      </w:r>
    </w:p>
    <w:p w14:paraId="36670968" w14:textId="77777777" w:rsidR="005A51B7" w:rsidRPr="00251C94" w:rsidRDefault="005A51B7" w:rsidP="00251C94">
      <w:pPr>
        <w:jc w:val="both"/>
        <w:rPr>
          <w:rFonts w:ascii="KievitPro-Regular" w:hAnsi="KievitPro-Regular" w:cs="Arial"/>
        </w:rPr>
      </w:pPr>
    </w:p>
    <w:p w14:paraId="16126909" w14:textId="77777777" w:rsidR="00251C94" w:rsidRPr="00251C94" w:rsidRDefault="00251C94" w:rsidP="00251C94">
      <w:pPr>
        <w:jc w:val="both"/>
        <w:rPr>
          <w:rFonts w:ascii="KievitPro-Regular" w:hAnsi="KievitPro-Regular" w:cs="Arial"/>
        </w:rPr>
      </w:pPr>
      <w:r w:rsidRPr="00251C94">
        <w:rPr>
          <w:rFonts w:ascii="KievitPro-Regular" w:hAnsi="KievitPro-Regular"/>
        </w:rPr>
        <w:t>I rapporti di revisione con un giudizio di revisione modificato, nonché quelli che evidenziano determinati fatti o contengono altre note particolari, vengono esaminati da un professionista qualificato prima della loro approvazione. Lo svolgimento di tali consultazioni e seconde valutazioni è regolato dalle linee guida interne in materia di consultazione specialistica.</w:t>
      </w:r>
    </w:p>
    <w:p w14:paraId="5B5436B0" w14:textId="77777777" w:rsidR="00251C94" w:rsidRPr="00251C94" w:rsidRDefault="00251C94" w:rsidP="00251C94">
      <w:pPr>
        <w:jc w:val="both"/>
        <w:rPr>
          <w:rFonts w:ascii="KievitPro-Regular" w:hAnsi="KievitPro-Regular" w:cs="Arial"/>
        </w:rPr>
      </w:pPr>
      <w:r w:rsidRPr="00251C94">
        <w:rPr>
          <w:rFonts w:ascii="KievitPro-Regular" w:hAnsi="KievitPro-Regular"/>
        </w:rPr>
        <w:lastRenderedPageBreak/>
        <w:t>Prima della firma e della consegna del rapporto di revisione, il responsabile del mandato valuta e approva tutte le constatazioni di revisione significative, nonché le conclusioni che ne derivano. La valutazione finale del mandato viene adeguatamente documentata e approvata.</w:t>
      </w:r>
    </w:p>
    <w:p w14:paraId="48C2F586" w14:textId="77777777" w:rsidR="00251C94" w:rsidRPr="005A51B7" w:rsidRDefault="00251C94" w:rsidP="005A51B7">
      <w:pPr>
        <w:pStyle w:val="berschrift2"/>
        <w:numPr>
          <w:ilvl w:val="1"/>
          <w:numId w:val="16"/>
        </w:numPr>
        <w:spacing w:before="360" w:after="240"/>
        <w:ind w:left="425" w:hanging="425"/>
        <w:rPr>
          <w:rFonts w:ascii="KievitPro-Regular" w:hAnsi="KievitPro-Regular"/>
          <w:b/>
          <w:sz w:val="22"/>
        </w:rPr>
      </w:pPr>
      <w:bookmarkStart w:id="35" w:name="_Toc236311858"/>
      <w:r w:rsidRPr="00251C94">
        <w:rPr>
          <w:rFonts w:ascii="KievitPro-Regular" w:hAnsi="KievitPro-Regular"/>
          <w:b/>
          <w:sz w:val="22"/>
        </w:rPr>
        <w:t>Esame</w:t>
      </w:r>
      <w:bookmarkEnd w:id="35"/>
    </w:p>
    <w:p w14:paraId="7A51EB9F" w14:textId="77777777" w:rsidR="00251C94" w:rsidRDefault="00251C94" w:rsidP="00251C94">
      <w:pPr>
        <w:jc w:val="both"/>
        <w:rPr>
          <w:rFonts w:ascii="KievitPro-Regular" w:hAnsi="KievitPro-Regular"/>
        </w:rPr>
      </w:pPr>
      <w:r w:rsidRPr="00251C94">
        <w:rPr>
          <w:rFonts w:ascii="KievitPro-Regular" w:hAnsi="KievitPro-Regular"/>
        </w:rPr>
        <w:t xml:space="preserve">Il lavoro dei membri </w:t>
      </w:r>
      <w:proofErr w:type="gramStart"/>
      <w:r w:rsidRPr="00251C94">
        <w:rPr>
          <w:rFonts w:ascii="KievitPro-Regular" w:hAnsi="KievitPro-Regular"/>
        </w:rPr>
        <w:t>del team meno esperti</w:t>
      </w:r>
      <w:proofErr w:type="gramEnd"/>
      <w:r w:rsidRPr="00251C94">
        <w:rPr>
          <w:rFonts w:ascii="KievitPro-Regular" w:hAnsi="KievitPro-Regular"/>
        </w:rPr>
        <w:t xml:space="preserve"> viene verificato e seguito da collaboratori più esperti o dal responsabile del mandato. Un adeguato esame degli appunti di lavoro e del fascicolo di revisione garantisce che i mandati siano svolti in conformità con i principi di revisione applicabili, le disposizioni di legge e i requisiti interni di qualità.</w:t>
      </w:r>
    </w:p>
    <w:p w14:paraId="3732F925" w14:textId="77777777" w:rsidR="005A51B7" w:rsidRPr="00251C94" w:rsidRDefault="005A51B7" w:rsidP="00251C94">
      <w:pPr>
        <w:jc w:val="both"/>
        <w:rPr>
          <w:rFonts w:ascii="KievitPro-Regular" w:hAnsi="KievitPro-Regular" w:cs="Arial"/>
        </w:rPr>
      </w:pPr>
    </w:p>
    <w:p w14:paraId="33C919B7" w14:textId="77777777" w:rsidR="00251C94" w:rsidRDefault="00251C94" w:rsidP="00251C94">
      <w:pPr>
        <w:jc w:val="both"/>
        <w:rPr>
          <w:rFonts w:ascii="KievitPro-Regular" w:hAnsi="KievitPro-Regular"/>
        </w:rPr>
      </w:pPr>
      <w:r w:rsidRPr="00251C94">
        <w:rPr>
          <w:rFonts w:ascii="KievitPro-Regular" w:hAnsi="KievitPro-Regular"/>
        </w:rPr>
        <w:t>L’esame comprende, in particolare, la valutazione volta a verificare se le operazioni di revisione effettuate siano state adeguatamente documentate, se i fatti accertati siano stati valutati in modo appropriato e se le conclusioni tratte siano ricostruibili e corrette. Come base per il rapporto di revisione viene effettuata una valutazione finale documentata del mandato.</w:t>
      </w:r>
    </w:p>
    <w:p w14:paraId="67C1FA50" w14:textId="77777777" w:rsidR="005A51B7" w:rsidRPr="00251C94" w:rsidRDefault="005A51B7" w:rsidP="00251C94">
      <w:pPr>
        <w:jc w:val="both"/>
        <w:rPr>
          <w:rFonts w:ascii="KievitPro-Regular" w:hAnsi="KievitPro-Regular" w:cs="Arial"/>
        </w:rPr>
      </w:pPr>
    </w:p>
    <w:p w14:paraId="44EC4B23" w14:textId="77777777" w:rsidR="00251C94" w:rsidRDefault="00251C94" w:rsidP="00251C94">
      <w:pPr>
        <w:jc w:val="both"/>
        <w:rPr>
          <w:rFonts w:ascii="KievitPro-Regular" w:hAnsi="KievitPro-Regular"/>
        </w:rPr>
      </w:pPr>
      <w:r w:rsidRPr="00251C94">
        <w:rPr>
          <w:rFonts w:ascii="KievitPro-Regular" w:hAnsi="KievitPro-Regular"/>
        </w:rPr>
        <w:t>In caso di situazioni complesse, difficili o controverse, è necessario ricorrere a un'adeguata consulenza specialistica. A tal proposito occorre attenersi alle relative direttive interne in materia di consultazione (si veda il capitolo 6.5 «Consultazione»).</w:t>
      </w:r>
    </w:p>
    <w:p w14:paraId="5B41F941" w14:textId="77777777" w:rsidR="005A51B7" w:rsidRPr="00251C94" w:rsidRDefault="005A51B7" w:rsidP="00251C94">
      <w:pPr>
        <w:jc w:val="both"/>
        <w:rPr>
          <w:rFonts w:ascii="KievitPro-Regular" w:hAnsi="KievitPro-Regular" w:cs="Arial"/>
        </w:rPr>
      </w:pPr>
    </w:p>
    <w:p w14:paraId="380B4665" w14:textId="77777777" w:rsidR="00251C94" w:rsidRDefault="00251C94" w:rsidP="00251C94">
      <w:pPr>
        <w:jc w:val="both"/>
        <w:rPr>
          <w:rFonts w:ascii="KievitPro-Regular" w:hAnsi="KievitPro-Regular"/>
        </w:rPr>
      </w:pPr>
      <w:r w:rsidRPr="00251C94">
        <w:rPr>
          <w:rFonts w:ascii="KievitPro-Regular" w:hAnsi="KievitPro-Regular"/>
        </w:rPr>
        <w:t>L’esame delle attività viene effettuato, di norma, prima dell'approvazione e della consegna del rapporto di revisione. Nel caso di mandati di ampia portata o che comportano rischi, può essere opportuno effettuare anche valutazioni intermedie o review periodiche di singole aree specifiche.</w:t>
      </w:r>
    </w:p>
    <w:p w14:paraId="709501D8" w14:textId="77777777" w:rsidR="005A51B7" w:rsidRPr="00251C94" w:rsidRDefault="005A51B7" w:rsidP="00251C94">
      <w:pPr>
        <w:jc w:val="both"/>
        <w:rPr>
          <w:rFonts w:ascii="KievitPro-Regular" w:hAnsi="KievitPro-Regular" w:cs="Arial"/>
        </w:rPr>
      </w:pPr>
    </w:p>
    <w:p w14:paraId="239871E0" w14:textId="77777777" w:rsidR="00251C94" w:rsidRPr="00251C94" w:rsidRDefault="00251C94" w:rsidP="00251C94">
      <w:pPr>
        <w:jc w:val="both"/>
        <w:rPr>
          <w:rFonts w:ascii="KievitPro-Regular" w:hAnsi="KievitPro-Regular" w:cs="Arial"/>
        </w:rPr>
      </w:pPr>
      <w:r w:rsidRPr="00251C94">
        <w:rPr>
          <w:rFonts w:ascii="KievitPro-Regular" w:hAnsi="KievitPro-Regular"/>
        </w:rPr>
        <w:t>Gli appunti di lavoro e la documentazione di revisione devono essere controllati e vidimati dal responsabile del mandato. Prima di firmare e consegnare il rapporto di revisione, è necessario assicurarsi che la documentazione sia completa e correttamente compilata.</w:t>
      </w:r>
    </w:p>
    <w:p w14:paraId="2A556868" w14:textId="77777777" w:rsidR="00251C94" w:rsidRPr="00251C94" w:rsidRDefault="00251C94" w:rsidP="00251C94">
      <w:pPr>
        <w:tabs>
          <w:tab w:val="left" w:pos="1418"/>
        </w:tabs>
        <w:spacing w:line="240" w:lineRule="auto"/>
        <w:rPr>
          <w:rFonts w:ascii="KievitPro-Regular" w:hAnsi="KievitPro-Regular" w:cs="Arial"/>
          <w:i/>
          <w:sz w:val="12"/>
          <w:szCs w:val="12"/>
        </w:rPr>
      </w:pPr>
    </w:p>
    <w:p w14:paraId="299322F1" w14:textId="77777777" w:rsidR="00251C94" w:rsidRPr="00251C94" w:rsidRDefault="00251C94" w:rsidP="00251C94">
      <w:pPr>
        <w:tabs>
          <w:tab w:val="left" w:pos="1418"/>
        </w:tabs>
        <w:rPr>
          <w:rFonts w:ascii="KievitPro-Regular" w:hAnsi="KievitPro-Regular" w:cs="Arial"/>
          <w:i/>
        </w:rPr>
      </w:pPr>
      <w:r w:rsidRPr="00251C94">
        <w:rPr>
          <w:rFonts w:ascii="KievitPro-Regular" w:hAnsi="KievitPro-Regular"/>
          <w:i/>
        </w:rPr>
        <w:t>Allegato 12.13:</w:t>
      </w:r>
      <w:r w:rsidRPr="00251C94">
        <w:rPr>
          <w:rFonts w:ascii="KievitPro-Regular" w:hAnsi="KievitPro-Regular"/>
          <w:i/>
        </w:rPr>
        <w:tab/>
        <w:t>Lista di controllo per la sorveglianza e l’esame</w:t>
      </w:r>
    </w:p>
    <w:p w14:paraId="0CB04422" w14:textId="77777777" w:rsidR="00251C94" w:rsidRPr="005A51B7" w:rsidRDefault="00251C94" w:rsidP="005A51B7">
      <w:pPr>
        <w:pStyle w:val="berschrift2"/>
        <w:numPr>
          <w:ilvl w:val="1"/>
          <w:numId w:val="16"/>
        </w:numPr>
        <w:spacing w:before="360" w:after="240"/>
        <w:ind w:left="425" w:hanging="425"/>
        <w:rPr>
          <w:rFonts w:ascii="KievitPro-Regular" w:hAnsi="KievitPro-Regular"/>
          <w:b/>
          <w:sz w:val="22"/>
        </w:rPr>
      </w:pPr>
      <w:bookmarkStart w:id="36" w:name="_Toc236311859"/>
      <w:r w:rsidRPr="00251C94">
        <w:rPr>
          <w:rFonts w:ascii="KievitPro-Regular" w:hAnsi="KievitPro-Regular"/>
          <w:b/>
          <w:sz w:val="22"/>
        </w:rPr>
        <w:t>Consultazione</w:t>
      </w:r>
      <w:bookmarkEnd w:id="36"/>
    </w:p>
    <w:p w14:paraId="613271E4" w14:textId="77777777" w:rsidR="00251C94" w:rsidRDefault="00251C94" w:rsidP="00251C94">
      <w:pPr>
        <w:jc w:val="both"/>
        <w:rPr>
          <w:rFonts w:ascii="KievitPro-Regular" w:hAnsi="KievitPro-Regular"/>
        </w:rPr>
      </w:pPr>
      <w:r w:rsidRPr="00251C94">
        <w:rPr>
          <w:rFonts w:ascii="KievitPro-Regular" w:hAnsi="KievitPro-Regular"/>
        </w:rPr>
        <w:t>In caso di situazioni difficili, complesse o controverse, è obbligatorio ricorrere a un'adeguata consulenza specialistica nell'ambito dell'accettazione del mandato, della pianificazione della revisione o dell'esecuzione del mandato. La valutazione della necessità di una consultazione in merito a una determinata situazione spetta al responsabile del mandato, che deve procedere a una valutazione coscienziosa nel rispetto dei propri doveri, tenendo conto delle circostanze concrete del mandato.</w:t>
      </w:r>
    </w:p>
    <w:p w14:paraId="11528F6C" w14:textId="77777777" w:rsidR="005A51B7" w:rsidRPr="00251C94" w:rsidRDefault="005A51B7" w:rsidP="00251C94">
      <w:pPr>
        <w:jc w:val="both"/>
        <w:rPr>
          <w:rFonts w:ascii="KievitPro-Regular" w:hAnsi="KievitPro-Regular" w:cs="Arial"/>
        </w:rPr>
      </w:pPr>
    </w:p>
    <w:p w14:paraId="674811BD" w14:textId="77777777" w:rsidR="00251C94" w:rsidRDefault="00251C94" w:rsidP="00251C94">
      <w:pPr>
        <w:jc w:val="both"/>
        <w:rPr>
          <w:rFonts w:ascii="KievitPro-Regular" w:hAnsi="KievitPro-Regular"/>
        </w:rPr>
      </w:pPr>
      <w:r w:rsidRPr="00251C94">
        <w:rPr>
          <w:rFonts w:ascii="KievitPro-Regular" w:hAnsi="KievitPro-Regular"/>
        </w:rPr>
        <w:t>Le consultazioni hanno lo scopo di promuovere la qualità delle valutazioni e l'applicazione corretta della discrezione professionale. A seconda della questione da affrontare, è possibile ricorrere a esperti interni oppure, d'intesa con la direzione, a specialisti esterni in possesso delle competenze specifiche necessarie. A tal fine occorre garantire che alle persone consultate vengano fornite, in modo completo e tempestivo, tutte le informazioni necessarie per la valutazione.</w:t>
      </w:r>
    </w:p>
    <w:p w14:paraId="7C07BF41" w14:textId="77777777" w:rsidR="005A51B7" w:rsidRPr="00251C94" w:rsidRDefault="005A51B7" w:rsidP="00251C94">
      <w:pPr>
        <w:jc w:val="both"/>
        <w:rPr>
          <w:rFonts w:ascii="KievitPro-Regular" w:hAnsi="KievitPro-Regular" w:cs="Arial"/>
        </w:rPr>
      </w:pPr>
    </w:p>
    <w:p w14:paraId="52DD7EAA" w14:textId="77777777" w:rsidR="00251C94" w:rsidRDefault="00251C94" w:rsidP="00251C94">
      <w:pPr>
        <w:jc w:val="both"/>
        <w:rPr>
          <w:rFonts w:ascii="KievitPro-Regular" w:hAnsi="KievitPro-Regular"/>
        </w:rPr>
      </w:pPr>
      <w:r w:rsidRPr="00251C94">
        <w:rPr>
          <w:rFonts w:ascii="KievitPro-Regular" w:hAnsi="KievitPro-Regular"/>
        </w:rPr>
        <w:t>L'impresa di revisione promuove lo scambio professionale all'interno dell'organizzazione. I risultati significativi delle consultazioni devono essere resi accessibili, nella misura in cui ciò sia opportuno e consentito, anche ad altri collaboratori, al fine di favorire il trasferimento delle conoscenze e l'applicazione uniforme degli standard professionali.</w:t>
      </w:r>
    </w:p>
    <w:p w14:paraId="69E5EE17" w14:textId="77777777" w:rsidR="005A51B7" w:rsidRPr="00251C94" w:rsidRDefault="005A51B7" w:rsidP="00251C94">
      <w:pPr>
        <w:jc w:val="both"/>
        <w:rPr>
          <w:rFonts w:ascii="KievitPro-Regular" w:hAnsi="KievitPro-Regular" w:cs="Arial"/>
        </w:rPr>
      </w:pPr>
    </w:p>
    <w:p w14:paraId="16511507" w14:textId="77777777" w:rsidR="00251C94" w:rsidRPr="00251C94" w:rsidRDefault="00251C94" w:rsidP="00251C94">
      <w:pPr>
        <w:jc w:val="both"/>
        <w:rPr>
          <w:rFonts w:ascii="KievitPro-Regular" w:hAnsi="KievitPro-Regular" w:cs="Arial"/>
        </w:rPr>
      </w:pPr>
      <w:r w:rsidRPr="00251C94">
        <w:rPr>
          <w:rFonts w:ascii="KievitPro-Regular" w:hAnsi="KievitPro-Regular"/>
        </w:rPr>
        <w:t xml:space="preserve">Qualora, nell'ambito di una consultazione, dovessero sorgere divergenze di opinione all'interno </w:t>
      </w:r>
      <w:proofErr w:type="gramStart"/>
      <w:r w:rsidRPr="00251C94">
        <w:rPr>
          <w:rFonts w:ascii="KievitPro-Regular" w:hAnsi="KievitPro-Regular"/>
        </w:rPr>
        <w:t>del team</w:t>
      </w:r>
      <w:proofErr w:type="gramEnd"/>
      <w:r w:rsidRPr="00251C94">
        <w:rPr>
          <w:rFonts w:ascii="KievitPro-Regular" w:hAnsi="KievitPro-Regular"/>
        </w:rPr>
        <w:t xml:space="preserve"> di mandato o tra gli esperti coinvolti, occorre adottare misure adeguate </w:t>
      </w:r>
      <w:proofErr w:type="gramStart"/>
      <w:r w:rsidRPr="00251C94">
        <w:rPr>
          <w:rFonts w:ascii="KievitPro-Regular" w:hAnsi="KievitPro-Regular"/>
        </w:rPr>
        <w:t>per</w:t>
      </w:r>
      <w:proofErr w:type="gramEnd"/>
      <w:r w:rsidRPr="00251C94">
        <w:rPr>
          <w:rFonts w:ascii="KievitPro-Regular" w:hAnsi="KievitPro-Regular"/>
        </w:rPr>
        <w:t xml:space="preserve"> chiarire la situazione. Se necessario, è possibile ricorrere ad altri servizi specializzati interni e/o esterni, organizzazioni professionali o altri enti qualificati.</w:t>
      </w:r>
    </w:p>
    <w:p w14:paraId="0AC75FAD" w14:textId="7F8D6A41" w:rsidR="00251C94" w:rsidRPr="00251C94" w:rsidRDefault="00251C94" w:rsidP="005A51B7">
      <w:pPr>
        <w:jc w:val="both"/>
        <w:rPr>
          <w:rFonts w:ascii="KievitPro-Regular" w:hAnsi="KievitPro-Regular" w:cs="Arial"/>
          <w:b/>
          <w:smallCaps/>
          <w:szCs w:val="24"/>
        </w:rPr>
      </w:pPr>
      <w:r w:rsidRPr="00251C94">
        <w:rPr>
          <w:rFonts w:ascii="KievitPro-Regular" w:hAnsi="KievitPro-Regular"/>
        </w:rPr>
        <w:lastRenderedPageBreak/>
        <w:t>La natura, la portata, il contenuto e le conclusioni della consultazione devono essere documentati in modo adeguato e comprensibile. È indispensabile garantire e monitorare l'attuazione delle conclusioni e delle misure che ne derivano.</w:t>
      </w:r>
      <w:r w:rsidR="005A51B7">
        <w:rPr>
          <w:rFonts w:ascii="KievitPro-Regular" w:hAnsi="KievitPro-Regular"/>
        </w:rPr>
        <w:t xml:space="preserve"> </w:t>
      </w:r>
      <w:r w:rsidRPr="00251C94">
        <w:rPr>
          <w:rFonts w:ascii="KievitPro-Regular" w:hAnsi="KievitPro-Regular"/>
        </w:rPr>
        <w:br w:type="page"/>
      </w:r>
    </w:p>
    <w:p w14:paraId="1DAE2739" w14:textId="77777777" w:rsidR="00251C94" w:rsidRPr="005A51B7" w:rsidRDefault="00251C94" w:rsidP="005A51B7">
      <w:pPr>
        <w:pStyle w:val="berschrift2"/>
        <w:numPr>
          <w:ilvl w:val="1"/>
          <w:numId w:val="16"/>
        </w:numPr>
        <w:spacing w:before="360" w:after="240"/>
        <w:ind w:left="425" w:hanging="425"/>
        <w:rPr>
          <w:rFonts w:ascii="KievitPro-Regular" w:hAnsi="KievitPro-Regular"/>
          <w:b/>
          <w:sz w:val="22"/>
        </w:rPr>
      </w:pPr>
      <w:bookmarkStart w:id="37" w:name="_Toc236311860"/>
      <w:r w:rsidRPr="00251C94">
        <w:rPr>
          <w:rFonts w:ascii="KievitPro-Regular" w:hAnsi="KievitPro-Regular"/>
          <w:b/>
          <w:sz w:val="22"/>
        </w:rPr>
        <w:lastRenderedPageBreak/>
        <w:t>Controllo della qualità relativo al mandato</w:t>
      </w:r>
      <w:bookmarkEnd w:id="37"/>
    </w:p>
    <w:p w14:paraId="3D23721A" w14:textId="77777777" w:rsidR="00251C94" w:rsidRDefault="00251C94" w:rsidP="00251C94">
      <w:pPr>
        <w:jc w:val="both"/>
        <w:rPr>
          <w:rFonts w:ascii="KievitPro-Regular" w:hAnsi="KievitPro-Regular"/>
        </w:rPr>
      </w:pPr>
      <w:r w:rsidRPr="00251C94">
        <w:rPr>
          <w:rFonts w:ascii="KievitPro-Regular" w:hAnsi="KievitPro-Regular"/>
        </w:rPr>
        <w:t>In alcuni casi è necessario un controllo della qualità relativo al mandato, al fine di garantire che i rischi maggiori connessi a un mandato siano adeguatamente identificati e affrontati in modo esaustivo all'interno della nostra impresa di revisione. La decisione relativa all'attuazione e le relative valutazioni vengono adeguatamente documentate.</w:t>
      </w:r>
    </w:p>
    <w:p w14:paraId="55D8CF10" w14:textId="77777777" w:rsidR="005A51B7" w:rsidRPr="00251C94" w:rsidRDefault="005A51B7" w:rsidP="00251C94">
      <w:pPr>
        <w:jc w:val="both"/>
        <w:rPr>
          <w:rFonts w:ascii="KievitPro-Regular" w:hAnsi="KievitPro-Regular" w:cs="Arial"/>
        </w:rPr>
      </w:pPr>
    </w:p>
    <w:p w14:paraId="13DD125C" w14:textId="77777777" w:rsidR="00251C94" w:rsidRDefault="00251C94" w:rsidP="00251C94">
      <w:pPr>
        <w:jc w:val="both"/>
        <w:rPr>
          <w:rFonts w:ascii="KievitPro-Regular" w:hAnsi="KievitPro-Regular"/>
        </w:rPr>
      </w:pPr>
      <w:r w:rsidRPr="00251C94">
        <w:rPr>
          <w:rFonts w:ascii="KievitPro-Regular" w:hAnsi="KievitPro-Regular"/>
        </w:rPr>
        <w:t>Il controllo della qualità relativo al mandato comprende in particolare l'esame dei risultati significativi del lavoro, delle valutazioni rilevanti e delle conclusioni tratte, nonché del rapporto di revisione previsto. L'entità dell’esame dipende dalla natura, dal rischio e dalla complessità del singolo mandato, nonché dal fatto che il rapporto di revisione proposto risulti adeguato alle circostanze del caso. La decisione se effettuare o meno un controllo della qualità relativo al mandato viene documentata tramite la lista di controllo «Valutazione della necessità di un controllo della qualità relativo al mandato».</w:t>
      </w:r>
    </w:p>
    <w:p w14:paraId="2069F08D" w14:textId="77777777" w:rsidR="005A51B7" w:rsidRPr="00251C94" w:rsidRDefault="005A51B7" w:rsidP="00251C94">
      <w:pPr>
        <w:jc w:val="both"/>
        <w:rPr>
          <w:rFonts w:ascii="KievitPro-Regular" w:hAnsi="KievitPro-Regular" w:cs="Arial"/>
        </w:rPr>
      </w:pPr>
    </w:p>
    <w:p w14:paraId="23160EC4" w14:textId="77777777" w:rsidR="00251C94" w:rsidRDefault="00251C94" w:rsidP="00251C94">
      <w:pPr>
        <w:jc w:val="both"/>
        <w:rPr>
          <w:rFonts w:ascii="KievitPro-Regular" w:hAnsi="KievitPro-Regular"/>
        </w:rPr>
      </w:pPr>
      <w:r w:rsidRPr="00251C94">
        <w:rPr>
          <w:rFonts w:ascii="KievitPro-Regular" w:hAnsi="KievitPro-Regular"/>
        </w:rPr>
        <w:t>Il controllo della qualità relativo al mandato comprende in particolare:</w:t>
      </w:r>
    </w:p>
    <w:p w14:paraId="204149A6" w14:textId="77777777" w:rsidR="00251C94" w:rsidRPr="00251C94" w:rsidRDefault="00251C94" w:rsidP="00251C94">
      <w:pPr>
        <w:numPr>
          <w:ilvl w:val="0"/>
          <w:numId w:val="21"/>
        </w:numPr>
        <w:tabs>
          <w:tab w:val="num" w:pos="720"/>
          <w:tab w:val="right" w:pos="9405"/>
        </w:tabs>
        <w:spacing w:before="120" w:after="120" w:line="240" w:lineRule="auto"/>
        <w:jc w:val="both"/>
        <w:rPr>
          <w:rFonts w:ascii="KievitPro-Regular" w:hAnsi="KievitPro-Regular" w:cs="Arial"/>
        </w:rPr>
      </w:pPr>
      <w:r w:rsidRPr="00251C94">
        <w:rPr>
          <w:rFonts w:ascii="KievitPro-Regular" w:hAnsi="KievitPro-Regular"/>
        </w:rPr>
        <w:t xml:space="preserve">la discussione dei punti salienti con il responsabile del mandato; </w:t>
      </w:r>
    </w:p>
    <w:p w14:paraId="03B333FC" w14:textId="77777777" w:rsidR="00251C94" w:rsidRPr="00251C94" w:rsidRDefault="00251C94" w:rsidP="00251C94">
      <w:pPr>
        <w:numPr>
          <w:ilvl w:val="0"/>
          <w:numId w:val="21"/>
        </w:numPr>
        <w:tabs>
          <w:tab w:val="num" w:pos="720"/>
          <w:tab w:val="right" w:pos="9405"/>
        </w:tabs>
        <w:spacing w:before="120" w:after="120" w:line="240" w:lineRule="auto"/>
        <w:jc w:val="both"/>
        <w:rPr>
          <w:rFonts w:ascii="KievitPro-Regular" w:hAnsi="KievitPro-Regular" w:cs="Arial"/>
        </w:rPr>
      </w:pPr>
      <w:r w:rsidRPr="00251C94">
        <w:rPr>
          <w:rFonts w:ascii="KievitPro-Regular" w:hAnsi="KievitPro-Regular"/>
        </w:rPr>
        <w:t xml:space="preserve">l'esame della chiusura, ovvero delle informazioni fattuali rilevanti e del rapporto di revisione previsto; </w:t>
      </w:r>
    </w:p>
    <w:p w14:paraId="0CDDF363" w14:textId="77777777" w:rsidR="00251C94" w:rsidRPr="00251C94" w:rsidRDefault="00251C94" w:rsidP="00251C94">
      <w:pPr>
        <w:numPr>
          <w:ilvl w:val="0"/>
          <w:numId w:val="21"/>
        </w:numPr>
        <w:tabs>
          <w:tab w:val="num" w:pos="720"/>
          <w:tab w:val="right" w:pos="9405"/>
        </w:tabs>
        <w:spacing w:before="120" w:after="120" w:line="240" w:lineRule="auto"/>
        <w:jc w:val="both"/>
        <w:rPr>
          <w:rFonts w:ascii="KievitPro-Regular" w:hAnsi="KievitPro-Regular" w:cs="Arial"/>
        </w:rPr>
      </w:pPr>
      <w:r w:rsidRPr="00251C94">
        <w:rPr>
          <w:rFonts w:ascii="KievitPro-Regular" w:hAnsi="KievitPro-Regular"/>
        </w:rPr>
        <w:t xml:space="preserve">l'esame di parti selezionate della documentazione del mandato, in particolare per quanto riguarda le valutazioni e le conclusioni rilevanti </w:t>
      </w:r>
      <w:proofErr w:type="gramStart"/>
      <w:r w:rsidRPr="00251C94">
        <w:rPr>
          <w:rFonts w:ascii="KievitPro-Regular" w:hAnsi="KievitPro-Regular"/>
        </w:rPr>
        <w:t>del team</w:t>
      </w:r>
      <w:proofErr w:type="gramEnd"/>
      <w:r w:rsidRPr="00251C94">
        <w:rPr>
          <w:rFonts w:ascii="KievitPro-Regular" w:hAnsi="KievitPro-Regular"/>
        </w:rPr>
        <w:t xml:space="preserve"> di mandato; </w:t>
      </w:r>
    </w:p>
    <w:p w14:paraId="39CED037" w14:textId="77777777" w:rsidR="00251C94" w:rsidRPr="00251C94" w:rsidRDefault="00251C94" w:rsidP="00251C94">
      <w:pPr>
        <w:numPr>
          <w:ilvl w:val="0"/>
          <w:numId w:val="21"/>
        </w:numPr>
        <w:tabs>
          <w:tab w:val="num" w:pos="720"/>
          <w:tab w:val="right" w:pos="9405"/>
        </w:tabs>
        <w:spacing w:before="120" w:after="120" w:line="240" w:lineRule="auto"/>
        <w:jc w:val="both"/>
        <w:rPr>
          <w:rFonts w:ascii="KievitPro-Regular" w:hAnsi="KievitPro-Regular" w:cs="Arial"/>
        </w:rPr>
      </w:pPr>
      <w:r w:rsidRPr="00251C94">
        <w:rPr>
          <w:rFonts w:ascii="KievitPro-Regular" w:hAnsi="KievitPro-Regular"/>
        </w:rPr>
        <w:t xml:space="preserve">la valutazione della correttezza delle conclusioni tratte e dell’adeguatezza del rapporto di mandato previsto. </w:t>
      </w:r>
    </w:p>
    <w:p w14:paraId="4E16B11C" w14:textId="77777777" w:rsidR="00251C94" w:rsidRPr="00251C94" w:rsidRDefault="00251C94" w:rsidP="00251C94">
      <w:pPr>
        <w:jc w:val="both"/>
        <w:rPr>
          <w:rFonts w:ascii="KievitPro-Regular" w:hAnsi="KievitPro-Regular" w:cs="Arial"/>
        </w:rPr>
      </w:pPr>
      <w:r w:rsidRPr="00251C94">
        <w:rPr>
          <w:rFonts w:ascii="KievitPro-Regular" w:hAnsi="KievitPro-Regular"/>
        </w:rPr>
        <w:t>Il controllo della qualità relativo al mandato deve essere obbligatoriamente completato prima della firma o della consegna del rapporto di revisione.</w:t>
      </w:r>
    </w:p>
    <w:p w14:paraId="579564EC" w14:textId="77777777" w:rsidR="00251C94" w:rsidRPr="00251C94" w:rsidRDefault="00251C94" w:rsidP="00251C94">
      <w:pPr>
        <w:spacing w:line="240" w:lineRule="auto"/>
        <w:rPr>
          <w:rFonts w:ascii="KievitPro-Regular" w:hAnsi="KievitPro-Regular" w:cs="Arial"/>
        </w:rPr>
      </w:pPr>
    </w:p>
    <w:p w14:paraId="194DA534" w14:textId="77777777" w:rsidR="00251C94" w:rsidRPr="00251C94" w:rsidRDefault="00251C94" w:rsidP="00251C94">
      <w:pPr>
        <w:jc w:val="both"/>
        <w:rPr>
          <w:rFonts w:ascii="KievitPro-Regular" w:hAnsi="KievitPro-Regular" w:cs="Arial"/>
        </w:rPr>
      </w:pPr>
      <w:r w:rsidRPr="00251C94">
        <w:rPr>
          <w:rFonts w:ascii="KievitPro-Regular" w:hAnsi="KievitPro-Regular"/>
        </w:rPr>
        <w:t>L'attuazione del controllo della qualità relativo al mandato deve essere documentata in modo tracciabile. Dalla documentazione deve risultare in particolare che:</w:t>
      </w:r>
    </w:p>
    <w:p w14:paraId="52C76BD8" w14:textId="77777777" w:rsidR="00251C94" w:rsidRPr="00251C94" w:rsidRDefault="00251C94" w:rsidP="00251C94">
      <w:pPr>
        <w:numPr>
          <w:ilvl w:val="0"/>
          <w:numId w:val="21"/>
        </w:numPr>
        <w:tabs>
          <w:tab w:val="num" w:pos="720"/>
          <w:tab w:val="right" w:pos="9405"/>
        </w:tabs>
        <w:spacing w:before="120" w:after="120" w:line="240" w:lineRule="auto"/>
        <w:jc w:val="both"/>
        <w:rPr>
          <w:rFonts w:ascii="KievitPro-Regular" w:hAnsi="KievitPro-Regular" w:cs="Arial"/>
        </w:rPr>
      </w:pPr>
      <w:r w:rsidRPr="00251C94">
        <w:rPr>
          <w:rFonts w:ascii="KievitPro-Regular" w:hAnsi="KievitPro-Regular"/>
        </w:rPr>
        <w:t xml:space="preserve">sono state attuate le misure di controllo della qualità; </w:t>
      </w:r>
    </w:p>
    <w:p w14:paraId="478120E6" w14:textId="77777777" w:rsidR="00251C94" w:rsidRPr="00251C94" w:rsidRDefault="00251C94" w:rsidP="00251C94">
      <w:pPr>
        <w:numPr>
          <w:ilvl w:val="0"/>
          <w:numId w:val="21"/>
        </w:numPr>
        <w:tabs>
          <w:tab w:val="num" w:pos="720"/>
          <w:tab w:val="right" w:pos="9405"/>
        </w:tabs>
        <w:spacing w:before="120" w:after="120" w:line="240" w:lineRule="auto"/>
        <w:jc w:val="both"/>
        <w:rPr>
          <w:rFonts w:ascii="KievitPro-Regular" w:hAnsi="KievitPro-Regular" w:cs="Arial"/>
        </w:rPr>
      </w:pPr>
      <w:r w:rsidRPr="00251C94">
        <w:rPr>
          <w:rFonts w:ascii="KievitPro-Regular" w:hAnsi="KievitPro-Regular"/>
        </w:rPr>
        <w:t xml:space="preserve">l’esame è stato completato prima della data del rapporto di revisione; </w:t>
      </w:r>
    </w:p>
    <w:p w14:paraId="3FD7F2D1" w14:textId="77777777" w:rsidR="00251C94" w:rsidRPr="00251C94" w:rsidRDefault="00251C94" w:rsidP="00251C94">
      <w:pPr>
        <w:numPr>
          <w:ilvl w:val="0"/>
          <w:numId w:val="21"/>
        </w:numPr>
        <w:tabs>
          <w:tab w:val="num" w:pos="720"/>
          <w:tab w:val="right" w:pos="9405"/>
        </w:tabs>
        <w:spacing w:before="120" w:after="120" w:line="240" w:lineRule="auto"/>
        <w:jc w:val="both"/>
        <w:rPr>
          <w:rFonts w:ascii="KievitPro-Regular" w:hAnsi="KievitPro-Regular" w:cs="Arial"/>
        </w:rPr>
      </w:pPr>
      <w:r w:rsidRPr="00251C94">
        <w:rPr>
          <w:rFonts w:ascii="KievitPro-Regular" w:hAnsi="KievitPro-Regular"/>
        </w:rPr>
        <w:t xml:space="preserve">non sussistono circostanze non chiarite che indichino che le valutazioni o le conclusioni rilevanti </w:t>
      </w:r>
      <w:proofErr w:type="gramStart"/>
      <w:r w:rsidRPr="00251C94">
        <w:rPr>
          <w:rFonts w:ascii="KievitPro-Regular" w:hAnsi="KievitPro-Regular"/>
        </w:rPr>
        <w:t>del team</w:t>
      </w:r>
      <w:proofErr w:type="gramEnd"/>
      <w:r w:rsidRPr="00251C94">
        <w:rPr>
          <w:rFonts w:ascii="KievitPro-Regular" w:hAnsi="KievitPro-Regular"/>
        </w:rPr>
        <w:t xml:space="preserve"> di mandato erano inopportune. </w:t>
      </w:r>
    </w:p>
    <w:p w14:paraId="5A8B1EE8" w14:textId="77777777" w:rsidR="00251C94" w:rsidRPr="00251C94" w:rsidRDefault="00251C94" w:rsidP="00251C94">
      <w:pPr>
        <w:spacing w:before="240" w:after="120"/>
        <w:jc w:val="both"/>
        <w:rPr>
          <w:rFonts w:ascii="KievitPro-Regular" w:hAnsi="KievitPro-Regular" w:cs="Arial"/>
        </w:rPr>
      </w:pPr>
      <w:r w:rsidRPr="00251C94">
        <w:rPr>
          <w:rFonts w:ascii="KievitPro-Regular" w:hAnsi="KievitPro-Regular"/>
        </w:rPr>
        <w:t>L'attuazione di un sistema di controllo della qualità relativo al mandato non esonera il responsabile del mandato dalla sua responsabilità complessiva per il mandato stesso e per le conclusioni formulate.</w:t>
      </w:r>
    </w:p>
    <w:p w14:paraId="262D8219" w14:textId="77777777" w:rsidR="00251C94" w:rsidRPr="00251C94" w:rsidRDefault="00251C94" w:rsidP="00251C94">
      <w:pPr>
        <w:spacing w:line="240" w:lineRule="auto"/>
        <w:jc w:val="both"/>
        <w:rPr>
          <w:rFonts w:ascii="KievitPro-Regular" w:hAnsi="KievitPro-Regular" w:cs="Arial"/>
          <w:sz w:val="10"/>
          <w:szCs w:val="10"/>
        </w:rPr>
      </w:pPr>
    </w:p>
    <w:p w14:paraId="3AE4CE6D" w14:textId="77777777" w:rsidR="00251C94" w:rsidRPr="00251C94" w:rsidRDefault="00251C94" w:rsidP="00251C94">
      <w:pPr>
        <w:spacing w:before="120" w:after="120" w:line="278" w:lineRule="auto"/>
        <w:jc w:val="both"/>
        <w:rPr>
          <w:rFonts w:ascii="KievitPro-Regular" w:hAnsi="KievitPro-Regular" w:cs="Arial"/>
          <w:i/>
          <w:iCs/>
        </w:rPr>
      </w:pPr>
      <w:r w:rsidRPr="00251C94">
        <w:rPr>
          <w:rFonts w:ascii="KievitPro-Regular" w:hAnsi="KievitPro-Regular"/>
          <w:i/>
        </w:rPr>
        <w:t>Allegato 12.14:</w:t>
      </w:r>
      <w:r w:rsidRPr="00251C94">
        <w:rPr>
          <w:rFonts w:ascii="KievitPro-Regular" w:hAnsi="KievitPro-Regular"/>
          <w:i/>
        </w:rPr>
        <w:tab/>
        <w:t>Lista di controllo per la valutazione della necessità di un controllo della qualità relativo al mandato</w:t>
      </w:r>
    </w:p>
    <w:p w14:paraId="76D0012A" w14:textId="77777777" w:rsidR="00251C94" w:rsidRPr="00251C94" w:rsidRDefault="00251C94" w:rsidP="00251C94">
      <w:pPr>
        <w:spacing w:line="240" w:lineRule="auto"/>
        <w:rPr>
          <w:rFonts w:ascii="KievitPro-Regular" w:hAnsi="KievitPro-Regular" w:cs="Arial"/>
          <w:b/>
          <w:smallCaps/>
          <w:szCs w:val="24"/>
        </w:rPr>
      </w:pPr>
      <w:r w:rsidRPr="00251C94">
        <w:rPr>
          <w:rFonts w:ascii="KievitPro-Regular" w:hAnsi="KievitPro-Regular"/>
        </w:rPr>
        <w:br w:type="page"/>
      </w:r>
    </w:p>
    <w:p w14:paraId="24C992BC" w14:textId="77777777" w:rsidR="00251C94" w:rsidRPr="00251C94" w:rsidRDefault="00251C94" w:rsidP="00251C94">
      <w:pPr>
        <w:pStyle w:val="berschrift2"/>
        <w:numPr>
          <w:ilvl w:val="1"/>
          <w:numId w:val="16"/>
        </w:numPr>
        <w:spacing w:before="360"/>
        <w:ind w:left="425" w:hanging="425"/>
        <w:rPr>
          <w:rFonts w:ascii="KievitPro-Regular" w:hAnsi="KievitPro-Regular"/>
          <w:b/>
          <w:sz w:val="22"/>
          <w:szCs w:val="24"/>
        </w:rPr>
      </w:pPr>
      <w:bookmarkStart w:id="38" w:name="_Toc236311861"/>
      <w:r w:rsidRPr="00251C94">
        <w:rPr>
          <w:rFonts w:ascii="KievitPro-Regular" w:hAnsi="KievitPro-Regular"/>
          <w:b/>
          <w:sz w:val="22"/>
        </w:rPr>
        <w:lastRenderedPageBreak/>
        <w:t>Criteri di idoneità per il responsabile del controllo della qualità relativo al mandato</w:t>
      </w:r>
      <w:bookmarkEnd w:id="38"/>
    </w:p>
    <w:p w14:paraId="640EEE1E" w14:textId="77777777" w:rsidR="00251C94" w:rsidRPr="00251C94" w:rsidRDefault="00251C94" w:rsidP="00251C94">
      <w:pPr>
        <w:spacing w:before="240" w:after="120"/>
        <w:jc w:val="both"/>
        <w:rPr>
          <w:rFonts w:ascii="KievitPro-Regular" w:hAnsi="KievitPro-Regular" w:cs="Arial"/>
        </w:rPr>
      </w:pPr>
      <w:r w:rsidRPr="00251C94">
        <w:rPr>
          <w:rFonts w:ascii="KievitPro-Regular" w:hAnsi="KievitPro-Regular"/>
        </w:rPr>
        <w:t>Il responsabile del controllo della qualità relativo al mandato deve possedere qualifiche professionali adeguate, esperienza pratica e l'abilitazione richiesta per il mandato in questione. È a disposizione del responsabile del mandato per fornire supporto in caso di questioni tecniche e consulenze.</w:t>
      </w:r>
    </w:p>
    <w:p w14:paraId="2BD1DB1A" w14:textId="77777777" w:rsidR="00251C94" w:rsidRPr="00251C94" w:rsidRDefault="00251C94" w:rsidP="00251C94">
      <w:pPr>
        <w:spacing w:before="240" w:after="120"/>
        <w:jc w:val="both"/>
        <w:rPr>
          <w:rFonts w:ascii="KievitPro-Regular" w:hAnsi="KievitPro-Regular" w:cs="Arial"/>
        </w:rPr>
      </w:pPr>
      <w:r w:rsidRPr="00251C94">
        <w:rPr>
          <w:rFonts w:ascii="KievitPro-Regular" w:hAnsi="KievitPro-Regular"/>
        </w:rPr>
        <w:t>I compiti del responsabile del controllo della qualità relativo al mandato devono essere svolti con la necessaria indipendenza e obiettività. In particolare, occorre garantire che:</w:t>
      </w:r>
    </w:p>
    <w:p w14:paraId="2CCF44FF" w14:textId="77777777" w:rsidR="00251C94" w:rsidRPr="00251C94" w:rsidRDefault="00251C94" w:rsidP="00251C94">
      <w:pPr>
        <w:numPr>
          <w:ilvl w:val="0"/>
          <w:numId w:val="21"/>
        </w:numPr>
        <w:tabs>
          <w:tab w:val="num" w:pos="720"/>
          <w:tab w:val="right" w:pos="9405"/>
        </w:tabs>
        <w:spacing w:before="120" w:after="120" w:line="240" w:lineRule="auto"/>
        <w:jc w:val="both"/>
        <w:rPr>
          <w:rFonts w:ascii="KievitPro-Regular" w:hAnsi="KievitPro-Regular" w:cs="Arial"/>
        </w:rPr>
      </w:pPr>
      <w:r w:rsidRPr="00251C94">
        <w:rPr>
          <w:rFonts w:ascii="KievitPro-Regular" w:hAnsi="KievitPro-Regular"/>
        </w:rPr>
        <w:t xml:space="preserve">il responsabile del controllo della qualità relativo al mandato non sia designato dal responsabile del mandato; </w:t>
      </w:r>
    </w:p>
    <w:p w14:paraId="2696A83B" w14:textId="77777777" w:rsidR="00251C94" w:rsidRPr="00251C94" w:rsidRDefault="00251C94" w:rsidP="00251C94">
      <w:pPr>
        <w:numPr>
          <w:ilvl w:val="0"/>
          <w:numId w:val="21"/>
        </w:numPr>
        <w:tabs>
          <w:tab w:val="num" w:pos="720"/>
          <w:tab w:val="right" w:pos="9405"/>
        </w:tabs>
        <w:spacing w:before="120" w:after="120" w:line="240" w:lineRule="auto"/>
        <w:jc w:val="both"/>
        <w:rPr>
          <w:rFonts w:ascii="KievitPro-Regular" w:hAnsi="KievitPro-Regular" w:cs="Arial"/>
        </w:rPr>
      </w:pPr>
      <w:r w:rsidRPr="00251C94">
        <w:rPr>
          <w:rFonts w:ascii="KievitPro-Regular" w:hAnsi="KievitPro-Regular"/>
        </w:rPr>
        <w:t xml:space="preserve">non vi sia alcuna collaborazione nell'esecuzione del mandato in questione; </w:t>
      </w:r>
    </w:p>
    <w:p w14:paraId="7CC09EBF" w14:textId="77777777" w:rsidR="00251C94" w:rsidRPr="00251C94" w:rsidRDefault="00251C94" w:rsidP="00251C94">
      <w:pPr>
        <w:numPr>
          <w:ilvl w:val="0"/>
          <w:numId w:val="21"/>
        </w:numPr>
        <w:tabs>
          <w:tab w:val="num" w:pos="720"/>
          <w:tab w:val="right" w:pos="9405"/>
        </w:tabs>
        <w:spacing w:before="120" w:after="120" w:line="240" w:lineRule="auto"/>
        <w:jc w:val="both"/>
        <w:rPr>
          <w:rFonts w:ascii="KievitPro-Regular" w:hAnsi="KievitPro-Regular" w:cs="Arial"/>
        </w:rPr>
      </w:pPr>
      <w:r w:rsidRPr="00251C94">
        <w:rPr>
          <w:rFonts w:ascii="KievitPro-Regular" w:hAnsi="KievitPro-Regular"/>
        </w:rPr>
        <w:t xml:space="preserve">non vengano prese decisioni che rientrano nella responsabilità </w:t>
      </w:r>
      <w:proofErr w:type="gramStart"/>
      <w:r w:rsidRPr="00251C94">
        <w:rPr>
          <w:rFonts w:ascii="KievitPro-Regular" w:hAnsi="KievitPro-Regular"/>
        </w:rPr>
        <w:t>del team</w:t>
      </w:r>
      <w:proofErr w:type="gramEnd"/>
      <w:r w:rsidRPr="00251C94">
        <w:rPr>
          <w:rFonts w:ascii="KievitPro-Regular" w:hAnsi="KievitPro-Regular"/>
        </w:rPr>
        <w:t xml:space="preserve"> di mandato. </w:t>
      </w:r>
    </w:p>
    <w:p w14:paraId="0496F1E3" w14:textId="77777777" w:rsidR="00251C94" w:rsidRPr="00251C94" w:rsidRDefault="00251C94" w:rsidP="00251C94">
      <w:pPr>
        <w:spacing w:before="240" w:after="120"/>
        <w:jc w:val="both"/>
        <w:rPr>
          <w:rFonts w:ascii="KievitPro-Regular" w:hAnsi="KievitPro-Regular" w:cs="Arial"/>
        </w:rPr>
      </w:pPr>
      <w:r w:rsidRPr="00251C94">
        <w:rPr>
          <w:rFonts w:ascii="KievitPro-Regular" w:hAnsi="KievitPro-Regular"/>
        </w:rPr>
        <w:t>In linea di principio, il controllo della qualità relativo al mandato viene assicurato dal responsabile della gestione della qualità o da un'altra persona sufficientemente qualificata e indipendente.</w:t>
      </w:r>
    </w:p>
    <w:p w14:paraId="2DCA458B" w14:textId="77777777" w:rsidR="00251C94" w:rsidRPr="00251C94" w:rsidRDefault="00251C94" w:rsidP="00251C94">
      <w:pPr>
        <w:spacing w:before="240" w:after="120"/>
        <w:jc w:val="both"/>
        <w:rPr>
          <w:rFonts w:ascii="KievitPro-Regular" w:hAnsi="KievitPro-Regular"/>
        </w:rPr>
      </w:pPr>
      <w:r w:rsidRPr="00251C94">
        <w:rPr>
          <w:rFonts w:ascii="KievitPro-Regular" w:hAnsi="KievitPro-Regular"/>
        </w:rPr>
        <w:t>Qualora sussistano circostanze che potrebbero compromettere o mettere a rischio l'obiettività o l'indipendenza del responsabile del controllo della qualità relativo al mandato, la direzione deve designare un sostituto idoneo. Qualora all'interno dell'organizzazione non sia disponibile una persona sufficientemente indipendente o qualificata, occorre incaricare un esperto esterno o un'altra impresa di revisione di svolgere le attività di controllo della qualità relativo al mandato.</w:t>
      </w:r>
    </w:p>
    <w:p w14:paraId="43DAA230" w14:textId="77777777" w:rsidR="00251C94" w:rsidRPr="00251C94" w:rsidRDefault="00251C94" w:rsidP="00251C94">
      <w:pPr>
        <w:pStyle w:val="berschrift2"/>
        <w:numPr>
          <w:ilvl w:val="1"/>
          <w:numId w:val="16"/>
        </w:numPr>
        <w:spacing w:before="360"/>
        <w:ind w:left="425" w:hanging="425"/>
        <w:rPr>
          <w:rFonts w:ascii="KievitPro-Regular" w:hAnsi="KievitPro-Regular"/>
          <w:b/>
          <w:sz w:val="22"/>
          <w:szCs w:val="24"/>
        </w:rPr>
      </w:pPr>
      <w:bookmarkStart w:id="39" w:name="_Toc236311862"/>
      <w:r w:rsidRPr="00251C94">
        <w:rPr>
          <w:rFonts w:ascii="KievitPro-Regular" w:hAnsi="KievitPro-Regular"/>
          <w:b/>
          <w:sz w:val="22"/>
        </w:rPr>
        <w:t>Divergenze di opinione</w:t>
      </w:r>
      <w:bookmarkEnd w:id="39"/>
    </w:p>
    <w:p w14:paraId="358CEA39" w14:textId="77777777" w:rsidR="00251C94" w:rsidRPr="00251C94" w:rsidRDefault="00251C94" w:rsidP="00251C94">
      <w:pPr>
        <w:spacing w:before="240" w:after="120"/>
        <w:jc w:val="both"/>
        <w:rPr>
          <w:rFonts w:ascii="KievitPro-Regular" w:hAnsi="KievitPro-Regular" w:cs="Arial"/>
        </w:rPr>
      </w:pPr>
      <w:r w:rsidRPr="00251C94">
        <w:rPr>
          <w:rFonts w:ascii="KievitPro-Regular" w:hAnsi="KievitPro-Regular"/>
        </w:rPr>
        <w:t xml:space="preserve">Per la gestione delle divergenze di opinione esistono norme e procedure interne che garantiscono che le differenze all'interno </w:t>
      </w:r>
      <w:proofErr w:type="gramStart"/>
      <w:r w:rsidRPr="00251C94">
        <w:rPr>
          <w:rFonts w:ascii="KievitPro-Regular" w:hAnsi="KievitPro-Regular"/>
        </w:rPr>
        <w:t>del team</w:t>
      </w:r>
      <w:proofErr w:type="gramEnd"/>
      <w:r w:rsidRPr="00251C94">
        <w:rPr>
          <w:rFonts w:ascii="KievitPro-Regular" w:hAnsi="KievitPro-Regular"/>
        </w:rPr>
        <w:t xml:space="preserve"> di mandato, con gli esperti consultati o, se applicabile, tra il responsabile del mandato e il responsabile del controllo della qualità relativo al mandato, vengano individuate tempestivamente, valutate e risolte in modo adeguato.</w:t>
      </w:r>
    </w:p>
    <w:p w14:paraId="7A025DED" w14:textId="77777777" w:rsidR="00251C94" w:rsidRPr="00251C94" w:rsidRDefault="00251C94" w:rsidP="00251C94">
      <w:pPr>
        <w:spacing w:before="240" w:after="120"/>
        <w:jc w:val="both"/>
        <w:rPr>
          <w:rFonts w:ascii="KievitPro-Regular" w:hAnsi="KievitPro-Regular" w:cs="Arial"/>
        </w:rPr>
      </w:pPr>
      <w:r w:rsidRPr="00251C94">
        <w:rPr>
          <w:rFonts w:ascii="KievitPro-Regular" w:hAnsi="KievitPro-Regular"/>
        </w:rPr>
        <w:t>Le divergenze di opinione devono essere affrontate apertamente e risolte in modo oggettivo e tempestivo, coinvolgendo le persone responsabili competenti. Lo scopo è elaborare soluzioni in modo obiettivo, professionale e trasparente. Se necessario, è possibile consultare ulteriori esperti interni o esterni oppure organizzazioni professionali.</w:t>
      </w:r>
    </w:p>
    <w:p w14:paraId="47DA4967" w14:textId="77777777" w:rsidR="00251C94" w:rsidRPr="00251C94" w:rsidRDefault="00251C94" w:rsidP="00251C94">
      <w:pPr>
        <w:spacing w:before="240" w:after="120"/>
        <w:jc w:val="both"/>
        <w:rPr>
          <w:rFonts w:ascii="KievitPro-Regular" w:hAnsi="KievitPro-Regular" w:cs="Arial"/>
        </w:rPr>
      </w:pPr>
      <w:r w:rsidRPr="00251C94">
        <w:rPr>
          <w:rFonts w:ascii="KievitPro-Regular" w:hAnsi="KievitPro-Regular"/>
        </w:rPr>
        <w:t>Se una divergenza di opinioni non può essere risolta a livello operativo o se riguarda questioni significative relative alla gestione della qualità, la questione deve essere sottoposta al responsabile del mandato o alla direzione. Il chiarimento definitivo deve avvenire prima della consegna del rapporto di revisione o prima della chiusura delle attività in questione.</w:t>
      </w:r>
    </w:p>
    <w:p w14:paraId="1C3EDB72" w14:textId="77777777" w:rsidR="00251C94" w:rsidRPr="00251C94" w:rsidRDefault="00251C94" w:rsidP="00251C94">
      <w:pPr>
        <w:spacing w:before="240" w:after="120"/>
        <w:jc w:val="both"/>
        <w:rPr>
          <w:rFonts w:ascii="KievitPro-Regular" w:hAnsi="KievitPro-Regular" w:cs="Arial"/>
        </w:rPr>
      </w:pPr>
      <w:r w:rsidRPr="00251C94">
        <w:rPr>
          <w:rFonts w:ascii="KievitPro-Regular" w:hAnsi="KievitPro-Regular"/>
        </w:rPr>
        <w:t xml:space="preserve">Le conclusioni tratte e le misure che ne derivano devono essere adeguatamente documentate e attuate. </w:t>
      </w:r>
    </w:p>
    <w:p w14:paraId="327574E3" w14:textId="77777777" w:rsidR="00251C94" w:rsidRPr="00251C94" w:rsidRDefault="00251C94" w:rsidP="00251C94">
      <w:pPr>
        <w:spacing w:before="240" w:after="120"/>
        <w:jc w:val="both"/>
        <w:rPr>
          <w:rFonts w:ascii="KievitPro-Regular" w:hAnsi="KievitPro-Regular" w:cs="Arial"/>
        </w:rPr>
      </w:pPr>
      <w:r w:rsidRPr="00251C94">
        <w:rPr>
          <w:rFonts w:ascii="KievitPro-Regular" w:hAnsi="KievitPro-Regular"/>
        </w:rPr>
        <w:t>Oltre alle consulenze su questioni relative ai mandati, occorre documentare anche le controversie legali o le divergenze di opinione.</w:t>
      </w:r>
    </w:p>
    <w:p w14:paraId="5F120573" w14:textId="77777777" w:rsidR="00251C94" w:rsidRPr="00251C94" w:rsidRDefault="00251C94" w:rsidP="00251C94">
      <w:pPr>
        <w:spacing w:line="240" w:lineRule="auto"/>
        <w:rPr>
          <w:rFonts w:ascii="KievitPro-Regular" w:hAnsi="KievitPro-Regular" w:cs="Arial"/>
          <w:b/>
          <w:smallCaps/>
          <w:szCs w:val="24"/>
        </w:rPr>
      </w:pPr>
      <w:r w:rsidRPr="00251C94">
        <w:rPr>
          <w:rFonts w:ascii="KievitPro-Regular" w:hAnsi="KievitPro-Regular"/>
        </w:rPr>
        <w:br w:type="page"/>
      </w:r>
    </w:p>
    <w:p w14:paraId="5167F693" w14:textId="77777777" w:rsidR="00251C94" w:rsidRPr="00251C94" w:rsidRDefault="00251C94" w:rsidP="00251C94">
      <w:pPr>
        <w:pStyle w:val="berschrift2"/>
        <w:numPr>
          <w:ilvl w:val="1"/>
          <w:numId w:val="16"/>
        </w:numPr>
        <w:spacing w:before="360"/>
        <w:ind w:left="425" w:hanging="425"/>
        <w:rPr>
          <w:rFonts w:ascii="KievitPro-Regular" w:hAnsi="KievitPro-Regular"/>
          <w:b/>
          <w:sz w:val="22"/>
          <w:szCs w:val="24"/>
        </w:rPr>
      </w:pPr>
      <w:bookmarkStart w:id="40" w:name="_Toc236311863"/>
      <w:r w:rsidRPr="00251C94">
        <w:rPr>
          <w:rFonts w:ascii="KievitPro-Regular" w:hAnsi="KievitPro-Regular"/>
          <w:b/>
          <w:sz w:val="22"/>
        </w:rPr>
        <w:lastRenderedPageBreak/>
        <w:t>Documentazione del mandato</w:t>
      </w:r>
      <w:bookmarkEnd w:id="40"/>
    </w:p>
    <w:p w14:paraId="1C6B5187" w14:textId="77777777" w:rsidR="00251C94" w:rsidRPr="00251C94" w:rsidRDefault="00251C94" w:rsidP="00251C94">
      <w:pPr>
        <w:spacing w:before="240" w:after="120"/>
        <w:jc w:val="both"/>
        <w:rPr>
          <w:rFonts w:ascii="KievitPro-Regular" w:hAnsi="KievitPro-Regular" w:cs="Arial"/>
        </w:rPr>
      </w:pPr>
      <w:r w:rsidRPr="00251C94">
        <w:rPr>
          <w:rFonts w:ascii="KievitPro-Regular" w:hAnsi="KievitPro-Regular"/>
        </w:rPr>
        <w:t xml:space="preserve">Al fine di garantire la tracciabilità e la correttezza, tutte le attività di revisione vengono documentate in modo sistematico, completo e uniforme. Gli appunti di lavoro e la documentazione relativa ai mandati vengono di norma archiviati in formato elettronico all'interno del software di verifica utilizzato </w:t>
      </w:r>
      <w:r w:rsidRPr="00251C94">
        <w:rPr>
          <w:rFonts w:ascii="KievitPro-Regular" w:hAnsi="KievitPro-Regular"/>
          <w:highlight w:val="yellow"/>
        </w:rPr>
        <w:t xml:space="preserve">(Alternativa 1: Tutti gli appunti di lavoro e i documenti devono essere archiviati in formato PDF sul disco </w:t>
      </w:r>
      <w:proofErr w:type="gramStart"/>
      <w:r w:rsidRPr="00251C94">
        <w:rPr>
          <w:rFonts w:ascii="KievitPro-Regular" w:hAnsi="KievitPro-Regular"/>
          <w:highlight w:val="yellow"/>
        </w:rPr>
        <w:t>X:.</w:t>
      </w:r>
      <w:proofErr w:type="gramEnd"/>
      <w:r w:rsidRPr="00251C94">
        <w:rPr>
          <w:rFonts w:ascii="KievitPro-Regular" w:hAnsi="KievitPro-Regular"/>
          <w:highlight w:val="yellow"/>
        </w:rPr>
        <w:t xml:space="preserve"> È importante tenere presente che i file archiviati sono protetti da scrittura e non possono più essere modificati. / Alternativa 2: Gli appunti di lavoro possono essere stampati e archiviati in un raccoglitore dedicato alla revisione</w:t>
      </w:r>
      <w:r w:rsidRPr="00251C94">
        <w:rPr>
          <w:rStyle w:val="Funotenzeichen"/>
          <w:rFonts w:ascii="KievitPro-Regular" w:hAnsi="KievitPro-Regular" w:cs="Arial"/>
          <w:highlight w:val="yellow"/>
          <w:lang w:val="de-CH"/>
        </w:rPr>
        <w:footnoteReference w:id="4"/>
      </w:r>
      <w:r w:rsidRPr="00251C94">
        <w:rPr>
          <w:rFonts w:ascii="KievitPro-Regular" w:hAnsi="KievitPro-Regular"/>
          <w:highlight w:val="yellow"/>
        </w:rPr>
        <w:t>).</w:t>
      </w:r>
    </w:p>
    <w:p w14:paraId="5C235FA3" w14:textId="77777777" w:rsidR="00251C94" w:rsidRPr="00251C94" w:rsidRDefault="00251C94" w:rsidP="00251C94">
      <w:pPr>
        <w:spacing w:before="240" w:after="120"/>
        <w:jc w:val="both"/>
        <w:rPr>
          <w:rFonts w:ascii="KievitPro-Regular" w:hAnsi="KievitPro-Regular" w:cs="Arial"/>
        </w:rPr>
      </w:pPr>
      <w:r w:rsidRPr="00251C94">
        <w:rPr>
          <w:rFonts w:ascii="KievitPro-Regular" w:hAnsi="KievitPro-Regular"/>
        </w:rPr>
        <w:t>La compilazione della documentazione definitiva del mandato deve essere completata entro un termine ragionevole dalla chiusura del mandato, di norma entro e non oltre 60 giorni dalla firma o dalla data di redazione del rapporto di revisione.</w:t>
      </w:r>
    </w:p>
    <w:p w14:paraId="5418E7E0" w14:textId="77777777" w:rsidR="00251C94" w:rsidRPr="00251C94" w:rsidRDefault="00251C94" w:rsidP="00251C94">
      <w:pPr>
        <w:spacing w:before="240" w:after="120"/>
        <w:jc w:val="both"/>
        <w:rPr>
          <w:rFonts w:ascii="KievitPro-Regular" w:hAnsi="KievitPro-Regular" w:cs="Arial"/>
        </w:rPr>
      </w:pPr>
      <w:r w:rsidRPr="00251C94">
        <w:rPr>
          <w:rFonts w:ascii="KievitPro-Regular" w:hAnsi="KievitPro-Regular"/>
        </w:rPr>
        <w:t>Prima della consegna del rapporto di revisione, è necessario assicurarsi che tutte le operazioni di revisione significative siano state completate, che le questioni in sospeso siano state risolte e che siano disponibili i documenti firmati dal mandante.</w:t>
      </w:r>
    </w:p>
    <w:p w14:paraId="5A845949" w14:textId="77777777" w:rsidR="00251C94" w:rsidRPr="00251C94" w:rsidRDefault="00251C94" w:rsidP="00251C94">
      <w:pPr>
        <w:spacing w:before="240" w:after="120"/>
        <w:jc w:val="both"/>
        <w:rPr>
          <w:rFonts w:ascii="KievitPro-Regular" w:hAnsi="KievitPro-Regular" w:cs="Arial"/>
        </w:rPr>
      </w:pPr>
      <w:r w:rsidRPr="00251C94">
        <w:rPr>
          <w:rFonts w:ascii="KievitPro-Regular" w:hAnsi="KievitPro-Regular"/>
        </w:rPr>
        <w:t>La documentazione del mandato deve essere conservata in modo tale da garantirne la completezza, la disponibilità, la leggibilità e la tracciabilità per l'intero termine per conservare i documenti previsto dalla legge. L'archiviazione elettronica avviene nel rispetto dei requisiti di legge vigenti, in particolare delle prescrizioni legali relative alla conservazione elettronica dei documenti aziendali. Il termine per conservare i documenti è, in linea di principio, di dieci anni, salvo diverse disposizioni di legge.</w:t>
      </w:r>
    </w:p>
    <w:p w14:paraId="2262285A" w14:textId="77777777" w:rsidR="00251C94" w:rsidRPr="00251C94" w:rsidRDefault="00251C94" w:rsidP="00251C94">
      <w:pPr>
        <w:spacing w:before="240" w:after="120"/>
        <w:jc w:val="both"/>
        <w:rPr>
          <w:rFonts w:ascii="KievitPro-Regular" w:hAnsi="KievitPro-Regular" w:cs="Arial"/>
        </w:rPr>
      </w:pPr>
      <w:r w:rsidRPr="00251C94">
        <w:rPr>
          <w:rFonts w:ascii="KievitPro-Regular" w:hAnsi="KievitPro-Regular"/>
        </w:rPr>
        <w:t>L'impresa di revisione garantisce, attraverso adeguate misure tecniche e organizzative, che l'accesso ai fascicoli di revisione sia limitato alle persone autorizzate e che la sicurezza dei dati sia sempre assicurata. Tra queste figurano in particolare le autorizzazioni di accesso, i backup dei dati e le misure volte a tutelare la riservatezza delle informazioni contenute.</w:t>
      </w:r>
    </w:p>
    <w:p w14:paraId="2AB2CE94" w14:textId="77777777" w:rsidR="00251C94" w:rsidRPr="00251C94" w:rsidRDefault="00251C94" w:rsidP="00251C94">
      <w:pPr>
        <w:spacing w:before="240" w:after="120"/>
        <w:jc w:val="both"/>
        <w:rPr>
          <w:rFonts w:ascii="KievitPro-Regular" w:hAnsi="KievitPro-Regular" w:cs="Arial"/>
        </w:rPr>
      </w:pPr>
      <w:r w:rsidRPr="00251C94">
        <w:rPr>
          <w:rFonts w:ascii="KievitPro-Regular" w:hAnsi="KievitPro-Regular"/>
        </w:rPr>
        <w:t>Tutti i collaboratori sono tenuti a garantire la riservatezza delle informazioni contenute nella documentazione del mandato, salvo in caso di obbligo di divulgazione previsto dalla legge o di consenso esplicito del mandante.</w:t>
      </w:r>
    </w:p>
    <w:p w14:paraId="28ABBAFD" w14:textId="77777777" w:rsidR="00251C94" w:rsidRPr="00251C94" w:rsidRDefault="00251C94" w:rsidP="00251C94">
      <w:pPr>
        <w:spacing w:before="240" w:after="120"/>
        <w:jc w:val="both"/>
        <w:rPr>
          <w:rFonts w:ascii="KievitPro-Regular" w:hAnsi="KievitPro-Regular" w:cs="Arial"/>
        </w:rPr>
      </w:pPr>
      <w:r w:rsidRPr="00251C94">
        <w:rPr>
          <w:rFonts w:ascii="KievitPro-Regular" w:hAnsi="KievitPro-Regular"/>
        </w:rPr>
        <w:t>Gli appunti di lavoro e i fascicoli del mandato sono di proprietà dell'impresa di revisione. La consegna di documenti o di estratti degli stessi ai mandanti avviene solo nella misura consentita e a condizione che ciò non comporti, in particolare, alcuna violazione di requisiti legali, normativi o relativi all'indipendenza.</w:t>
      </w:r>
    </w:p>
    <w:p w14:paraId="5F3150BA" w14:textId="77777777" w:rsidR="00251C94" w:rsidRPr="00251C94" w:rsidRDefault="00251C94" w:rsidP="00251C94">
      <w:pPr>
        <w:spacing w:line="240" w:lineRule="auto"/>
        <w:rPr>
          <w:rFonts w:ascii="KievitPro-Regular" w:hAnsi="KievitPro-Regular" w:cs="Arial"/>
          <w:b/>
          <w:smallCaps/>
          <w:szCs w:val="24"/>
        </w:rPr>
      </w:pPr>
      <w:r w:rsidRPr="00251C94">
        <w:rPr>
          <w:rFonts w:ascii="KievitPro-Regular" w:hAnsi="KievitPro-Regular"/>
        </w:rPr>
        <w:br w:type="page"/>
      </w:r>
    </w:p>
    <w:p w14:paraId="01F2E117" w14:textId="77777777" w:rsidR="00251C94" w:rsidRPr="00251C94" w:rsidRDefault="00251C94" w:rsidP="00251C94">
      <w:pPr>
        <w:pStyle w:val="berschrift2"/>
        <w:numPr>
          <w:ilvl w:val="1"/>
          <w:numId w:val="16"/>
        </w:numPr>
        <w:spacing w:before="360"/>
        <w:ind w:left="425" w:hanging="425"/>
        <w:rPr>
          <w:rFonts w:ascii="KievitPro-Regular" w:hAnsi="KievitPro-Regular"/>
          <w:b/>
          <w:sz w:val="22"/>
          <w:szCs w:val="24"/>
        </w:rPr>
      </w:pPr>
      <w:bookmarkStart w:id="41" w:name="_Toc236311864"/>
      <w:r w:rsidRPr="00251C94">
        <w:rPr>
          <w:rFonts w:ascii="KievitPro-Regular" w:hAnsi="KievitPro-Regular"/>
          <w:b/>
          <w:sz w:val="22"/>
        </w:rPr>
        <w:lastRenderedPageBreak/>
        <w:t>Ricorso a soggetti esterni o a un'altra impresa di revisione</w:t>
      </w:r>
      <w:bookmarkEnd w:id="41"/>
    </w:p>
    <w:p w14:paraId="5DB1E9F3" w14:textId="77777777" w:rsidR="00251C94" w:rsidRPr="00251C94" w:rsidRDefault="00251C94" w:rsidP="00251C94">
      <w:pPr>
        <w:spacing w:before="240" w:after="120"/>
        <w:jc w:val="both"/>
        <w:rPr>
          <w:rFonts w:ascii="KievitPro-Regular" w:hAnsi="KievitPro-Regular" w:cs="Arial"/>
        </w:rPr>
      </w:pPr>
      <w:r w:rsidRPr="00251C94">
        <w:rPr>
          <w:rFonts w:ascii="KievitPro-Regular" w:hAnsi="KievitPro-Regular"/>
        </w:rPr>
        <w:t>Per l'esecuzione di un controllo della qualità relativo al mandato, di una consulenza o di una verifica, è possibile ricorrere a un esperto esterno debitamente qualificato o a un'altra impresa di revisione.</w:t>
      </w:r>
    </w:p>
    <w:p w14:paraId="0D68EAC5" w14:textId="77777777" w:rsidR="00251C94" w:rsidRPr="00251C94" w:rsidRDefault="00251C94" w:rsidP="00251C94">
      <w:pPr>
        <w:spacing w:before="240" w:after="120"/>
        <w:jc w:val="both"/>
        <w:rPr>
          <w:rFonts w:ascii="KievitPro-Regular" w:hAnsi="KievitPro-Regular" w:cs="Arial"/>
        </w:rPr>
      </w:pPr>
      <w:r w:rsidRPr="00251C94">
        <w:rPr>
          <w:rFonts w:ascii="KievitPro-Regular" w:hAnsi="KievitPro-Regular"/>
        </w:rPr>
        <w:t>In tali casi, di norma si richiede al cliente interessato una liberatoria scritta dal segreto professionale, solitamente nell'ambito della conferma di mandato o di un suo allegato.</w:t>
      </w:r>
    </w:p>
    <w:p w14:paraId="0D0349BB" w14:textId="77777777" w:rsidR="00251C94" w:rsidRPr="00251C94" w:rsidRDefault="00251C94" w:rsidP="00251C94">
      <w:pPr>
        <w:spacing w:before="240" w:after="120"/>
        <w:jc w:val="both"/>
        <w:rPr>
          <w:rFonts w:ascii="KievitPro-Regular" w:hAnsi="KievitPro-Regular" w:cs="Arial"/>
        </w:rPr>
      </w:pPr>
      <w:r w:rsidRPr="00251C94">
        <w:rPr>
          <w:rFonts w:ascii="KievitPro-Regular" w:hAnsi="KievitPro-Regular"/>
        </w:rPr>
        <w:t>Con la persona esterna o l'impresa di revisione esterna incaricata viene inoltre stipulato un accordo di riservatezza scritto, che garantisce il rispetto degli obblighi di riservatezza (si veda Modello di conferma del mandato per il ricorso a persone esterne).</w:t>
      </w:r>
    </w:p>
    <w:p w14:paraId="52304D52" w14:textId="77777777" w:rsidR="00251C94" w:rsidRPr="00251C94" w:rsidRDefault="00251C94" w:rsidP="00251C94">
      <w:pPr>
        <w:spacing w:line="240" w:lineRule="auto"/>
        <w:rPr>
          <w:rFonts w:ascii="KievitPro-Regular" w:hAnsi="KievitPro-Regular" w:cs="Arial"/>
          <w:b/>
          <w:smallCaps/>
          <w:spacing w:val="5"/>
          <w:sz w:val="24"/>
          <w:szCs w:val="32"/>
        </w:rPr>
      </w:pPr>
      <w:bookmarkStart w:id="42" w:name="_Toc331510683"/>
      <w:bookmarkStart w:id="43" w:name="_Toc359071936"/>
      <w:bookmarkEnd w:id="30"/>
      <w:bookmarkEnd w:id="31"/>
      <w:bookmarkEnd w:id="32"/>
      <w:bookmarkEnd w:id="33"/>
      <w:bookmarkEnd w:id="34"/>
      <w:r w:rsidRPr="00251C94">
        <w:rPr>
          <w:rFonts w:ascii="KievitPro-Regular" w:hAnsi="KievitPro-Regular"/>
        </w:rPr>
        <w:br w:type="page"/>
      </w:r>
    </w:p>
    <w:p w14:paraId="22131A15" w14:textId="77777777" w:rsidR="00251C94" w:rsidRPr="00251C94" w:rsidRDefault="00251C94" w:rsidP="00251C94">
      <w:pPr>
        <w:pStyle w:val="berschrift1"/>
        <w:numPr>
          <w:ilvl w:val="0"/>
          <w:numId w:val="16"/>
        </w:numPr>
        <w:ind w:left="426" w:hanging="426"/>
        <w:rPr>
          <w:rFonts w:ascii="KievitPro-Regular" w:hAnsi="KievitPro-Regular"/>
          <w:b/>
          <w:sz w:val="24"/>
        </w:rPr>
      </w:pPr>
      <w:bookmarkStart w:id="44" w:name="_Toc236311865"/>
      <w:r w:rsidRPr="00251C94">
        <w:rPr>
          <w:rFonts w:ascii="KievitPro-Regular" w:hAnsi="KievitPro-Regular"/>
          <w:b/>
          <w:sz w:val="24"/>
        </w:rPr>
        <w:lastRenderedPageBreak/>
        <w:t>Informazione e comunicazione</w:t>
      </w:r>
      <w:bookmarkEnd w:id="42"/>
      <w:bookmarkEnd w:id="43"/>
      <w:bookmarkEnd w:id="44"/>
    </w:p>
    <w:p w14:paraId="51DC628E" w14:textId="77777777" w:rsidR="00251C94" w:rsidRPr="00251C94" w:rsidRDefault="00251C94" w:rsidP="00251C94">
      <w:pPr>
        <w:spacing w:before="240" w:after="120"/>
        <w:jc w:val="both"/>
        <w:rPr>
          <w:rFonts w:ascii="KievitPro-Regular" w:hAnsi="KievitPro-Regular" w:cs="Arial"/>
        </w:rPr>
      </w:pPr>
      <w:r w:rsidRPr="00251C94">
        <w:rPr>
          <w:rFonts w:ascii="KievitPro-Regular" w:hAnsi="KievitPro-Regular"/>
        </w:rPr>
        <w:t>Il responsabile della gestione della qualità definisce un obiettivo di qualità che comprende la gestione sistematica delle informazioni relative al sistema di gestione della qualità. Ciò include in particolare la raccolta, la produzione, l'utilizzo e la trasmissione tempestiva delle informazioni rilevanti all'interno dell'impresa di revisione e, se del caso, a soggetti esterni. Le informazioni sono considerate affidabili se sono oggettivamente corrette, complete, aggiornate e pertinenti.</w:t>
      </w:r>
    </w:p>
    <w:p w14:paraId="0EBDD401" w14:textId="77777777" w:rsidR="00251C94" w:rsidRPr="00251C94" w:rsidRDefault="00251C94" w:rsidP="00251C94">
      <w:pPr>
        <w:spacing w:before="240"/>
        <w:jc w:val="both"/>
        <w:rPr>
          <w:rFonts w:ascii="KievitPro-Regular" w:hAnsi="KievitPro-Regular" w:cs="Arial"/>
        </w:rPr>
      </w:pPr>
      <w:r w:rsidRPr="00251C94">
        <w:rPr>
          <w:rFonts w:ascii="KievitPro-Regular" w:hAnsi="KievitPro-Regular"/>
        </w:rPr>
        <w:t xml:space="preserve">La comunicazione interna avviene di norma per iscritto tramite e-mail e, a titolo integrativo, almeno una volta all'anno nel corso di una riunione </w:t>
      </w:r>
      <w:proofErr w:type="gramStart"/>
      <w:r w:rsidRPr="00251C94">
        <w:rPr>
          <w:rFonts w:ascii="KievitPro-Regular" w:hAnsi="KievitPro-Regular"/>
        </w:rPr>
        <w:t>del team</w:t>
      </w:r>
      <w:proofErr w:type="gramEnd"/>
      <w:r w:rsidRPr="00251C94">
        <w:rPr>
          <w:rFonts w:ascii="KievitPro-Regular" w:hAnsi="KievitPro-Regular"/>
        </w:rPr>
        <w:t>. In tale contesto vengono trattati in particolare i seguenti argomenti:</w:t>
      </w:r>
    </w:p>
    <w:p w14:paraId="237AEBDA" w14:textId="77777777" w:rsidR="00251C94" w:rsidRPr="00251C94" w:rsidRDefault="00251C94" w:rsidP="00251C94">
      <w:pPr>
        <w:numPr>
          <w:ilvl w:val="0"/>
          <w:numId w:val="21"/>
        </w:numPr>
        <w:tabs>
          <w:tab w:val="num" w:pos="720"/>
          <w:tab w:val="right" w:pos="9405"/>
        </w:tabs>
        <w:spacing w:after="120" w:line="240" w:lineRule="auto"/>
        <w:ind w:left="357" w:hanging="357"/>
        <w:jc w:val="both"/>
        <w:rPr>
          <w:rFonts w:ascii="KievitPro-Regular" w:hAnsi="KievitPro-Regular" w:cs="Arial"/>
        </w:rPr>
      </w:pPr>
      <w:r w:rsidRPr="00251C94">
        <w:rPr>
          <w:rFonts w:ascii="KievitPro-Regular" w:hAnsi="KievitPro-Regular"/>
        </w:rPr>
        <w:t xml:space="preserve">responsabilità relative all'attuazione delle misure e delle reazioni dello studio; </w:t>
      </w:r>
    </w:p>
    <w:p w14:paraId="3DB6DA98" w14:textId="77777777" w:rsidR="00251C94" w:rsidRPr="00251C94" w:rsidRDefault="00251C94" w:rsidP="00251C94">
      <w:pPr>
        <w:numPr>
          <w:ilvl w:val="0"/>
          <w:numId w:val="21"/>
        </w:numPr>
        <w:tabs>
          <w:tab w:val="num" w:pos="720"/>
          <w:tab w:val="right" w:pos="9405"/>
        </w:tabs>
        <w:spacing w:before="120" w:after="120" w:line="240" w:lineRule="auto"/>
        <w:jc w:val="both"/>
        <w:rPr>
          <w:rFonts w:ascii="KievitPro-Regular" w:hAnsi="KievitPro-Regular" w:cs="Arial"/>
        </w:rPr>
      </w:pPr>
      <w:r w:rsidRPr="00251C94">
        <w:rPr>
          <w:rFonts w:ascii="KievitPro-Regular" w:hAnsi="KievitPro-Regular"/>
        </w:rPr>
        <w:t xml:space="preserve">adeguamenti e ulteriori sviluppi del sistema di gestione della qualità; </w:t>
      </w:r>
    </w:p>
    <w:p w14:paraId="2AECCF3D" w14:textId="77777777" w:rsidR="00251C94" w:rsidRPr="00251C94" w:rsidRDefault="00251C94" w:rsidP="00251C94">
      <w:pPr>
        <w:numPr>
          <w:ilvl w:val="0"/>
          <w:numId w:val="21"/>
        </w:numPr>
        <w:tabs>
          <w:tab w:val="num" w:pos="720"/>
          <w:tab w:val="right" w:pos="9405"/>
        </w:tabs>
        <w:spacing w:before="120" w:after="120" w:line="240" w:lineRule="auto"/>
        <w:jc w:val="both"/>
        <w:rPr>
          <w:rFonts w:ascii="KievitPro-Regular" w:hAnsi="KievitPro-Regular" w:cs="Arial"/>
        </w:rPr>
      </w:pPr>
      <w:r w:rsidRPr="00251C94">
        <w:rPr>
          <w:rFonts w:ascii="KievitPro-Regular" w:hAnsi="KievitPro-Regular"/>
        </w:rPr>
        <w:t xml:space="preserve">modifiche ai requisiti di indipendenza, nonché alle norme e alle misure ad essi correlate; </w:t>
      </w:r>
    </w:p>
    <w:p w14:paraId="59D71EB7" w14:textId="77777777" w:rsidR="00251C94" w:rsidRPr="00251C94" w:rsidRDefault="00251C94" w:rsidP="00251C94">
      <w:pPr>
        <w:numPr>
          <w:ilvl w:val="0"/>
          <w:numId w:val="21"/>
        </w:numPr>
        <w:tabs>
          <w:tab w:val="num" w:pos="720"/>
          <w:tab w:val="right" w:pos="9405"/>
        </w:tabs>
        <w:spacing w:before="120" w:after="120" w:line="240" w:lineRule="auto"/>
        <w:jc w:val="both"/>
        <w:rPr>
          <w:rFonts w:ascii="KievitPro-Regular" w:hAnsi="KievitPro-Regular" w:cs="Arial"/>
        </w:rPr>
      </w:pPr>
      <w:r w:rsidRPr="00251C94">
        <w:rPr>
          <w:rFonts w:ascii="KievitPro-Regular" w:hAnsi="KievitPro-Regular"/>
        </w:rPr>
        <w:t xml:space="preserve">risultati rilevanti emersi dal processo di accettazione e prosecuzione del mandato. </w:t>
      </w:r>
    </w:p>
    <w:p w14:paraId="2CC23E3B" w14:textId="77777777" w:rsidR="00251C94" w:rsidRPr="00251C94" w:rsidRDefault="00251C94" w:rsidP="00251C94">
      <w:pPr>
        <w:spacing w:before="240"/>
        <w:jc w:val="both"/>
        <w:rPr>
          <w:rFonts w:ascii="KievitPro-Regular" w:hAnsi="KievitPro-Regular" w:cs="Arial"/>
        </w:rPr>
      </w:pPr>
      <w:proofErr w:type="gramStart"/>
      <w:r w:rsidRPr="00251C94">
        <w:rPr>
          <w:rFonts w:ascii="KievitPro-Regular" w:hAnsi="KievitPro-Regular"/>
        </w:rPr>
        <w:t>I team</w:t>
      </w:r>
      <w:proofErr w:type="gramEnd"/>
      <w:r w:rsidRPr="00251C94">
        <w:rPr>
          <w:rFonts w:ascii="KievitPro-Regular" w:hAnsi="KievitPro-Regular"/>
        </w:rPr>
        <w:t xml:space="preserve"> di mandato garantiscono che le informazioni significative acquisite nel corso dell'esecuzione del mandato vengano trasmesse al responsabile della gestione della qualità. Ciò riguarda soprattutto:</w:t>
      </w:r>
    </w:p>
    <w:p w14:paraId="32DA188E" w14:textId="77777777" w:rsidR="00251C94" w:rsidRPr="00251C94" w:rsidRDefault="00251C94" w:rsidP="00251C94">
      <w:pPr>
        <w:numPr>
          <w:ilvl w:val="0"/>
          <w:numId w:val="21"/>
        </w:numPr>
        <w:tabs>
          <w:tab w:val="num" w:pos="720"/>
          <w:tab w:val="right" w:pos="9405"/>
        </w:tabs>
        <w:spacing w:after="120" w:line="240" w:lineRule="auto"/>
        <w:ind w:left="357" w:hanging="357"/>
        <w:jc w:val="both"/>
        <w:rPr>
          <w:rFonts w:ascii="KievitPro-Regular" w:hAnsi="KievitPro-Regular" w:cs="Arial"/>
        </w:rPr>
      </w:pPr>
      <w:r w:rsidRPr="00251C94">
        <w:rPr>
          <w:rFonts w:ascii="KievitPro-Regular" w:hAnsi="KievitPro-Regular"/>
        </w:rPr>
        <w:t xml:space="preserve">conoscenze relative al mandato acquisite durante la sua esecuzione; </w:t>
      </w:r>
    </w:p>
    <w:p w14:paraId="73ECBF1F" w14:textId="77777777" w:rsidR="00251C94" w:rsidRPr="00251C94" w:rsidRDefault="00251C94" w:rsidP="00251C94">
      <w:pPr>
        <w:numPr>
          <w:ilvl w:val="0"/>
          <w:numId w:val="21"/>
        </w:numPr>
        <w:tabs>
          <w:tab w:val="num" w:pos="720"/>
          <w:tab w:val="right" w:pos="9405"/>
        </w:tabs>
        <w:spacing w:before="120" w:after="120" w:line="240" w:lineRule="auto"/>
        <w:jc w:val="both"/>
        <w:rPr>
          <w:rFonts w:ascii="KievitPro-Regular" w:hAnsi="KievitPro-Regular" w:cs="Arial"/>
        </w:rPr>
      </w:pPr>
      <w:r w:rsidRPr="00251C94">
        <w:rPr>
          <w:rFonts w:ascii="KievitPro-Regular" w:hAnsi="KievitPro-Regular"/>
        </w:rPr>
        <w:t xml:space="preserve">informazioni sull'efficacia delle misure definite e sulle reazioni dello studio; </w:t>
      </w:r>
    </w:p>
    <w:p w14:paraId="5C6D09A9" w14:textId="77777777" w:rsidR="00251C94" w:rsidRPr="00251C94" w:rsidRDefault="00251C94" w:rsidP="00251C94">
      <w:pPr>
        <w:numPr>
          <w:ilvl w:val="0"/>
          <w:numId w:val="21"/>
        </w:numPr>
        <w:tabs>
          <w:tab w:val="num" w:pos="720"/>
          <w:tab w:val="right" w:pos="9405"/>
        </w:tabs>
        <w:spacing w:before="120" w:after="120" w:line="240" w:lineRule="auto"/>
        <w:jc w:val="both"/>
        <w:rPr>
          <w:rFonts w:ascii="KievitPro-Regular" w:hAnsi="KievitPro-Regular" w:cs="Arial"/>
        </w:rPr>
      </w:pPr>
      <w:r w:rsidRPr="00251C94">
        <w:rPr>
          <w:rFonts w:ascii="KievitPro-Regular" w:hAnsi="KievitPro-Regular"/>
        </w:rPr>
        <w:t xml:space="preserve">aspetti significativi rilevanti ai fini delle attività di controllo della qualità o delle consultazioni. </w:t>
      </w:r>
    </w:p>
    <w:p w14:paraId="5E188CE8" w14:textId="77777777" w:rsidR="00251C94" w:rsidRPr="00251C94" w:rsidRDefault="00251C94" w:rsidP="00251C94">
      <w:pPr>
        <w:spacing w:before="240" w:after="120"/>
        <w:jc w:val="both"/>
        <w:rPr>
          <w:rFonts w:ascii="KievitPro-Regular" w:hAnsi="KievitPro-Regular" w:cs="Arial"/>
        </w:rPr>
      </w:pPr>
      <w:r w:rsidRPr="00251C94">
        <w:rPr>
          <w:rFonts w:ascii="KievitPro-Regular" w:hAnsi="KievitPro-Regular"/>
        </w:rPr>
        <w:t>Nell'ambito delle revisioni dei conti di gruppo, viene inoltre effettuato un adeguato scambio di informazioni tra il revisore dei conti di gruppo e i revisori delle singole società del gruppo, al fine di garantire lo svolgimento coerente e coordinato della revisione.</w:t>
      </w:r>
    </w:p>
    <w:p w14:paraId="6EE28B6D" w14:textId="77777777" w:rsidR="00251C94" w:rsidRPr="00251C94" w:rsidRDefault="00251C94" w:rsidP="005A51B7">
      <w:pPr>
        <w:pStyle w:val="berschrift1"/>
        <w:numPr>
          <w:ilvl w:val="0"/>
          <w:numId w:val="16"/>
        </w:numPr>
        <w:spacing w:after="240"/>
        <w:ind w:left="426" w:hanging="426"/>
        <w:rPr>
          <w:rFonts w:ascii="KievitPro-Regular" w:hAnsi="KievitPro-Regular"/>
          <w:b/>
          <w:sz w:val="24"/>
        </w:rPr>
      </w:pPr>
      <w:bookmarkStart w:id="45" w:name="_Toc236311866"/>
      <w:r w:rsidRPr="00251C94">
        <w:rPr>
          <w:rFonts w:ascii="KievitPro-Regular" w:hAnsi="KievitPro-Regular"/>
          <w:b/>
          <w:sz w:val="24"/>
        </w:rPr>
        <w:t>Reazioni predefinite</w:t>
      </w:r>
      <w:bookmarkEnd w:id="45"/>
    </w:p>
    <w:p w14:paraId="040BCB10" w14:textId="77777777" w:rsidR="00251C94" w:rsidRPr="00251C94" w:rsidRDefault="00251C94" w:rsidP="00251C94">
      <w:pPr>
        <w:jc w:val="both"/>
        <w:rPr>
          <w:rFonts w:ascii="KievitPro-Regular" w:hAnsi="KievitPro-Regular" w:cs="Arial"/>
        </w:rPr>
      </w:pPr>
      <w:r w:rsidRPr="00251C94">
        <w:rPr>
          <w:rFonts w:ascii="KievitPro-Regular" w:hAnsi="KievitPro-Regular"/>
        </w:rPr>
        <w:t>Nell'ambito della valutazione dei rischi sono stati definiti gli obiettivi di qualità (si veda la sezione 1). Qualora vengano individuati rischi che potrebbero compromettere la qualità, è necessario analizzarli e valutarli. Su questa base vengono pianificate, deliberate e attuate misure adeguate.</w:t>
      </w:r>
    </w:p>
    <w:p w14:paraId="5379DF08" w14:textId="77777777" w:rsidR="00251C94" w:rsidRPr="00251C94" w:rsidRDefault="00251C94" w:rsidP="00251C94">
      <w:pPr>
        <w:spacing w:before="240"/>
        <w:jc w:val="both"/>
        <w:rPr>
          <w:rFonts w:ascii="KievitPro-Regular" w:hAnsi="KievitPro-Regular" w:cs="Arial"/>
        </w:rPr>
      </w:pPr>
      <w:r w:rsidRPr="00251C94">
        <w:rPr>
          <w:rFonts w:ascii="KievitPro-Regular" w:hAnsi="KievitPro-Regular"/>
        </w:rPr>
        <w:t>A tal proposito, occorre tenere conto in particolare delle reazioni previste nei seguenti ambiti:</w:t>
      </w:r>
    </w:p>
    <w:p w14:paraId="056E14EB" w14:textId="77777777" w:rsidR="00251C94" w:rsidRPr="00251C94" w:rsidRDefault="00251C94" w:rsidP="00251C94">
      <w:pPr>
        <w:numPr>
          <w:ilvl w:val="0"/>
          <w:numId w:val="21"/>
        </w:numPr>
        <w:tabs>
          <w:tab w:val="num" w:pos="720"/>
          <w:tab w:val="right" w:pos="9405"/>
        </w:tabs>
        <w:spacing w:after="120" w:line="240" w:lineRule="auto"/>
        <w:ind w:left="357" w:hanging="357"/>
        <w:jc w:val="both"/>
        <w:rPr>
          <w:rFonts w:ascii="KievitPro-Regular" w:hAnsi="KievitPro-Regular" w:cs="Arial"/>
        </w:rPr>
      </w:pPr>
      <w:r w:rsidRPr="00251C94">
        <w:rPr>
          <w:rFonts w:ascii="KievitPro-Regular" w:hAnsi="KievitPro-Regular"/>
        </w:rPr>
        <w:t xml:space="preserve">in caso di rischio di inosservanza di leggi, regolamenti, circolari, direttive e requisiti di condotta professionale pertinenti, ovvero in caso di relative violazioni; </w:t>
      </w:r>
    </w:p>
    <w:p w14:paraId="6B253B22" w14:textId="77777777" w:rsidR="00251C94" w:rsidRPr="00251C94" w:rsidRDefault="00251C94" w:rsidP="00251C94">
      <w:pPr>
        <w:numPr>
          <w:ilvl w:val="0"/>
          <w:numId w:val="21"/>
        </w:numPr>
        <w:tabs>
          <w:tab w:val="num" w:pos="720"/>
          <w:tab w:val="right" w:pos="9405"/>
        </w:tabs>
        <w:spacing w:after="120" w:line="240" w:lineRule="auto"/>
        <w:ind w:left="357" w:hanging="357"/>
        <w:jc w:val="both"/>
        <w:rPr>
          <w:rFonts w:ascii="KievitPro-Regular" w:hAnsi="KievitPro-Regular" w:cs="Arial"/>
        </w:rPr>
      </w:pPr>
      <w:r w:rsidRPr="00251C94">
        <w:rPr>
          <w:rFonts w:ascii="KievitPro-Regular" w:hAnsi="KievitPro-Regular"/>
        </w:rPr>
        <w:t xml:space="preserve">per garantire l'indipendenza del personale specializzato; </w:t>
      </w:r>
    </w:p>
    <w:p w14:paraId="0E5A774C" w14:textId="77777777" w:rsidR="00251C94" w:rsidRPr="00251C94" w:rsidRDefault="00251C94" w:rsidP="00251C94">
      <w:pPr>
        <w:numPr>
          <w:ilvl w:val="0"/>
          <w:numId w:val="21"/>
        </w:numPr>
        <w:tabs>
          <w:tab w:val="num" w:pos="720"/>
          <w:tab w:val="right" w:pos="9405"/>
        </w:tabs>
        <w:spacing w:after="120" w:line="240" w:lineRule="auto"/>
        <w:ind w:left="357" w:hanging="357"/>
        <w:jc w:val="both"/>
        <w:rPr>
          <w:rFonts w:ascii="KievitPro-Regular" w:hAnsi="KievitPro-Regular" w:cs="Arial"/>
        </w:rPr>
      </w:pPr>
      <w:r w:rsidRPr="00251C94">
        <w:rPr>
          <w:rFonts w:ascii="KievitPro-Regular" w:hAnsi="KievitPro-Regular"/>
        </w:rPr>
        <w:t xml:space="preserve">in relazione a ricorsi o accuse relative a un'eventuale inosservanza degli standard professionali; </w:t>
      </w:r>
    </w:p>
    <w:p w14:paraId="3F9F6079" w14:textId="77777777" w:rsidR="00251C94" w:rsidRPr="00251C94" w:rsidRDefault="00251C94" w:rsidP="00251C94">
      <w:pPr>
        <w:numPr>
          <w:ilvl w:val="0"/>
          <w:numId w:val="21"/>
        </w:numPr>
        <w:tabs>
          <w:tab w:val="num" w:pos="720"/>
          <w:tab w:val="right" w:pos="9405"/>
        </w:tabs>
        <w:spacing w:after="120" w:line="240" w:lineRule="auto"/>
        <w:ind w:left="357" w:hanging="357"/>
        <w:jc w:val="both"/>
        <w:rPr>
          <w:rFonts w:ascii="KievitPro-Regular" w:hAnsi="KievitPro-Regular" w:cs="Arial"/>
        </w:rPr>
      </w:pPr>
      <w:r w:rsidRPr="00251C94">
        <w:rPr>
          <w:rFonts w:ascii="KievitPro-Regular" w:hAnsi="KievitPro-Regular"/>
        </w:rPr>
        <w:t xml:space="preserve">in caso di nuove informazioni relative a rapporti di mandato già accettati o rinnovati o a singoli mandati; </w:t>
      </w:r>
    </w:p>
    <w:p w14:paraId="6044CED5" w14:textId="77777777" w:rsidR="00251C94" w:rsidRPr="00251C94" w:rsidRDefault="00251C94" w:rsidP="00251C94">
      <w:pPr>
        <w:numPr>
          <w:ilvl w:val="0"/>
          <w:numId w:val="21"/>
        </w:numPr>
        <w:tabs>
          <w:tab w:val="num" w:pos="720"/>
          <w:tab w:val="right" w:pos="9405"/>
        </w:tabs>
        <w:spacing w:after="120" w:line="240" w:lineRule="auto"/>
        <w:ind w:left="357" w:hanging="357"/>
        <w:jc w:val="both"/>
        <w:rPr>
          <w:rFonts w:ascii="KievitPro-Regular" w:hAnsi="KievitPro-Regular" w:cs="Arial"/>
        </w:rPr>
      </w:pPr>
      <w:r w:rsidRPr="00251C94">
        <w:rPr>
          <w:rFonts w:ascii="KievitPro-Regular" w:hAnsi="KievitPro-Regular"/>
        </w:rPr>
        <w:t xml:space="preserve">per valutare in quali casi sia necessario un controllo della qualità relativo al mandato. </w:t>
      </w:r>
    </w:p>
    <w:p w14:paraId="4ABFA927" w14:textId="77777777" w:rsidR="00251C94" w:rsidRPr="00251C94" w:rsidRDefault="00251C94" w:rsidP="00251C94">
      <w:pPr>
        <w:spacing w:line="240" w:lineRule="auto"/>
        <w:rPr>
          <w:rFonts w:ascii="KievitPro-Regular" w:hAnsi="KievitPro-Regular" w:cs="Arial"/>
        </w:rPr>
      </w:pPr>
    </w:p>
    <w:p w14:paraId="35C92CF6" w14:textId="77777777" w:rsidR="00251C94" w:rsidRPr="00251C94" w:rsidRDefault="00251C94" w:rsidP="00251C94">
      <w:pPr>
        <w:spacing w:line="240" w:lineRule="auto"/>
        <w:jc w:val="both"/>
        <w:rPr>
          <w:rFonts w:ascii="KievitPro-Regular" w:hAnsi="KievitPro-Regular" w:cs="Arial"/>
        </w:rPr>
      </w:pPr>
      <w:r w:rsidRPr="00251C94">
        <w:rPr>
          <w:rFonts w:ascii="KievitPro-Regular" w:hAnsi="KievitPro-Regular"/>
        </w:rPr>
        <w:t>Tra le misure previste dalla norma ISQM-CH 1 figurano anche regolamenti e misure per il controllo della qualità relativo al mandato. Lo studio stabilisce in quali casi sia necessario effettuare un controllo della qualità relativo al mandato e garantisce che tale controllo sia pianificato, eseguito e documentato in conformità con i requisiti della norma ISQM-CH 2.</w:t>
      </w:r>
    </w:p>
    <w:p w14:paraId="01CEB383" w14:textId="77777777" w:rsidR="00251C94" w:rsidRPr="00251C94" w:rsidRDefault="00251C94" w:rsidP="00251C94">
      <w:pPr>
        <w:spacing w:before="240"/>
        <w:jc w:val="both"/>
        <w:rPr>
          <w:rFonts w:ascii="KievitPro-Regular" w:hAnsi="KievitPro-Regular" w:cs="Arial"/>
        </w:rPr>
      </w:pPr>
    </w:p>
    <w:p w14:paraId="71C94968" w14:textId="77777777" w:rsidR="00251C94" w:rsidRPr="00251C94" w:rsidRDefault="00251C94" w:rsidP="00251C94">
      <w:pPr>
        <w:spacing w:line="240" w:lineRule="auto"/>
        <w:rPr>
          <w:rFonts w:ascii="KievitPro-Regular" w:hAnsi="KievitPro-Regular"/>
        </w:rPr>
      </w:pPr>
      <w:r w:rsidRPr="00251C94">
        <w:rPr>
          <w:rFonts w:ascii="KievitPro-Regular" w:hAnsi="KievitPro-Regular"/>
        </w:rPr>
        <w:br w:type="page"/>
      </w:r>
    </w:p>
    <w:p w14:paraId="52120A0D" w14:textId="77777777" w:rsidR="00251C94" w:rsidRPr="00251C94" w:rsidRDefault="00251C94" w:rsidP="005A51B7">
      <w:pPr>
        <w:pStyle w:val="berschrift1"/>
        <w:numPr>
          <w:ilvl w:val="0"/>
          <w:numId w:val="16"/>
        </w:numPr>
        <w:spacing w:after="240"/>
        <w:ind w:left="426" w:hanging="426"/>
        <w:rPr>
          <w:rFonts w:ascii="KievitPro-Regular" w:hAnsi="KievitPro-Regular"/>
          <w:b/>
          <w:sz w:val="24"/>
        </w:rPr>
      </w:pPr>
      <w:bookmarkStart w:id="46" w:name="_Toc236311867"/>
      <w:r w:rsidRPr="00251C94">
        <w:rPr>
          <w:rFonts w:ascii="KievitPro-Regular" w:hAnsi="KievitPro-Regular"/>
          <w:b/>
          <w:sz w:val="24"/>
        </w:rPr>
        <w:lastRenderedPageBreak/>
        <w:t>Processo di riesame e miglioramento</w:t>
      </w:r>
      <w:bookmarkEnd w:id="46"/>
    </w:p>
    <w:p w14:paraId="19187B74" w14:textId="77777777" w:rsidR="00251C94" w:rsidRDefault="00251C94" w:rsidP="00251C94">
      <w:pPr>
        <w:jc w:val="both"/>
        <w:rPr>
          <w:rFonts w:ascii="KievitPro-Regular" w:hAnsi="KievitPro-Regular"/>
        </w:rPr>
      </w:pPr>
      <w:r w:rsidRPr="00251C94">
        <w:rPr>
          <w:rFonts w:ascii="KievitPro-Regular" w:hAnsi="KievitPro-Regular"/>
        </w:rPr>
        <w:t>Il riesame (Monitoring) serve a controllare e valutare il sistema di gestione della qualità specifico dell'impresa di revisione. Comprende la verifica dell'effettiva applicazione dei regolamenti e delle procedure stabiliti, nonché la valutazione della loro idoneità, adeguatezza e rispetto nell'ambito delle attività quotidiane. I risultati del riesame, nonché le non conformità riscontrate e le relative correzioni, vengono documentati ogni anno in un rapporto di riesame.</w:t>
      </w:r>
    </w:p>
    <w:p w14:paraId="2CE2CBBC" w14:textId="77777777" w:rsidR="005A51B7" w:rsidRPr="00251C94" w:rsidRDefault="005A51B7" w:rsidP="00251C94">
      <w:pPr>
        <w:jc w:val="both"/>
        <w:rPr>
          <w:rFonts w:ascii="KievitPro-Regular" w:hAnsi="KievitPro-Regular" w:cs="Arial"/>
        </w:rPr>
      </w:pPr>
    </w:p>
    <w:p w14:paraId="5B44C5BD" w14:textId="77777777" w:rsidR="00251C94" w:rsidRDefault="00251C94" w:rsidP="00251C94">
      <w:pPr>
        <w:jc w:val="both"/>
        <w:rPr>
          <w:rFonts w:ascii="KievitPro-Regular" w:hAnsi="KievitPro-Regular"/>
        </w:rPr>
      </w:pPr>
      <w:r w:rsidRPr="00251C94">
        <w:rPr>
          <w:rFonts w:ascii="KievitPro-Regular" w:hAnsi="KievitPro-Regular"/>
        </w:rPr>
        <w:t>Il sistema di gestione della qualità è un elemento centrale del sistema di controllo interno. Il riesame comprende, in particolare, la comprensione di tale sistema e la verifica della sua efficacia nello studio. Ciò avviene mediante adeguate attività di verifica, quali colloqui, test di verifica e l'esame dei fascicoli di revisione e di altra documentazione pertinente (ad esempio, attestati di formazione, dichiarazioni di indipendenza, standard professionali e direttive interne). Il riesame comprende anche la formulazione di proposte di miglioramento, in particolare in caso di carenze riscontrate o di modifiche dei requisiti tecnici e normativi.</w:t>
      </w:r>
    </w:p>
    <w:p w14:paraId="2E07F85A" w14:textId="77777777" w:rsidR="005A51B7" w:rsidRPr="00251C94" w:rsidRDefault="005A51B7" w:rsidP="00251C94">
      <w:pPr>
        <w:jc w:val="both"/>
        <w:rPr>
          <w:rFonts w:ascii="KievitPro-Regular" w:hAnsi="KievitPro-Regular" w:cs="Arial"/>
        </w:rPr>
      </w:pPr>
    </w:p>
    <w:p w14:paraId="7862D121" w14:textId="77777777" w:rsidR="00251C94" w:rsidRDefault="00251C94" w:rsidP="00251C94">
      <w:pPr>
        <w:jc w:val="both"/>
        <w:rPr>
          <w:rFonts w:ascii="KievitPro-Regular" w:hAnsi="KievitPro-Regular"/>
        </w:rPr>
      </w:pPr>
      <w:r w:rsidRPr="00251C94">
        <w:rPr>
          <w:rFonts w:ascii="KievitPro-Regular" w:hAnsi="KievitPro-Regular"/>
        </w:rPr>
        <w:t>Tutti i collaboratori, in particolare i partner e i dirigenti, sono tenuti a valutare criticamente le proprie attività e a contribuire attivamente alla garanzia della qualità. Questo autocontrollo costante costituisce una componente significativa dell'esercizio della professione di esperto contabile. Le persone con responsabilità dirigenziali e decisionali hanno una responsabilità maggiore.</w:t>
      </w:r>
    </w:p>
    <w:p w14:paraId="68C2471B" w14:textId="77777777" w:rsidR="005A51B7" w:rsidRPr="00251C94" w:rsidRDefault="005A51B7" w:rsidP="00251C94">
      <w:pPr>
        <w:jc w:val="both"/>
        <w:rPr>
          <w:rFonts w:ascii="KievitPro-Regular" w:hAnsi="KievitPro-Regular" w:cs="Arial"/>
        </w:rPr>
      </w:pPr>
    </w:p>
    <w:p w14:paraId="01FDC74B" w14:textId="77777777" w:rsidR="00251C94" w:rsidRDefault="00251C94" w:rsidP="00251C94">
      <w:pPr>
        <w:jc w:val="both"/>
        <w:rPr>
          <w:rFonts w:ascii="KievitPro-Regular" w:hAnsi="KievitPro-Regular"/>
        </w:rPr>
      </w:pPr>
      <w:r w:rsidRPr="00251C94">
        <w:rPr>
          <w:rFonts w:ascii="KievitPro-Regular" w:hAnsi="KievitPro-Regular"/>
        </w:rPr>
        <w:t>Il riesame si articola in un riesame a livello di impresa (Firm-Review) e in un riesame a livello di mandato (File-Review). Il Firm-Review e il File-Review devono essere effettuati con cadenza annuale. In un documento di pianificazione occorre garantire che tutti i revisori capo siano sottoposti a un File-Review almeno ogni tre anni</w:t>
      </w:r>
      <w:r w:rsidRPr="00251C94">
        <w:rPr>
          <w:rStyle w:val="Funotenzeichen"/>
          <w:rFonts w:ascii="KievitPro-Regular" w:hAnsi="KievitPro-Regular" w:cs="Arial"/>
          <w:lang w:val="de-CH"/>
        </w:rPr>
        <w:footnoteReference w:id="5"/>
      </w:r>
      <w:r w:rsidRPr="00251C94">
        <w:rPr>
          <w:rFonts w:ascii="KievitPro-Regular" w:hAnsi="KievitPro-Regular"/>
        </w:rPr>
        <w:t xml:space="preserve">. </w:t>
      </w:r>
    </w:p>
    <w:p w14:paraId="1DF32E2D" w14:textId="77777777" w:rsidR="005A51B7" w:rsidRPr="00251C94" w:rsidRDefault="005A51B7" w:rsidP="00251C94">
      <w:pPr>
        <w:jc w:val="both"/>
        <w:rPr>
          <w:rFonts w:ascii="KievitPro-Regular" w:hAnsi="KievitPro-Regular" w:cs="Arial"/>
        </w:rPr>
      </w:pPr>
    </w:p>
    <w:p w14:paraId="7FD335B9" w14:textId="77777777" w:rsidR="00251C94" w:rsidRPr="00251C94" w:rsidRDefault="00251C94" w:rsidP="00251C94">
      <w:pPr>
        <w:spacing w:after="120"/>
        <w:jc w:val="both"/>
        <w:rPr>
          <w:rFonts w:ascii="KievitPro-Regular" w:hAnsi="KievitPro-Regular" w:cs="Arial"/>
        </w:rPr>
      </w:pPr>
      <w:r w:rsidRPr="00251C94">
        <w:rPr>
          <w:rFonts w:ascii="KievitPro-Regular" w:hAnsi="KievitPro-Regular"/>
        </w:rPr>
        <w:t>La selezione dei mandati da sottoporre a verifica avviene secondo un approccio orientato al rischio e basato sulle priorità. A tal fine si tiene conto in particolare dei seguenti criteri:</w:t>
      </w:r>
    </w:p>
    <w:p w14:paraId="64C1043A" w14:textId="77777777" w:rsidR="00251C94" w:rsidRPr="00251C94" w:rsidRDefault="00251C94" w:rsidP="00251C94">
      <w:pPr>
        <w:numPr>
          <w:ilvl w:val="0"/>
          <w:numId w:val="21"/>
        </w:numPr>
        <w:tabs>
          <w:tab w:val="num" w:pos="720"/>
          <w:tab w:val="right" w:pos="9405"/>
        </w:tabs>
        <w:spacing w:after="80" w:line="240" w:lineRule="auto"/>
        <w:ind w:left="357" w:hanging="357"/>
        <w:jc w:val="both"/>
        <w:rPr>
          <w:rFonts w:ascii="KievitPro-Regular" w:hAnsi="KievitPro-Regular" w:cs="Arial"/>
        </w:rPr>
      </w:pPr>
      <w:r w:rsidRPr="00251C94">
        <w:rPr>
          <w:rFonts w:ascii="KievitPro-Regular" w:hAnsi="KievitPro-Regular"/>
        </w:rPr>
        <w:t xml:space="preserve">le revisioni ordinarie e le verifiche speciali, in base al giudizio di revisione espresso, hanno di norma una priorità maggiore rispetto ai mandati di revisione limitata; </w:t>
      </w:r>
    </w:p>
    <w:p w14:paraId="5BCC05F4" w14:textId="77777777" w:rsidR="00251C94" w:rsidRPr="00251C94" w:rsidRDefault="00251C94" w:rsidP="00251C94">
      <w:pPr>
        <w:numPr>
          <w:ilvl w:val="0"/>
          <w:numId w:val="21"/>
        </w:numPr>
        <w:tabs>
          <w:tab w:val="num" w:pos="720"/>
          <w:tab w:val="right" w:pos="9405"/>
        </w:tabs>
        <w:spacing w:after="80" w:line="240" w:lineRule="auto"/>
        <w:ind w:left="357" w:hanging="357"/>
        <w:jc w:val="both"/>
        <w:rPr>
          <w:rFonts w:ascii="KievitPro-Regular" w:hAnsi="KievitPro-Regular" w:cs="Arial"/>
        </w:rPr>
      </w:pPr>
      <w:r w:rsidRPr="00251C94">
        <w:rPr>
          <w:rFonts w:ascii="KievitPro-Regular" w:hAnsi="KievitPro-Regular"/>
        </w:rPr>
        <w:t xml:space="preserve">i mandati ad alto rischio devono avere la priorità rispetto a quelli a basso rischio. </w:t>
      </w:r>
    </w:p>
    <w:p w14:paraId="3D0D3629" w14:textId="77777777" w:rsidR="00251C94" w:rsidRPr="00251C94" w:rsidRDefault="00251C94" w:rsidP="00251C94">
      <w:pPr>
        <w:spacing w:before="240" w:after="120"/>
        <w:jc w:val="both"/>
        <w:rPr>
          <w:rFonts w:ascii="KievitPro-Regular" w:hAnsi="KievitPro-Regular" w:cs="Arial"/>
        </w:rPr>
      </w:pPr>
      <w:r w:rsidRPr="00251C94">
        <w:rPr>
          <w:rFonts w:ascii="KievitPro-Regular" w:hAnsi="KievitPro-Regular"/>
        </w:rPr>
        <w:t>La responsabilità del riesame spetta a una persona in possesso delle competenze tecniche necessarie, che soddisfi i seguenti requisiti minimi:</w:t>
      </w:r>
    </w:p>
    <w:p w14:paraId="3EE3988A" w14:textId="77777777" w:rsidR="00251C94" w:rsidRPr="00251C94" w:rsidRDefault="00251C94" w:rsidP="00251C94">
      <w:pPr>
        <w:numPr>
          <w:ilvl w:val="0"/>
          <w:numId w:val="21"/>
        </w:numPr>
        <w:tabs>
          <w:tab w:val="num" w:pos="720"/>
          <w:tab w:val="right" w:pos="9405"/>
        </w:tabs>
        <w:spacing w:after="80" w:line="240" w:lineRule="auto"/>
        <w:ind w:left="357" w:hanging="357"/>
        <w:jc w:val="both"/>
        <w:rPr>
          <w:rFonts w:ascii="KievitPro-Regular" w:hAnsi="KievitPro-Regular" w:cs="Arial"/>
        </w:rPr>
      </w:pPr>
      <w:r w:rsidRPr="00251C94">
        <w:rPr>
          <w:rFonts w:ascii="KievitPro-Regular" w:hAnsi="KievitPro-Regular"/>
        </w:rPr>
        <w:t xml:space="preserve">è in possesso dell'abilitazione necessaria per lo svolgimento dell'attività (almeno in qualità di revisore o dell'abilitazione necessaria per i mandati svolti dall'impresa); </w:t>
      </w:r>
    </w:p>
    <w:p w14:paraId="3C5FB136" w14:textId="77777777" w:rsidR="00251C94" w:rsidRPr="00251C94" w:rsidRDefault="00251C94" w:rsidP="00251C94">
      <w:pPr>
        <w:numPr>
          <w:ilvl w:val="0"/>
          <w:numId w:val="21"/>
        </w:numPr>
        <w:tabs>
          <w:tab w:val="num" w:pos="720"/>
          <w:tab w:val="right" w:pos="9405"/>
        </w:tabs>
        <w:spacing w:after="80" w:line="240" w:lineRule="auto"/>
        <w:ind w:left="357" w:hanging="357"/>
        <w:jc w:val="both"/>
        <w:rPr>
          <w:rFonts w:ascii="KievitPro-Regular" w:hAnsi="KievitPro-Regular" w:cs="Arial"/>
        </w:rPr>
      </w:pPr>
      <w:r w:rsidRPr="00251C94">
        <w:rPr>
          <w:rFonts w:ascii="KievitPro-Regular" w:hAnsi="KievitPro-Regular"/>
        </w:rPr>
        <w:t xml:space="preserve">possiede un'esperienza pratica sufficiente, competenze specialistiche e un'anzianità di servizio adeguata; </w:t>
      </w:r>
    </w:p>
    <w:p w14:paraId="3E1E3E9B" w14:textId="77777777" w:rsidR="00251C94" w:rsidRPr="00251C94" w:rsidRDefault="00251C94" w:rsidP="00251C94">
      <w:pPr>
        <w:numPr>
          <w:ilvl w:val="0"/>
          <w:numId w:val="21"/>
        </w:numPr>
        <w:tabs>
          <w:tab w:val="num" w:pos="720"/>
          <w:tab w:val="right" w:pos="9405"/>
        </w:tabs>
        <w:spacing w:after="80" w:line="240" w:lineRule="auto"/>
        <w:ind w:left="357" w:hanging="357"/>
        <w:jc w:val="both"/>
        <w:rPr>
          <w:rFonts w:ascii="KievitPro-Regular" w:hAnsi="KievitPro-Regular" w:cs="Arial"/>
        </w:rPr>
      </w:pPr>
      <w:r w:rsidRPr="00251C94">
        <w:rPr>
          <w:rFonts w:ascii="KievitPro-Regular" w:hAnsi="KievitPro-Regular"/>
        </w:rPr>
        <w:t xml:space="preserve">non ha partecipato né all'esecuzione del mandato oggetto di verifica né alle attività di controllo della qualità relativo al mandato. </w:t>
      </w:r>
    </w:p>
    <w:p w14:paraId="29549FEB" w14:textId="77777777" w:rsidR="00251C94" w:rsidRPr="00251C94" w:rsidRDefault="00251C94" w:rsidP="00251C94">
      <w:pPr>
        <w:jc w:val="both"/>
        <w:rPr>
          <w:rFonts w:ascii="KievitPro-Regular" w:hAnsi="KievitPro-Regular" w:cs="Arial"/>
        </w:rPr>
      </w:pPr>
      <w:r w:rsidRPr="00251C94">
        <w:rPr>
          <w:rFonts w:ascii="KievitPro-Regular" w:hAnsi="KievitPro-Regular"/>
        </w:rPr>
        <w:t>Il riesame viene effettuato tempestivamente, in modo indipendente e secondo la valutazione coscienziosa della persona responsabile. La persona viene scelta in modo che possa garantire sempre la propria obiettività.</w:t>
      </w:r>
    </w:p>
    <w:p w14:paraId="2E87CB85" w14:textId="77777777" w:rsidR="00251C94" w:rsidRPr="00251C94" w:rsidRDefault="00251C94" w:rsidP="00251C94">
      <w:pPr>
        <w:jc w:val="both"/>
        <w:rPr>
          <w:rFonts w:ascii="KievitPro-Regular" w:hAnsi="KievitPro-Regular" w:cs="Arial"/>
        </w:rPr>
      </w:pPr>
      <w:r w:rsidRPr="00251C94">
        <w:rPr>
          <w:rFonts w:ascii="KievitPro-Regular" w:hAnsi="KievitPro-Regular"/>
        </w:rPr>
        <w:t>Il riesame viene effettuato sulla base di criteri e liste di controllo prestabiliti. Occorre tenere conto delle direttive esterne, delle raccomandazioni e delle constatazioni formulate dalle associazioni di categoria e dalle autorità di vigilanza.</w:t>
      </w:r>
    </w:p>
    <w:p w14:paraId="2A977C4B" w14:textId="0FE7DCC8" w:rsidR="005A51B7" w:rsidRDefault="00251C94" w:rsidP="00251C94">
      <w:pPr>
        <w:jc w:val="both"/>
        <w:rPr>
          <w:rFonts w:ascii="KievitPro-Regular" w:hAnsi="KievitPro-Regular"/>
        </w:rPr>
      </w:pPr>
      <w:r w:rsidRPr="00251C94">
        <w:rPr>
          <w:rFonts w:ascii="KievitPro-Regular" w:hAnsi="KievitPro-Regular"/>
        </w:rPr>
        <w:t>I risultati del riesame vengono riassunti ogni anno in un rapporto scritto che funge da strumento di gestione e controllo e viene portato a conoscenza della direzione aziendale e di altri soggetti rilevanti (consiglio d'amministrazione, partner, responsabili dei mandati e responsabili della gestione della qualità).</w:t>
      </w:r>
    </w:p>
    <w:p w14:paraId="4D0D9A01" w14:textId="77777777" w:rsidR="005A51B7" w:rsidRDefault="005A51B7">
      <w:pPr>
        <w:spacing w:line="240" w:lineRule="auto"/>
        <w:rPr>
          <w:rFonts w:ascii="KievitPro-Regular" w:hAnsi="KievitPro-Regular"/>
        </w:rPr>
      </w:pPr>
      <w:r>
        <w:rPr>
          <w:rFonts w:ascii="KievitPro-Regular" w:hAnsi="KievitPro-Regular"/>
        </w:rPr>
        <w:br w:type="page"/>
      </w:r>
    </w:p>
    <w:p w14:paraId="10880DF5" w14:textId="77777777" w:rsidR="00251C94" w:rsidRPr="00251C94" w:rsidRDefault="00251C94" w:rsidP="00251C94">
      <w:pPr>
        <w:spacing w:before="240" w:after="120"/>
        <w:jc w:val="both"/>
        <w:rPr>
          <w:rFonts w:ascii="KievitPro-Regular" w:hAnsi="KievitPro-Regular" w:cs="Arial"/>
        </w:rPr>
      </w:pPr>
      <w:r w:rsidRPr="00251C94">
        <w:rPr>
          <w:rFonts w:ascii="KievitPro-Regular" w:hAnsi="KievitPro-Regular"/>
        </w:rPr>
        <w:lastRenderedPageBreak/>
        <w:t>Il rapporto di riesame deve contenere almeno:</w:t>
      </w:r>
    </w:p>
    <w:p w14:paraId="4E8C3922" w14:textId="77777777" w:rsidR="00251C94" w:rsidRPr="00251C94" w:rsidRDefault="00251C94" w:rsidP="00251C94">
      <w:pPr>
        <w:numPr>
          <w:ilvl w:val="0"/>
          <w:numId w:val="21"/>
        </w:numPr>
        <w:tabs>
          <w:tab w:val="num" w:pos="720"/>
          <w:tab w:val="right" w:pos="9405"/>
        </w:tabs>
        <w:spacing w:after="120" w:line="240" w:lineRule="auto"/>
        <w:ind w:left="357" w:hanging="357"/>
        <w:jc w:val="both"/>
        <w:rPr>
          <w:rFonts w:ascii="KievitPro-Regular" w:hAnsi="KievitPro-Regular" w:cs="Arial"/>
        </w:rPr>
      </w:pPr>
      <w:r w:rsidRPr="00251C94">
        <w:rPr>
          <w:rFonts w:ascii="KievitPro-Regular" w:hAnsi="KievitPro-Regular"/>
        </w:rPr>
        <w:t xml:space="preserve">una descrizione delle attività di riesame svolte e del periodo oggetto di verifica. </w:t>
      </w:r>
      <w:r w:rsidRPr="00251C94">
        <w:rPr>
          <w:rFonts w:ascii="KievitPro-Regular" w:hAnsi="KievitPro-Regular"/>
          <w:i/>
          <w:iCs/>
        </w:rPr>
        <w:t>(Nota:</w:t>
      </w:r>
      <w:r w:rsidRPr="00251C94">
        <w:rPr>
          <w:rFonts w:ascii="KievitPro-Regular" w:hAnsi="KievitPro-Regular"/>
          <w:i/>
        </w:rPr>
        <w:t xml:space="preserve"> l'indicazione del periodo si riferisce al periodo di validità dei regolamenti dell'impresa oggetto di verifica e attualmente in vigore, nonché alle attività di revisione effettuate (e non all'esercizio contabile delle imprese sottoposte a revisione)</w:t>
      </w:r>
      <w:r w:rsidRPr="00251C94">
        <w:rPr>
          <w:rFonts w:ascii="KievitPro-Regular" w:hAnsi="KievitPro-Regular"/>
        </w:rPr>
        <w:t xml:space="preserve">); </w:t>
      </w:r>
    </w:p>
    <w:p w14:paraId="7478B1FA" w14:textId="77777777" w:rsidR="00251C94" w:rsidRPr="00251C94" w:rsidRDefault="00251C94" w:rsidP="00251C94">
      <w:pPr>
        <w:numPr>
          <w:ilvl w:val="0"/>
          <w:numId w:val="21"/>
        </w:numPr>
        <w:tabs>
          <w:tab w:val="num" w:pos="720"/>
          <w:tab w:val="right" w:pos="9405"/>
        </w:tabs>
        <w:spacing w:after="120" w:line="240" w:lineRule="auto"/>
        <w:ind w:left="357" w:hanging="357"/>
        <w:jc w:val="both"/>
        <w:rPr>
          <w:rFonts w:ascii="KievitPro-Regular" w:hAnsi="KievitPro-Regular" w:cs="Arial"/>
        </w:rPr>
      </w:pPr>
      <w:r w:rsidRPr="00251C94">
        <w:rPr>
          <w:rFonts w:ascii="KievitPro-Regular" w:hAnsi="KievitPro-Regular"/>
        </w:rPr>
        <w:t xml:space="preserve">i mandati selezionati e le persone responsabili; </w:t>
      </w:r>
    </w:p>
    <w:p w14:paraId="5550C1D9" w14:textId="77777777" w:rsidR="00251C94" w:rsidRPr="00251C94" w:rsidRDefault="00251C94" w:rsidP="00251C94">
      <w:pPr>
        <w:numPr>
          <w:ilvl w:val="0"/>
          <w:numId w:val="21"/>
        </w:numPr>
        <w:tabs>
          <w:tab w:val="num" w:pos="720"/>
          <w:tab w:val="right" w:pos="9405"/>
        </w:tabs>
        <w:spacing w:after="120" w:line="240" w:lineRule="auto"/>
        <w:ind w:left="357" w:hanging="357"/>
        <w:jc w:val="both"/>
        <w:rPr>
          <w:rFonts w:ascii="KievitPro-Regular" w:hAnsi="KievitPro-Regular" w:cs="Arial"/>
        </w:rPr>
      </w:pPr>
      <w:r w:rsidRPr="00251C94">
        <w:rPr>
          <w:rFonts w:ascii="KievitPro-Regular" w:hAnsi="KievitPro-Regular"/>
        </w:rPr>
        <w:t xml:space="preserve">le constatazioni, raccomandazioni e conclusioni significative emerse dalla revisione dell’impresa e del mandato; </w:t>
      </w:r>
    </w:p>
    <w:p w14:paraId="16298FC1" w14:textId="77777777" w:rsidR="00251C94" w:rsidRPr="00251C94" w:rsidRDefault="00251C94" w:rsidP="00251C94">
      <w:pPr>
        <w:numPr>
          <w:ilvl w:val="0"/>
          <w:numId w:val="21"/>
        </w:numPr>
        <w:tabs>
          <w:tab w:val="num" w:pos="720"/>
          <w:tab w:val="right" w:pos="9405"/>
        </w:tabs>
        <w:spacing w:after="120" w:line="240" w:lineRule="auto"/>
        <w:ind w:left="357" w:hanging="357"/>
        <w:jc w:val="both"/>
        <w:rPr>
          <w:rFonts w:ascii="KievitPro-Regular" w:hAnsi="KievitPro-Regular" w:cs="Arial"/>
        </w:rPr>
      </w:pPr>
      <w:r w:rsidRPr="00251C94">
        <w:rPr>
          <w:rFonts w:ascii="KievitPro-Regular" w:hAnsi="KievitPro-Regular"/>
        </w:rPr>
        <w:t xml:space="preserve">indicazioni relative a carenze sistematiche o ricorrenti, nonché le misure da esse derivanti; </w:t>
      </w:r>
    </w:p>
    <w:p w14:paraId="537CA47F" w14:textId="77777777" w:rsidR="00251C94" w:rsidRPr="00251C94" w:rsidRDefault="00251C94" w:rsidP="00251C94">
      <w:pPr>
        <w:numPr>
          <w:ilvl w:val="0"/>
          <w:numId w:val="21"/>
        </w:numPr>
        <w:tabs>
          <w:tab w:val="num" w:pos="720"/>
          <w:tab w:val="right" w:pos="9405"/>
        </w:tabs>
        <w:spacing w:after="120" w:line="240" w:lineRule="auto"/>
        <w:ind w:left="357" w:hanging="357"/>
        <w:jc w:val="both"/>
        <w:rPr>
          <w:rFonts w:ascii="KievitPro-Regular" w:hAnsi="KievitPro-Regular" w:cs="Arial"/>
        </w:rPr>
      </w:pPr>
      <w:r w:rsidRPr="00251C94">
        <w:rPr>
          <w:rFonts w:ascii="KievitPro-Regular" w:hAnsi="KievitPro-Regular"/>
        </w:rPr>
        <w:t>lo stato di attuazione delle constatazioni e delle raccomandazioni formulate nell'anno precedente o negli anni precedenti. Le eventuali constatazioni relative agli anni precedenti devono di norma essere attuate tempestivamente. Eventuali ritardi devono essere indicati nel rapporto di riesame. </w:t>
      </w:r>
    </w:p>
    <w:p w14:paraId="6FBF7D9E" w14:textId="77777777" w:rsidR="00251C94" w:rsidRPr="00251C94" w:rsidRDefault="00251C94" w:rsidP="00251C94">
      <w:pPr>
        <w:jc w:val="both"/>
        <w:rPr>
          <w:rFonts w:ascii="KievitPro-Regular" w:hAnsi="KievitPro-Regular" w:cs="Arial"/>
        </w:rPr>
      </w:pPr>
      <w:r w:rsidRPr="00251C94">
        <w:rPr>
          <w:rFonts w:ascii="KievitPro-Regular" w:hAnsi="KievitPro-Regular"/>
        </w:rPr>
        <w:t>L'individuazione di discrepanze o punti deboli è considerata parte integrante di un efficace sistema di gestione della qualità e viene generalmente valutata in modo positivo, poiché contribuisce al miglioramento continuo.</w:t>
      </w:r>
    </w:p>
    <w:p w14:paraId="2042FC4E" w14:textId="77777777" w:rsidR="00251C94" w:rsidRPr="00251C94" w:rsidRDefault="00251C94" w:rsidP="00251C94">
      <w:pPr>
        <w:jc w:val="both"/>
        <w:rPr>
          <w:rFonts w:ascii="KievitPro-Regular" w:hAnsi="KievitPro-Regular" w:cs="Arial"/>
        </w:rPr>
      </w:pPr>
      <w:r w:rsidRPr="00251C94">
        <w:rPr>
          <w:rFonts w:ascii="KievitPro-Regular" w:hAnsi="KievitPro-Regular"/>
        </w:rPr>
        <w:t>Se necessario, il rapporto può essere integrato. La direzione provvede all'attuazione delle misure necessarie in caso di lacune riscontrate.</w:t>
      </w:r>
    </w:p>
    <w:p w14:paraId="44D5F103" w14:textId="77777777" w:rsidR="00251C94" w:rsidRPr="00251C94" w:rsidRDefault="00251C94" w:rsidP="00251C94">
      <w:pPr>
        <w:spacing w:before="120" w:after="120" w:line="278" w:lineRule="auto"/>
        <w:jc w:val="both"/>
        <w:rPr>
          <w:rFonts w:ascii="KievitPro-Regular" w:hAnsi="KievitPro-Regular" w:cs="Arial"/>
          <w:i/>
          <w:iCs/>
        </w:rPr>
      </w:pPr>
      <w:r w:rsidRPr="00251C94">
        <w:rPr>
          <w:rFonts w:ascii="KievitPro-Regular" w:hAnsi="KievitPro-Regular"/>
          <w:i/>
        </w:rPr>
        <w:t>Allegato 12.15:</w:t>
      </w:r>
      <w:r w:rsidRPr="00251C94">
        <w:rPr>
          <w:rFonts w:ascii="KievitPro-Regular" w:hAnsi="KievitPro-Regular"/>
          <w:i/>
        </w:rPr>
        <w:tab/>
        <w:t xml:space="preserve">Lista di controllo per la documentazione delle attività di riesame. </w:t>
      </w:r>
    </w:p>
    <w:p w14:paraId="5E8BCE2A" w14:textId="77777777" w:rsidR="00251C94" w:rsidRPr="00251C94" w:rsidRDefault="00251C94" w:rsidP="00251C94">
      <w:pPr>
        <w:spacing w:before="120" w:after="120" w:line="278" w:lineRule="auto"/>
        <w:jc w:val="both"/>
        <w:rPr>
          <w:rFonts w:ascii="KievitPro-Regular" w:hAnsi="KievitPro-Regular" w:cs="Arial"/>
          <w:i/>
          <w:iCs/>
        </w:rPr>
      </w:pPr>
      <w:r w:rsidRPr="00251C94">
        <w:rPr>
          <w:rFonts w:ascii="KievitPro-Regular" w:hAnsi="KievitPro-Regular"/>
          <w:i/>
        </w:rPr>
        <w:t>Allegato 12.16: Esempio di rapporto di riesame</w:t>
      </w:r>
    </w:p>
    <w:p w14:paraId="34710570" w14:textId="77777777" w:rsidR="00251C94" w:rsidRPr="00251C94" w:rsidRDefault="00251C94" w:rsidP="005A51B7">
      <w:pPr>
        <w:pStyle w:val="berschrift1"/>
        <w:numPr>
          <w:ilvl w:val="0"/>
          <w:numId w:val="16"/>
        </w:numPr>
        <w:spacing w:after="240"/>
        <w:ind w:left="426" w:hanging="426"/>
        <w:rPr>
          <w:rFonts w:ascii="KievitPro-Regular" w:hAnsi="KievitPro-Regular"/>
          <w:b/>
          <w:sz w:val="24"/>
        </w:rPr>
      </w:pPr>
      <w:bookmarkStart w:id="47" w:name="_Toc236311868"/>
      <w:r w:rsidRPr="00251C94">
        <w:rPr>
          <w:rFonts w:ascii="KievitPro-Regular" w:hAnsi="KievitPro-Regular"/>
          <w:b/>
          <w:sz w:val="24"/>
        </w:rPr>
        <w:t>Valutazione del sistema di gestione della qualità</w:t>
      </w:r>
      <w:bookmarkEnd w:id="47"/>
    </w:p>
    <w:p w14:paraId="6EEA6DE8" w14:textId="77777777" w:rsidR="00251C94" w:rsidRDefault="00251C94" w:rsidP="00251C94">
      <w:pPr>
        <w:jc w:val="both"/>
        <w:rPr>
          <w:rFonts w:ascii="KievitPro-Regular" w:hAnsi="KievitPro-Regular"/>
        </w:rPr>
      </w:pPr>
      <w:r w:rsidRPr="00251C94">
        <w:rPr>
          <w:rFonts w:ascii="KievitPro-Regular" w:hAnsi="KievitPro-Regular"/>
        </w:rPr>
        <w:t>Il sistema di gestione della qualità viene valutato almeno una volta all'anno dalla persona o dalle persone a cui sono state attribuite la responsabilità massima e l'obbligo di rendicontazione in merito. Tale valutazione può essere avvalorata da altre persone idonee.</w:t>
      </w:r>
    </w:p>
    <w:p w14:paraId="24E01263" w14:textId="77777777" w:rsidR="005A51B7" w:rsidRPr="00251C94" w:rsidRDefault="005A51B7" w:rsidP="00251C94">
      <w:pPr>
        <w:jc w:val="both"/>
        <w:rPr>
          <w:rFonts w:ascii="KievitPro-Regular" w:hAnsi="KievitPro-Regular" w:cs="Arial"/>
        </w:rPr>
      </w:pPr>
    </w:p>
    <w:p w14:paraId="32873D6A" w14:textId="77777777" w:rsidR="00251C94" w:rsidRDefault="00251C94" w:rsidP="00251C94">
      <w:pPr>
        <w:jc w:val="both"/>
        <w:rPr>
          <w:rFonts w:ascii="KievitPro-Regular" w:hAnsi="KievitPro-Regular"/>
        </w:rPr>
      </w:pPr>
      <w:r w:rsidRPr="00251C94">
        <w:rPr>
          <w:rFonts w:ascii="KievitPro-Regular" w:hAnsi="KievitPro-Regular"/>
        </w:rPr>
        <w:t xml:space="preserve">La responsabilità complessiva della valutazione del sistema di gestione della qualità spetta, all'interno dell'impresa di revisione, al </w:t>
      </w:r>
      <w:r w:rsidRPr="00251C94">
        <w:rPr>
          <w:rFonts w:ascii="KievitPro-Regular" w:hAnsi="KievitPro-Regular"/>
          <w:highlight w:val="yellow"/>
        </w:rPr>
        <w:t>presidente del consiglio d'amministrazione</w:t>
      </w:r>
      <w:r w:rsidRPr="00251C94">
        <w:rPr>
          <w:rFonts w:ascii="KievitPro-Regular" w:hAnsi="KievitPro-Regular"/>
        </w:rPr>
        <w:t>, in quanto titolare della massima funzione di vigilanza e responsabilità.</w:t>
      </w:r>
    </w:p>
    <w:p w14:paraId="5B4D74F8" w14:textId="77777777" w:rsidR="005A51B7" w:rsidRPr="00251C94" w:rsidRDefault="005A51B7" w:rsidP="00251C94">
      <w:pPr>
        <w:jc w:val="both"/>
        <w:rPr>
          <w:rFonts w:ascii="KievitPro-Regular" w:hAnsi="KievitPro-Regular" w:cs="Arial"/>
        </w:rPr>
      </w:pPr>
    </w:p>
    <w:p w14:paraId="094BE726" w14:textId="77777777" w:rsidR="00251C94" w:rsidRDefault="00251C94" w:rsidP="00251C94">
      <w:pPr>
        <w:jc w:val="both"/>
        <w:rPr>
          <w:rFonts w:ascii="KievitPro-Regular" w:hAnsi="KievitPro-Regular"/>
        </w:rPr>
      </w:pPr>
      <w:r w:rsidRPr="00251C94">
        <w:rPr>
          <w:rFonts w:ascii="KievitPro-Regular" w:hAnsi="KievitPro-Regular"/>
        </w:rPr>
        <w:t>La valutazione si basa su un'analisi complessiva del sistema di gestione della qualità e comprende, in particolare, la sua struttura, l'attuazione e l'efficacia, nonché l'individuazione di eventuali lacune e punti deboli. L'obiettivo è fornire una panoramica completa dello stato attuale del sistema.</w:t>
      </w:r>
    </w:p>
    <w:p w14:paraId="55A05235" w14:textId="77777777" w:rsidR="005A51B7" w:rsidRPr="00251C94" w:rsidRDefault="005A51B7" w:rsidP="00251C94">
      <w:pPr>
        <w:jc w:val="both"/>
        <w:rPr>
          <w:rFonts w:ascii="KievitPro-Regular" w:hAnsi="KievitPro-Regular" w:cs="Arial"/>
        </w:rPr>
      </w:pPr>
    </w:p>
    <w:p w14:paraId="3FEF55E6" w14:textId="77777777" w:rsidR="00251C94" w:rsidRDefault="00251C94" w:rsidP="00251C94">
      <w:pPr>
        <w:jc w:val="both"/>
        <w:rPr>
          <w:rFonts w:ascii="KievitPro-Regular" w:hAnsi="KievitPro-Regular"/>
        </w:rPr>
      </w:pPr>
      <w:r w:rsidRPr="00251C94">
        <w:rPr>
          <w:rFonts w:ascii="KievitPro-Regular" w:hAnsi="KievitPro-Regular"/>
        </w:rPr>
        <w:t>Per la valutazione vengono prese in considerazione diverse fonti di informazione, in particolare il rapporto di riesame (redatto dal responsabile della gestione della qualità). A titolo integrativo, possono essere effettuati colloqui con i responsabili del riesame, può essere richiesta la consultazione della documentazione di riesame, nonché di altri documenti pertinenti.</w:t>
      </w:r>
    </w:p>
    <w:p w14:paraId="4F04D60D" w14:textId="77777777" w:rsidR="005A51B7" w:rsidRPr="00251C94" w:rsidRDefault="005A51B7" w:rsidP="00251C94">
      <w:pPr>
        <w:jc w:val="both"/>
        <w:rPr>
          <w:rFonts w:ascii="KievitPro-Regular" w:hAnsi="KievitPro-Regular" w:cs="Arial"/>
        </w:rPr>
      </w:pPr>
    </w:p>
    <w:p w14:paraId="5BBF4221" w14:textId="77777777" w:rsidR="00251C94" w:rsidRDefault="00251C94" w:rsidP="00251C94">
      <w:pPr>
        <w:jc w:val="both"/>
        <w:rPr>
          <w:rFonts w:ascii="KievitPro-Regular" w:hAnsi="KievitPro-Regular"/>
        </w:rPr>
      </w:pPr>
      <w:r w:rsidRPr="00251C94">
        <w:rPr>
          <w:rFonts w:ascii="KievitPro-Regular" w:hAnsi="KievitPro-Regular"/>
        </w:rPr>
        <w:t>Per lo svolgimento e la documentazione della valutazione è disponibile la guida «Valutazione del sistema di gestione della qualità».</w:t>
      </w:r>
    </w:p>
    <w:p w14:paraId="6A18AD87" w14:textId="77777777" w:rsidR="005A51B7" w:rsidRPr="00251C94" w:rsidRDefault="005A51B7" w:rsidP="00251C94">
      <w:pPr>
        <w:jc w:val="both"/>
        <w:rPr>
          <w:rFonts w:ascii="KievitPro-Regular" w:hAnsi="KievitPro-Regular" w:cs="Arial"/>
        </w:rPr>
      </w:pPr>
    </w:p>
    <w:p w14:paraId="5358C334" w14:textId="77777777" w:rsidR="00251C94" w:rsidRDefault="00251C94" w:rsidP="00251C94">
      <w:pPr>
        <w:jc w:val="both"/>
        <w:rPr>
          <w:rFonts w:ascii="KievitPro-Regular" w:hAnsi="KievitPro-Regular"/>
        </w:rPr>
      </w:pPr>
      <w:r w:rsidRPr="00251C94">
        <w:rPr>
          <w:rFonts w:ascii="KievitPro-Regular" w:hAnsi="KievitPro-Regular"/>
        </w:rPr>
        <w:t>Le competenze organizzative in materia di gestione della qualità sono definite nell'organigramma dell'impresa di revisione.</w:t>
      </w:r>
    </w:p>
    <w:p w14:paraId="78B3B837" w14:textId="77777777" w:rsidR="005A51B7" w:rsidRPr="00251C94" w:rsidRDefault="005A51B7" w:rsidP="00251C94">
      <w:pPr>
        <w:jc w:val="both"/>
        <w:rPr>
          <w:rFonts w:ascii="KievitPro-Regular" w:hAnsi="KievitPro-Regular" w:cs="Arial"/>
        </w:rPr>
      </w:pPr>
    </w:p>
    <w:p w14:paraId="0F458C38" w14:textId="77777777" w:rsidR="00251C94" w:rsidRPr="00251C94" w:rsidRDefault="00251C94" w:rsidP="00251C94">
      <w:pPr>
        <w:jc w:val="both"/>
        <w:rPr>
          <w:rFonts w:ascii="KievitPro-Regular" w:hAnsi="KievitPro-Regular" w:cs="Arial"/>
        </w:rPr>
      </w:pPr>
      <w:r w:rsidRPr="00251C94">
        <w:rPr>
          <w:rFonts w:ascii="KievitPro-Regular" w:hAnsi="KievitPro-Regular"/>
        </w:rPr>
        <w:t xml:space="preserve">Tutti i membri </w:t>
      </w:r>
      <w:proofErr w:type="gramStart"/>
      <w:r w:rsidRPr="00251C94">
        <w:rPr>
          <w:rFonts w:ascii="KievitPro-Regular" w:hAnsi="KievitPro-Regular"/>
        </w:rPr>
        <w:t>del team</w:t>
      </w:r>
      <w:proofErr w:type="gramEnd"/>
      <w:r w:rsidRPr="00251C94">
        <w:rPr>
          <w:rFonts w:ascii="KievitPro-Regular" w:hAnsi="KievitPro-Regular"/>
        </w:rPr>
        <w:t xml:space="preserve"> di revisione sono in possesso dell'abilitazione professionale necessaria per lo svolgimento della loro attività, almeno in qualità di </w:t>
      </w:r>
      <w:r w:rsidRPr="00251C94">
        <w:rPr>
          <w:rFonts w:ascii="KievitPro-Regular" w:hAnsi="KievitPro-Regular"/>
          <w:highlight w:val="yellow"/>
        </w:rPr>
        <w:t>revisore abilitato</w:t>
      </w:r>
      <w:r w:rsidRPr="00251C94">
        <w:rPr>
          <w:rFonts w:ascii="KievitPro-Regular" w:hAnsi="KievitPro-Regular"/>
        </w:rPr>
        <w:t xml:space="preserve"> o </w:t>
      </w:r>
      <w:r w:rsidRPr="00251C94">
        <w:rPr>
          <w:rFonts w:ascii="KievitPro-Regular" w:hAnsi="KievitPro-Regular"/>
          <w:highlight w:val="yellow"/>
        </w:rPr>
        <w:t>perito revisore abilitato</w:t>
      </w:r>
      <w:r w:rsidRPr="00251C94">
        <w:rPr>
          <w:rFonts w:ascii="KievitPro-Regular" w:hAnsi="KievitPro-Regular"/>
        </w:rPr>
        <w:t>.</w:t>
      </w:r>
    </w:p>
    <w:p w14:paraId="7A20EA27" w14:textId="77777777" w:rsidR="00251C94" w:rsidRPr="00251C94" w:rsidRDefault="00251C94" w:rsidP="00251C94">
      <w:pPr>
        <w:spacing w:before="120" w:after="120" w:line="278" w:lineRule="auto"/>
        <w:jc w:val="both"/>
        <w:rPr>
          <w:rFonts w:ascii="KievitPro-Regular" w:hAnsi="KievitPro-Regular" w:cs="Arial"/>
          <w:i/>
          <w:iCs/>
        </w:rPr>
      </w:pPr>
      <w:r w:rsidRPr="00251C94">
        <w:rPr>
          <w:rFonts w:ascii="KievitPro-Regular" w:hAnsi="KievitPro-Regular"/>
          <w:i/>
        </w:rPr>
        <w:t>Allegato 12.17:</w:t>
      </w:r>
      <w:r w:rsidRPr="00251C94">
        <w:rPr>
          <w:rFonts w:ascii="KievitPro-Regular" w:hAnsi="KievitPro-Regular"/>
          <w:i/>
        </w:rPr>
        <w:tab/>
        <w:t>Lista di controllo per la valutazione del sistema di gestione della qualità</w:t>
      </w:r>
    </w:p>
    <w:p w14:paraId="5BC3C1A4" w14:textId="77777777" w:rsidR="00251C94" w:rsidRPr="00251C94" w:rsidRDefault="00251C94" w:rsidP="00251C94">
      <w:pPr>
        <w:jc w:val="both"/>
        <w:rPr>
          <w:rFonts w:ascii="KievitPro-Regular" w:hAnsi="KievitPro-Regular" w:cs="Arial"/>
        </w:rPr>
      </w:pPr>
    </w:p>
    <w:p w14:paraId="7FE8AAEF" w14:textId="77777777" w:rsidR="00251C94" w:rsidRPr="00251C94" w:rsidRDefault="00251C94" w:rsidP="005A51B7">
      <w:pPr>
        <w:pStyle w:val="berschrift1"/>
        <w:numPr>
          <w:ilvl w:val="0"/>
          <w:numId w:val="16"/>
        </w:numPr>
        <w:spacing w:after="240"/>
        <w:ind w:left="426" w:hanging="426"/>
        <w:rPr>
          <w:rFonts w:ascii="KievitPro-Regular" w:hAnsi="KievitPro-Regular"/>
          <w:b/>
          <w:sz w:val="24"/>
        </w:rPr>
      </w:pPr>
      <w:bookmarkStart w:id="48" w:name="_Toc236311869"/>
      <w:r w:rsidRPr="00251C94">
        <w:rPr>
          <w:rFonts w:ascii="KievitPro-Regular" w:hAnsi="KievitPro-Regular"/>
          <w:b/>
          <w:sz w:val="24"/>
        </w:rPr>
        <w:lastRenderedPageBreak/>
        <w:t>Documentazione del sistema di gestione della qualità</w:t>
      </w:r>
      <w:bookmarkEnd w:id="48"/>
    </w:p>
    <w:p w14:paraId="1BF2846B" w14:textId="77777777" w:rsidR="00251C94" w:rsidRDefault="00251C94" w:rsidP="00251C94">
      <w:pPr>
        <w:jc w:val="both"/>
        <w:rPr>
          <w:rFonts w:ascii="KievitPro-Regular" w:hAnsi="KievitPro-Regular"/>
        </w:rPr>
      </w:pPr>
      <w:r w:rsidRPr="00251C94">
        <w:rPr>
          <w:rFonts w:ascii="KievitPro-Regular" w:hAnsi="KievitPro-Regular"/>
        </w:rPr>
        <w:t xml:space="preserve">A seconda dell'entità e della complessità delle nostre attività, conserviamo la documentazione necessaria come prova dell'efficacia del nostro sistema di gestione della qualità per un periodo di almeno </w:t>
      </w:r>
      <w:proofErr w:type="gramStart"/>
      <w:r w:rsidRPr="00251C94">
        <w:rPr>
          <w:rFonts w:ascii="KievitPro-Regular" w:hAnsi="KievitPro-Regular"/>
        </w:rPr>
        <w:t>10</w:t>
      </w:r>
      <w:proofErr w:type="gramEnd"/>
      <w:r w:rsidRPr="00251C94">
        <w:rPr>
          <w:rFonts w:ascii="KievitPro-Regular" w:hAnsi="KievitPro-Regular"/>
        </w:rPr>
        <w:t xml:space="preserve"> anni. Ne fanno parte in particolare la documentazione relativa al riesame (rapporti di riesame e liste di controllo), datata e firmata dai responsabili, la documentazione relativa al controllo della qualità relativo al mandato, nonché eventuali ricorsi, contestazioni e le relative prese di posizione dell'impresa di revisione.</w:t>
      </w:r>
    </w:p>
    <w:p w14:paraId="640428E6" w14:textId="77777777" w:rsidR="005A51B7" w:rsidRPr="00251C94" w:rsidRDefault="005A51B7" w:rsidP="00251C94">
      <w:pPr>
        <w:jc w:val="both"/>
        <w:rPr>
          <w:rFonts w:ascii="KievitPro-Regular" w:hAnsi="KievitPro-Regular" w:cs="Arial"/>
        </w:rPr>
      </w:pPr>
    </w:p>
    <w:p w14:paraId="41CEBE6F" w14:textId="77777777" w:rsidR="00251C94" w:rsidRDefault="00251C94" w:rsidP="00251C94">
      <w:pPr>
        <w:jc w:val="both"/>
        <w:rPr>
          <w:rFonts w:ascii="KievitPro-Regular" w:hAnsi="KievitPro-Regular"/>
        </w:rPr>
      </w:pPr>
      <w:r w:rsidRPr="00251C94">
        <w:rPr>
          <w:rFonts w:ascii="KievitPro-Regular" w:hAnsi="KievitPro-Regular"/>
        </w:rPr>
        <w:t>Al fine di garantire la tracciabilità, tutte le attività di revisione vengono documentate in modo sistematico, uniforme ed esaustivo.</w:t>
      </w:r>
    </w:p>
    <w:p w14:paraId="770310F9" w14:textId="77777777" w:rsidR="005A51B7" w:rsidRPr="00251C94" w:rsidRDefault="005A51B7" w:rsidP="00251C94">
      <w:pPr>
        <w:jc w:val="both"/>
        <w:rPr>
          <w:rFonts w:ascii="KievitPro-Regular" w:hAnsi="KievitPro-Regular" w:cs="Arial"/>
        </w:rPr>
      </w:pPr>
    </w:p>
    <w:p w14:paraId="336C7FB1" w14:textId="77777777" w:rsidR="00251C94" w:rsidRDefault="00251C94" w:rsidP="00251C94">
      <w:pPr>
        <w:jc w:val="both"/>
        <w:rPr>
          <w:rFonts w:ascii="KievitPro-Regular" w:hAnsi="KievitPro-Regular"/>
        </w:rPr>
      </w:pPr>
      <w:r w:rsidRPr="00251C94">
        <w:rPr>
          <w:rFonts w:ascii="KievitPro-Regular" w:hAnsi="KievitPro-Regular"/>
        </w:rPr>
        <w:t>I fascicoli relativi ai mandati vengono conservati per il termine per conservare i documenti previsto dalla legge, che è in linea di principio di dieci anni, e successivamente distrutti nel rispetto delle norme vigenti.</w:t>
      </w:r>
    </w:p>
    <w:p w14:paraId="1964FB0E" w14:textId="77777777" w:rsidR="005A51B7" w:rsidRPr="00251C94" w:rsidRDefault="005A51B7" w:rsidP="00251C94">
      <w:pPr>
        <w:jc w:val="both"/>
        <w:rPr>
          <w:rFonts w:ascii="KievitPro-Regular" w:hAnsi="KievitPro-Regular" w:cs="Arial"/>
        </w:rPr>
      </w:pPr>
    </w:p>
    <w:p w14:paraId="646B7B32" w14:textId="77777777" w:rsidR="00251C94" w:rsidRPr="00251C94" w:rsidRDefault="00251C94" w:rsidP="00251C94">
      <w:pPr>
        <w:pStyle w:val="berschrift1"/>
        <w:numPr>
          <w:ilvl w:val="0"/>
          <w:numId w:val="16"/>
        </w:numPr>
        <w:ind w:left="426" w:hanging="426"/>
        <w:rPr>
          <w:rFonts w:ascii="KievitPro-Regular" w:hAnsi="KievitPro-Regular"/>
          <w:b/>
          <w:sz w:val="24"/>
        </w:rPr>
      </w:pPr>
      <w:bookmarkStart w:id="49" w:name="_Toc236311870"/>
      <w:r w:rsidRPr="00251C94">
        <w:rPr>
          <w:rFonts w:ascii="KievitPro-Regular" w:hAnsi="KievitPro-Regular"/>
          <w:b/>
          <w:sz w:val="24"/>
        </w:rPr>
        <w:t>Panoramica degli strumenti di lavoro e dei modelli</w:t>
      </w:r>
      <w:bookmarkEnd w:id="49"/>
    </w:p>
    <w:p w14:paraId="0A621B76" w14:textId="77777777" w:rsidR="00251C94" w:rsidRPr="00251C94" w:rsidRDefault="00251C94" w:rsidP="00251C94">
      <w:pPr>
        <w:pStyle w:val="Listenabsatz"/>
        <w:numPr>
          <w:ilvl w:val="1"/>
          <w:numId w:val="16"/>
        </w:numPr>
        <w:spacing w:before="120" w:after="120" w:line="276" w:lineRule="auto"/>
        <w:contextualSpacing w:val="0"/>
        <w:jc w:val="both"/>
        <w:rPr>
          <w:rFonts w:ascii="KievitPro-Regular" w:hAnsi="KievitPro-Regular" w:cs="Arial"/>
        </w:rPr>
      </w:pPr>
      <w:r w:rsidRPr="00251C94">
        <w:rPr>
          <w:rFonts w:ascii="KievitPro-Regular" w:hAnsi="KievitPro-Regular"/>
        </w:rPr>
        <w:t>Lista di controllo «Valutazione dei rischi dello studio e relative misure specifiche»</w:t>
      </w:r>
    </w:p>
    <w:p w14:paraId="70C43FBA" w14:textId="77777777" w:rsidR="00251C94" w:rsidRPr="00251C94" w:rsidRDefault="00251C94" w:rsidP="00251C94">
      <w:pPr>
        <w:pStyle w:val="Listenabsatz"/>
        <w:numPr>
          <w:ilvl w:val="1"/>
          <w:numId w:val="16"/>
        </w:numPr>
        <w:spacing w:before="120" w:after="120" w:line="276" w:lineRule="auto"/>
        <w:contextualSpacing w:val="0"/>
        <w:jc w:val="both"/>
        <w:rPr>
          <w:rFonts w:ascii="KievitPro-Regular" w:hAnsi="KievitPro-Regular" w:cs="Arial"/>
        </w:rPr>
      </w:pPr>
      <w:r w:rsidRPr="00251C94">
        <w:rPr>
          <w:rFonts w:ascii="KievitPro-Regular" w:hAnsi="KievitPro-Regular"/>
        </w:rPr>
        <w:t>Dichiarazione annuale di conformità ai requisiti di indipendenza</w:t>
      </w:r>
    </w:p>
    <w:p w14:paraId="33CDB5D0" w14:textId="77777777" w:rsidR="00251C94" w:rsidRPr="00251C94" w:rsidRDefault="00251C94" w:rsidP="00251C94">
      <w:pPr>
        <w:pStyle w:val="Listenabsatz"/>
        <w:numPr>
          <w:ilvl w:val="1"/>
          <w:numId w:val="16"/>
        </w:numPr>
        <w:spacing w:before="120" w:after="120" w:line="276" w:lineRule="auto"/>
        <w:contextualSpacing w:val="0"/>
        <w:jc w:val="both"/>
        <w:rPr>
          <w:rFonts w:ascii="KievitPro-Regular" w:hAnsi="KievitPro-Regular" w:cs="Arial"/>
        </w:rPr>
      </w:pPr>
      <w:r w:rsidRPr="00251C94">
        <w:rPr>
          <w:rFonts w:ascii="KievitPro-Regular" w:hAnsi="KievitPro-Regular"/>
        </w:rPr>
        <w:t>Dichiarazione di riservatezza relativa al segreto professionale (per i collaboratori)</w:t>
      </w:r>
    </w:p>
    <w:p w14:paraId="75C4AE1F" w14:textId="77777777" w:rsidR="00251C94" w:rsidRPr="00251C94" w:rsidRDefault="00251C94" w:rsidP="00251C94">
      <w:pPr>
        <w:pStyle w:val="Listenabsatz"/>
        <w:numPr>
          <w:ilvl w:val="1"/>
          <w:numId w:val="16"/>
        </w:numPr>
        <w:spacing w:before="120" w:after="120" w:line="276" w:lineRule="auto"/>
        <w:contextualSpacing w:val="0"/>
        <w:jc w:val="both"/>
        <w:rPr>
          <w:rFonts w:ascii="KievitPro-Regular" w:hAnsi="KievitPro-Regular" w:cs="Arial"/>
        </w:rPr>
      </w:pPr>
      <w:r w:rsidRPr="00251C94">
        <w:rPr>
          <w:rFonts w:ascii="KievitPro-Regular" w:hAnsi="KievitPro-Regular"/>
        </w:rPr>
        <w:t>Rispetto delle linee guida comportamentali in materia di IT (consenso)</w:t>
      </w:r>
    </w:p>
    <w:p w14:paraId="1558D8FF" w14:textId="77777777" w:rsidR="00251C94" w:rsidRPr="00251C94" w:rsidRDefault="00251C94" w:rsidP="00251C94">
      <w:pPr>
        <w:pStyle w:val="Listenabsatz"/>
        <w:numPr>
          <w:ilvl w:val="1"/>
          <w:numId w:val="16"/>
        </w:numPr>
        <w:spacing w:before="120" w:after="120" w:line="276" w:lineRule="auto"/>
        <w:contextualSpacing w:val="0"/>
        <w:jc w:val="both"/>
        <w:rPr>
          <w:rFonts w:ascii="KievitPro-Regular" w:hAnsi="KievitPro-Regular" w:cs="Arial"/>
        </w:rPr>
      </w:pPr>
      <w:r w:rsidRPr="00251C94">
        <w:rPr>
          <w:rFonts w:ascii="KievitPro-Regular" w:hAnsi="KievitPro-Regular"/>
        </w:rPr>
        <w:t>Lista di controllo per la valutazione dell'accettazione del mandato</w:t>
      </w:r>
    </w:p>
    <w:p w14:paraId="0C895A53" w14:textId="77777777" w:rsidR="00251C94" w:rsidRPr="00251C94" w:rsidRDefault="00251C94" w:rsidP="00251C94">
      <w:pPr>
        <w:pStyle w:val="Listenabsatz"/>
        <w:numPr>
          <w:ilvl w:val="1"/>
          <w:numId w:val="16"/>
        </w:numPr>
        <w:spacing w:before="120" w:after="120" w:line="276" w:lineRule="auto"/>
        <w:contextualSpacing w:val="0"/>
        <w:jc w:val="both"/>
        <w:rPr>
          <w:rFonts w:ascii="KievitPro-Regular" w:hAnsi="KievitPro-Regular" w:cs="Arial"/>
        </w:rPr>
      </w:pPr>
      <w:r w:rsidRPr="00251C94">
        <w:rPr>
          <w:rFonts w:ascii="KievitPro-Regular" w:hAnsi="KievitPro-Regular"/>
        </w:rPr>
        <w:t>Lista di controllo per la valutazione della continuazione dei mandati</w:t>
      </w:r>
    </w:p>
    <w:p w14:paraId="0C5AD1A9" w14:textId="77777777" w:rsidR="00251C94" w:rsidRPr="00251C94" w:rsidRDefault="00251C94" w:rsidP="00251C94">
      <w:pPr>
        <w:pStyle w:val="Listenabsatz"/>
        <w:numPr>
          <w:ilvl w:val="1"/>
          <w:numId w:val="16"/>
        </w:numPr>
        <w:spacing w:before="120" w:after="120" w:line="276" w:lineRule="auto"/>
        <w:contextualSpacing w:val="0"/>
        <w:jc w:val="both"/>
        <w:rPr>
          <w:rFonts w:ascii="KievitPro-Regular" w:hAnsi="KievitPro-Regular" w:cs="Arial"/>
        </w:rPr>
      </w:pPr>
      <w:r w:rsidRPr="00251C94">
        <w:rPr>
          <w:rFonts w:ascii="KievitPro-Regular" w:hAnsi="KievitPro-Regular"/>
        </w:rPr>
        <w:t>Modello di conferma di mandato in caso di doppio mandato</w:t>
      </w:r>
    </w:p>
    <w:p w14:paraId="1329FA04" w14:textId="77777777" w:rsidR="00251C94" w:rsidRPr="00251C94" w:rsidRDefault="00251C94" w:rsidP="00251C94">
      <w:pPr>
        <w:pStyle w:val="Listenabsatz"/>
        <w:numPr>
          <w:ilvl w:val="1"/>
          <w:numId w:val="16"/>
        </w:numPr>
        <w:spacing w:before="120" w:after="120" w:line="276" w:lineRule="auto"/>
        <w:contextualSpacing w:val="0"/>
        <w:jc w:val="both"/>
        <w:rPr>
          <w:rFonts w:ascii="KievitPro-Regular" w:hAnsi="KievitPro-Regular" w:cs="Arial"/>
        </w:rPr>
      </w:pPr>
      <w:r w:rsidRPr="00251C94">
        <w:rPr>
          <w:rFonts w:ascii="KievitPro-Regular" w:hAnsi="KievitPro-Regular"/>
        </w:rPr>
        <w:t>Regolamento sulla collaborazione in caso di doppio mandato</w:t>
      </w:r>
    </w:p>
    <w:p w14:paraId="4C693914" w14:textId="77777777" w:rsidR="00251C94" w:rsidRPr="00251C94" w:rsidRDefault="00251C94" w:rsidP="00251C94">
      <w:pPr>
        <w:pStyle w:val="Listenabsatz"/>
        <w:numPr>
          <w:ilvl w:val="1"/>
          <w:numId w:val="16"/>
        </w:numPr>
        <w:spacing w:before="120" w:after="120" w:line="276" w:lineRule="auto"/>
        <w:contextualSpacing w:val="0"/>
        <w:jc w:val="both"/>
        <w:rPr>
          <w:rFonts w:ascii="KievitPro-Regular" w:hAnsi="KievitPro-Regular" w:cs="Arial"/>
        </w:rPr>
      </w:pPr>
      <w:r w:rsidRPr="00251C94">
        <w:rPr>
          <w:rFonts w:ascii="KievitPro-Regular" w:hAnsi="KievitPro-Regular"/>
        </w:rPr>
        <w:t>Lista di controllo per le dimissioni dal mandato</w:t>
      </w:r>
    </w:p>
    <w:p w14:paraId="7BBF94FF" w14:textId="77777777" w:rsidR="00251C94" w:rsidRPr="00251C94" w:rsidRDefault="00251C94" w:rsidP="00251C94">
      <w:pPr>
        <w:pStyle w:val="Listenabsatz"/>
        <w:numPr>
          <w:ilvl w:val="1"/>
          <w:numId w:val="16"/>
        </w:numPr>
        <w:spacing w:before="120" w:after="120" w:line="276" w:lineRule="auto"/>
        <w:contextualSpacing w:val="0"/>
        <w:jc w:val="both"/>
        <w:rPr>
          <w:rFonts w:ascii="KievitPro-Regular" w:hAnsi="KievitPro-Regular" w:cs="Arial"/>
        </w:rPr>
      </w:pPr>
      <w:r w:rsidRPr="00251C94">
        <w:rPr>
          <w:rFonts w:ascii="KievitPro-Regular" w:hAnsi="KievitPro-Regular"/>
        </w:rPr>
        <w:t>Valutazione periodica dei dipendenti</w:t>
      </w:r>
    </w:p>
    <w:p w14:paraId="7FC3E794" w14:textId="77777777" w:rsidR="00251C94" w:rsidRPr="00251C94" w:rsidRDefault="00251C94" w:rsidP="00251C94">
      <w:pPr>
        <w:pStyle w:val="Listenabsatz"/>
        <w:numPr>
          <w:ilvl w:val="1"/>
          <w:numId w:val="16"/>
        </w:numPr>
        <w:spacing w:before="120" w:after="120" w:line="276" w:lineRule="auto"/>
        <w:contextualSpacing w:val="0"/>
        <w:jc w:val="both"/>
        <w:rPr>
          <w:rFonts w:ascii="KievitPro-Regular" w:hAnsi="KievitPro-Regular" w:cs="Arial"/>
        </w:rPr>
      </w:pPr>
      <w:r w:rsidRPr="00251C94">
        <w:rPr>
          <w:rFonts w:ascii="KievitPro-Regular" w:hAnsi="KievitPro-Regular"/>
        </w:rPr>
        <w:t>Modello di verifica del perfezionamento a livello di impresa</w:t>
      </w:r>
    </w:p>
    <w:p w14:paraId="19981D2B" w14:textId="77777777" w:rsidR="00251C94" w:rsidRPr="00251C94" w:rsidRDefault="00251C94" w:rsidP="00251C94">
      <w:pPr>
        <w:pStyle w:val="Listenabsatz"/>
        <w:numPr>
          <w:ilvl w:val="1"/>
          <w:numId w:val="16"/>
        </w:numPr>
        <w:spacing w:before="120" w:after="120" w:line="276" w:lineRule="auto"/>
        <w:contextualSpacing w:val="0"/>
        <w:jc w:val="both"/>
        <w:rPr>
          <w:rFonts w:ascii="KievitPro-Regular" w:hAnsi="KievitPro-Regular" w:cs="Arial"/>
        </w:rPr>
      </w:pPr>
      <w:r w:rsidRPr="00251C94">
        <w:rPr>
          <w:rFonts w:ascii="KievitPro-Regular" w:hAnsi="KievitPro-Regular"/>
        </w:rPr>
        <w:t>Modello di lista di controllo per i mandati di revisione</w:t>
      </w:r>
    </w:p>
    <w:p w14:paraId="7BA3AC98" w14:textId="77777777" w:rsidR="00251C94" w:rsidRPr="00251C94" w:rsidRDefault="00251C94" w:rsidP="00251C94">
      <w:pPr>
        <w:pStyle w:val="Listenabsatz"/>
        <w:numPr>
          <w:ilvl w:val="1"/>
          <w:numId w:val="16"/>
        </w:numPr>
        <w:spacing w:before="120" w:after="120" w:line="276" w:lineRule="auto"/>
        <w:contextualSpacing w:val="0"/>
        <w:jc w:val="both"/>
        <w:rPr>
          <w:rFonts w:ascii="KievitPro-Regular" w:hAnsi="KievitPro-Regular" w:cs="Arial"/>
        </w:rPr>
      </w:pPr>
      <w:r w:rsidRPr="00251C94">
        <w:rPr>
          <w:rFonts w:ascii="KievitPro-Regular" w:hAnsi="KievitPro-Regular"/>
        </w:rPr>
        <w:t>Lista di controllo per la sorveglianza e l’esame</w:t>
      </w:r>
    </w:p>
    <w:p w14:paraId="51214957" w14:textId="77777777" w:rsidR="00251C94" w:rsidRPr="00251C94" w:rsidRDefault="00251C94" w:rsidP="00251C94">
      <w:pPr>
        <w:pStyle w:val="Listenabsatz"/>
        <w:numPr>
          <w:ilvl w:val="1"/>
          <w:numId w:val="16"/>
        </w:numPr>
        <w:spacing w:before="120" w:after="120" w:line="276" w:lineRule="auto"/>
        <w:contextualSpacing w:val="0"/>
        <w:jc w:val="both"/>
        <w:rPr>
          <w:rFonts w:ascii="KievitPro-Regular" w:hAnsi="KievitPro-Regular" w:cs="Arial"/>
        </w:rPr>
      </w:pPr>
      <w:r w:rsidRPr="00251C94">
        <w:rPr>
          <w:rFonts w:ascii="KievitPro-Regular" w:hAnsi="KievitPro-Regular"/>
        </w:rPr>
        <w:t>Lista di controllo per la valutazione della necessità di un controllo della qualità relativo al mandato</w:t>
      </w:r>
    </w:p>
    <w:p w14:paraId="05076DD8" w14:textId="77777777" w:rsidR="00251C94" w:rsidRPr="00251C94" w:rsidRDefault="00251C94" w:rsidP="00251C94">
      <w:pPr>
        <w:pStyle w:val="Listenabsatz"/>
        <w:numPr>
          <w:ilvl w:val="1"/>
          <w:numId w:val="16"/>
        </w:numPr>
        <w:spacing w:before="120" w:after="120" w:line="276" w:lineRule="auto"/>
        <w:contextualSpacing w:val="0"/>
        <w:jc w:val="both"/>
        <w:rPr>
          <w:rFonts w:ascii="KievitPro-Regular" w:hAnsi="KievitPro-Regular" w:cs="Arial"/>
        </w:rPr>
      </w:pPr>
      <w:r w:rsidRPr="00251C94">
        <w:rPr>
          <w:rFonts w:ascii="KievitPro-Regular" w:hAnsi="KievitPro-Regular"/>
        </w:rPr>
        <w:t>Lista di controllo per la documentazione delle attività di riesame.</w:t>
      </w:r>
    </w:p>
    <w:p w14:paraId="090DA5C7" w14:textId="77777777" w:rsidR="00251C94" w:rsidRPr="00251C94" w:rsidRDefault="00251C94" w:rsidP="00251C94">
      <w:pPr>
        <w:pStyle w:val="Listenabsatz"/>
        <w:numPr>
          <w:ilvl w:val="1"/>
          <w:numId w:val="16"/>
        </w:numPr>
        <w:spacing w:before="120" w:after="120" w:line="276" w:lineRule="auto"/>
        <w:contextualSpacing w:val="0"/>
        <w:jc w:val="both"/>
        <w:rPr>
          <w:rFonts w:ascii="KievitPro-Regular" w:hAnsi="KievitPro-Regular" w:cs="Arial"/>
        </w:rPr>
      </w:pPr>
      <w:r w:rsidRPr="00251C94">
        <w:rPr>
          <w:rFonts w:ascii="KievitPro-Regular" w:hAnsi="KievitPro-Regular"/>
        </w:rPr>
        <w:t>Esempio di rapporto di riesame</w:t>
      </w:r>
    </w:p>
    <w:p w14:paraId="6B9D8082" w14:textId="77777777" w:rsidR="00251C94" w:rsidRPr="00251C94" w:rsidRDefault="00251C94" w:rsidP="00251C94">
      <w:pPr>
        <w:pStyle w:val="Listenabsatz"/>
        <w:numPr>
          <w:ilvl w:val="1"/>
          <w:numId w:val="16"/>
        </w:numPr>
        <w:spacing w:before="120" w:after="120" w:line="276" w:lineRule="auto"/>
        <w:contextualSpacing w:val="0"/>
        <w:jc w:val="both"/>
        <w:rPr>
          <w:rFonts w:ascii="KievitPro-Regular" w:hAnsi="KievitPro-Regular" w:cs="Arial"/>
        </w:rPr>
      </w:pPr>
      <w:r w:rsidRPr="00251C94">
        <w:rPr>
          <w:rFonts w:ascii="KievitPro-Regular" w:hAnsi="KievitPro-Regular"/>
        </w:rPr>
        <w:t>Lista di controllo per la valutazione del sistema di gestione della qualità</w:t>
      </w:r>
    </w:p>
    <w:p w14:paraId="1457E46E" w14:textId="77777777" w:rsidR="00251C94" w:rsidRPr="00251C94" w:rsidRDefault="00251C94" w:rsidP="00251C94">
      <w:pPr>
        <w:jc w:val="both"/>
        <w:rPr>
          <w:rFonts w:ascii="KievitPro-Regular" w:hAnsi="KievitPro-Regular" w:cs="Arial"/>
        </w:rPr>
      </w:pPr>
    </w:p>
    <w:p w14:paraId="0AE30457" w14:textId="77777777" w:rsidR="00251C94" w:rsidRPr="00251C94" w:rsidRDefault="00251C94" w:rsidP="00251C94">
      <w:pPr>
        <w:jc w:val="both"/>
        <w:rPr>
          <w:rFonts w:ascii="KievitPro-Regular" w:hAnsi="KievitPro-Regular" w:cs="Arial"/>
        </w:rPr>
      </w:pPr>
    </w:p>
    <w:p w14:paraId="422A2FCF" w14:textId="77777777" w:rsidR="00251C94" w:rsidRPr="00251C94" w:rsidRDefault="00251C94" w:rsidP="00251C94">
      <w:pPr>
        <w:spacing w:line="240" w:lineRule="auto"/>
        <w:rPr>
          <w:rFonts w:ascii="KievitPro-Regular" w:hAnsi="KievitPro-Regular" w:cs="Arial"/>
          <w:b/>
          <w:smallCaps/>
          <w:spacing w:val="5"/>
          <w:sz w:val="24"/>
          <w:szCs w:val="32"/>
        </w:rPr>
      </w:pPr>
      <w:r w:rsidRPr="00251C94">
        <w:rPr>
          <w:rFonts w:ascii="KievitPro-Regular" w:hAnsi="KievitPro-Regular"/>
        </w:rPr>
        <w:br w:type="page"/>
      </w:r>
    </w:p>
    <w:p w14:paraId="6778E67F" w14:textId="77777777" w:rsidR="00251C94" w:rsidRPr="00251C94" w:rsidRDefault="00251C94" w:rsidP="00251C94">
      <w:pPr>
        <w:pStyle w:val="berschrift1"/>
        <w:numPr>
          <w:ilvl w:val="0"/>
          <w:numId w:val="16"/>
        </w:numPr>
        <w:ind w:left="426" w:hanging="426"/>
        <w:rPr>
          <w:rFonts w:ascii="KievitPro-Regular" w:hAnsi="KievitPro-Regular"/>
          <w:b/>
          <w:sz w:val="24"/>
        </w:rPr>
      </w:pPr>
      <w:bookmarkStart w:id="50" w:name="_Toc236311871"/>
      <w:r w:rsidRPr="00251C94">
        <w:rPr>
          <w:rFonts w:ascii="KievitPro-Regular" w:hAnsi="KievitPro-Regular"/>
          <w:b/>
          <w:sz w:val="24"/>
        </w:rPr>
        <w:lastRenderedPageBreak/>
        <w:t xml:space="preserve">Organigramma della </w:t>
      </w:r>
      <w:r w:rsidRPr="00251C94">
        <w:rPr>
          <w:rFonts w:ascii="KievitPro-Regular" w:hAnsi="KievitPro-Regular"/>
          <w:b/>
          <w:sz w:val="24"/>
          <w:highlight w:val="yellow"/>
        </w:rPr>
        <w:t>Muster SA</w:t>
      </w:r>
      <w:bookmarkEnd w:id="50"/>
    </w:p>
    <w:p w14:paraId="242F8F39" w14:textId="520019E8" w:rsidR="00251C94" w:rsidRPr="00251C94" w:rsidRDefault="00251C94" w:rsidP="00251C94">
      <w:pPr>
        <w:jc w:val="both"/>
        <w:rPr>
          <w:rFonts w:ascii="KievitPro-Regular" w:hAnsi="KievitPro-Regular" w:cs="Arial"/>
        </w:rPr>
      </w:pPr>
    </w:p>
    <w:p w14:paraId="75E4C36A" w14:textId="77777777" w:rsidR="00251C94" w:rsidRDefault="00251C94" w:rsidP="00251C94">
      <w:pPr>
        <w:jc w:val="both"/>
        <w:rPr>
          <w:rFonts w:ascii="KievitPro-Regular" w:hAnsi="KievitPro-Regular" w:cs="Arial"/>
        </w:rPr>
      </w:pPr>
    </w:p>
    <w:p w14:paraId="51DCC222" w14:textId="1DD09A69" w:rsidR="005A51B7" w:rsidRPr="00251C94" w:rsidRDefault="005A51B7" w:rsidP="00251C94">
      <w:pPr>
        <w:jc w:val="both"/>
        <w:rPr>
          <w:rFonts w:ascii="KievitPro-Regular" w:hAnsi="KievitPro-Regular" w:cs="Arial"/>
        </w:rPr>
      </w:pPr>
      <w:r>
        <w:rPr>
          <w:rFonts w:ascii="KievitPro-Regular" w:hAnsi="KievitPro-Regular" w:cs="Arial"/>
          <w:noProof/>
        </w:rPr>
        <w:drawing>
          <wp:inline distT="0" distB="0" distL="0" distR="0" wp14:anchorId="66C069EF" wp14:editId="62901BF8">
            <wp:extent cx="5761355" cy="4321175"/>
            <wp:effectExtent l="0" t="0" r="0" b="3175"/>
            <wp:docPr id="140823546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8235468" name="Grafik 1408235468"/>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61355" cy="4321175"/>
                    </a:xfrm>
                    <a:prstGeom prst="rect">
                      <a:avLst/>
                    </a:prstGeom>
                  </pic:spPr>
                </pic:pic>
              </a:graphicData>
            </a:graphic>
          </wp:inline>
        </w:drawing>
      </w:r>
    </w:p>
    <w:p w14:paraId="6429A3E7" w14:textId="77777777" w:rsidR="00251C94" w:rsidRPr="00251C94" w:rsidRDefault="00251C94" w:rsidP="00251C94">
      <w:pPr>
        <w:jc w:val="both"/>
        <w:rPr>
          <w:rFonts w:ascii="KievitPro-Regular" w:hAnsi="KievitPro-Regular" w:cs="Arial"/>
        </w:rPr>
      </w:pPr>
    </w:p>
    <w:p w14:paraId="2C81D26D" w14:textId="77777777" w:rsidR="00251C94" w:rsidRPr="00251C94" w:rsidRDefault="00251C94" w:rsidP="00251C94">
      <w:pPr>
        <w:jc w:val="both"/>
        <w:rPr>
          <w:rFonts w:ascii="KievitPro-Regular" w:hAnsi="KievitPro-Regular" w:cs="Arial"/>
        </w:rPr>
      </w:pPr>
    </w:p>
    <w:p w14:paraId="055806B9" w14:textId="0B725C98" w:rsidR="00A14E80" w:rsidRPr="00251C94" w:rsidRDefault="00A14E80" w:rsidP="00251C94">
      <w:pPr>
        <w:spacing w:line="360" w:lineRule="auto"/>
        <w:jc w:val="both"/>
        <w:rPr>
          <w:rFonts w:ascii="KievitPro-Regular" w:hAnsi="KievitPro-Regular" w:cs="Arial"/>
          <w:sz w:val="22"/>
          <w:szCs w:val="22"/>
        </w:rPr>
      </w:pPr>
    </w:p>
    <w:sectPr w:rsidR="00A14E80" w:rsidRPr="00251C94" w:rsidSect="0088022E">
      <w:headerReference w:type="default" r:id="rId9"/>
      <w:footerReference w:type="even" r:id="rId10"/>
      <w:footerReference w:type="default" r:id="rId11"/>
      <w:headerReference w:type="first" r:id="rId12"/>
      <w:footerReference w:type="first" r:id="rId13"/>
      <w:pgSz w:w="11906" w:h="16838"/>
      <w:pgMar w:top="1417" w:right="1416" w:bottom="1276" w:left="1417" w:header="567"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04C52B" w14:textId="77777777" w:rsidR="00E47FA4" w:rsidRPr="001137FE" w:rsidRDefault="00E47FA4">
      <w:r w:rsidRPr="001137FE">
        <w:separator/>
      </w:r>
    </w:p>
  </w:endnote>
  <w:endnote w:type="continuationSeparator" w:id="0">
    <w:p w14:paraId="34B40709" w14:textId="77777777" w:rsidR="00E47FA4" w:rsidRPr="001137FE" w:rsidRDefault="00E47FA4">
      <w:r w:rsidRPr="001137F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KievitPro-Regular">
    <w:panose1 w:val="020B0504030101020102"/>
    <w:charset w:val="00"/>
    <w:family w:val="swiss"/>
    <w:notTrueType/>
    <w:pitch w:val="variable"/>
    <w:sig w:usb0="A00002FF" w:usb1="4000205B" w:usb2="00000000" w:usb3="00000000" w:csb0="0000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01AA4" w14:textId="77777777" w:rsidR="00E13DDC" w:rsidRPr="001137FE" w:rsidRDefault="00E13DDC" w:rsidP="0050327D">
    <w:pPr>
      <w:pStyle w:val="Fuzeile"/>
      <w:framePr w:wrap="around" w:vAnchor="text" w:hAnchor="margin" w:xAlign="center" w:y="1"/>
      <w:rPr>
        <w:rStyle w:val="Seitenzahl"/>
      </w:rPr>
    </w:pPr>
    <w:r w:rsidRPr="001137FE">
      <w:rPr>
        <w:rStyle w:val="Seitenzahl"/>
      </w:rPr>
      <w:fldChar w:fldCharType="begin"/>
    </w:r>
    <w:r w:rsidRPr="001137FE">
      <w:rPr>
        <w:rStyle w:val="Seitenzahl"/>
      </w:rPr>
      <w:instrText xml:space="preserve">PAGE  </w:instrText>
    </w:r>
    <w:r w:rsidRPr="001137FE">
      <w:rPr>
        <w:rStyle w:val="Seitenzahl"/>
      </w:rPr>
      <w:fldChar w:fldCharType="separate"/>
    </w:r>
    <w:r w:rsidRPr="00B87DA7">
      <w:rPr>
        <w:rStyle w:val="Seitenzahl"/>
      </w:rPr>
      <w:t>9</w:t>
    </w:r>
    <w:r w:rsidRPr="001137FE">
      <w:rPr>
        <w:rStyle w:val="Seitenzahl"/>
      </w:rPr>
      <w:fldChar w:fldCharType="end"/>
    </w:r>
  </w:p>
  <w:p w14:paraId="7D5AD872" w14:textId="77777777" w:rsidR="00E13DDC" w:rsidRPr="001137FE" w:rsidRDefault="00E13DDC">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607F22" w14:textId="6872D83E" w:rsidR="00E13DDC" w:rsidRPr="001137FE" w:rsidRDefault="00251C94" w:rsidP="004C0A65">
    <w:pPr>
      <w:pStyle w:val="Fuzeile"/>
      <w:framePr w:wrap="around" w:vAnchor="text" w:hAnchor="page" w:x="1051" w:y="46"/>
      <w:rPr>
        <w:rStyle w:val="Seitenzahl"/>
      </w:rPr>
    </w:pPr>
    <w:r w:rsidRPr="007370C2">
      <w:rPr>
        <w:rFonts w:ascii="KievitPro-Regular" w:hAnsi="KievitPro-Regular"/>
        <w:noProof/>
        <w:lang w:val="de-DE"/>
      </w:rPr>
      <w:fldChar w:fldCharType="begin"/>
    </w:r>
    <w:r w:rsidRPr="007370C2">
      <w:rPr>
        <w:rFonts w:ascii="KievitPro-Regular" w:hAnsi="KievitPro-Regular"/>
        <w:noProof/>
        <w:lang w:val="de-DE"/>
      </w:rPr>
      <w:instrText>PAGE  \* Arabic  \* MERGEFORMAT</w:instrText>
    </w:r>
    <w:r w:rsidRPr="007370C2">
      <w:rPr>
        <w:rFonts w:ascii="KievitPro-Regular" w:hAnsi="KievitPro-Regular"/>
        <w:noProof/>
        <w:lang w:val="de-DE"/>
      </w:rPr>
      <w:fldChar w:fldCharType="separate"/>
    </w:r>
    <w:r>
      <w:rPr>
        <w:rFonts w:ascii="KievitPro-Regular" w:hAnsi="KievitPro-Regular"/>
        <w:noProof/>
        <w:lang w:val="de-DE"/>
      </w:rPr>
      <w:t>4</w:t>
    </w:r>
    <w:r w:rsidRPr="007370C2">
      <w:rPr>
        <w:rFonts w:ascii="KievitPro-Regular" w:hAnsi="KievitPro-Regular"/>
        <w:noProof/>
        <w:lang w:val="de-DE"/>
      </w:rPr>
      <w:fldChar w:fldCharType="end"/>
    </w:r>
    <w:r w:rsidRPr="007370C2">
      <w:rPr>
        <w:rFonts w:ascii="KievitPro-Regular" w:hAnsi="KievitPro-Regular"/>
        <w:noProof/>
        <w:lang w:val="de-DE"/>
      </w:rPr>
      <w:t xml:space="preserve"> / </w:t>
    </w:r>
    <w:r w:rsidRPr="007370C2">
      <w:rPr>
        <w:rFonts w:ascii="KievitPro-Regular" w:hAnsi="KievitPro-Regular"/>
        <w:noProof/>
        <w:lang w:val="de-DE"/>
      </w:rPr>
      <w:fldChar w:fldCharType="begin"/>
    </w:r>
    <w:r w:rsidRPr="007370C2">
      <w:rPr>
        <w:rFonts w:ascii="KievitPro-Regular" w:hAnsi="KievitPro-Regular"/>
        <w:noProof/>
        <w:lang w:val="de-DE"/>
      </w:rPr>
      <w:instrText>NUMPAGES  \* Arabic  \* MERGEFORMAT</w:instrText>
    </w:r>
    <w:r w:rsidRPr="007370C2">
      <w:rPr>
        <w:rFonts w:ascii="KievitPro-Regular" w:hAnsi="KievitPro-Regular"/>
        <w:noProof/>
        <w:lang w:val="de-DE"/>
      </w:rPr>
      <w:fldChar w:fldCharType="separate"/>
    </w:r>
    <w:r>
      <w:rPr>
        <w:rFonts w:ascii="KievitPro-Regular" w:hAnsi="KievitPro-Regular"/>
        <w:noProof/>
        <w:lang w:val="de-DE"/>
      </w:rPr>
      <w:t>25</w:t>
    </w:r>
    <w:r w:rsidRPr="007370C2">
      <w:rPr>
        <w:rFonts w:ascii="KievitPro-Regular" w:hAnsi="KievitPro-Regular"/>
        <w:noProof/>
        <w:lang w:val="de-DE"/>
      </w:rPr>
      <w:fldChar w:fldCharType="end"/>
    </w:r>
    <w:r w:rsidRPr="007370C2">
      <w:rPr>
        <w:rFonts w:ascii="KievitPro-Regular" w:hAnsi="KievitPro-Regular"/>
      </w:rPr>
      <w:t xml:space="preserve"> </w:t>
    </w:r>
  </w:p>
  <w:p w14:paraId="3DF9EDB4" w14:textId="77777777" w:rsidR="00E13DDC" w:rsidRPr="001137FE" w:rsidRDefault="00E13DDC">
    <w:pPr>
      <w:pStyle w:val="Fuzeile"/>
    </w:pPr>
    <w:r>
      <w:rPr>
        <w:rStyle w:val="Seitenzahl"/>
      </w:rPr>
      <w:tab/>
    </w:r>
    <w:r>
      <w:rPr>
        <w:rStyle w:val="Seitenzahl"/>
      </w:rPr>
      <w:tab/>
      <w:t>www.treuhandsuisse.ch</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AF73F" w14:textId="2AFE1EEE" w:rsidR="00E13DDC" w:rsidRPr="001137FE" w:rsidRDefault="00251C94" w:rsidP="0050327D">
    <w:pPr>
      <w:pStyle w:val="Fuzeile"/>
      <w:ind w:right="360"/>
    </w:pPr>
    <w:r w:rsidRPr="007370C2">
      <w:rPr>
        <w:rFonts w:ascii="KievitPro-Regular" w:hAnsi="KievitPro-Regular"/>
        <w:noProof/>
        <w:lang w:val="de-DE"/>
      </w:rPr>
      <w:fldChar w:fldCharType="begin"/>
    </w:r>
    <w:r w:rsidRPr="007370C2">
      <w:rPr>
        <w:rFonts w:ascii="KievitPro-Regular" w:hAnsi="KievitPro-Regular"/>
        <w:noProof/>
        <w:lang w:val="de-DE"/>
      </w:rPr>
      <w:instrText>PAGE  \* Arabic  \* MERGEFORMAT</w:instrText>
    </w:r>
    <w:r w:rsidRPr="007370C2">
      <w:rPr>
        <w:rFonts w:ascii="KievitPro-Regular" w:hAnsi="KievitPro-Regular"/>
        <w:noProof/>
        <w:lang w:val="de-DE"/>
      </w:rPr>
      <w:fldChar w:fldCharType="separate"/>
    </w:r>
    <w:r>
      <w:rPr>
        <w:rFonts w:ascii="KievitPro-Regular" w:hAnsi="KievitPro-Regular"/>
        <w:noProof/>
        <w:lang w:val="de-DE"/>
      </w:rPr>
      <w:t>4</w:t>
    </w:r>
    <w:r w:rsidRPr="007370C2">
      <w:rPr>
        <w:rFonts w:ascii="KievitPro-Regular" w:hAnsi="KievitPro-Regular"/>
        <w:noProof/>
        <w:lang w:val="de-DE"/>
      </w:rPr>
      <w:fldChar w:fldCharType="end"/>
    </w:r>
    <w:r w:rsidRPr="007370C2">
      <w:rPr>
        <w:rFonts w:ascii="KievitPro-Regular" w:hAnsi="KievitPro-Regular"/>
        <w:noProof/>
        <w:lang w:val="de-DE"/>
      </w:rPr>
      <w:t xml:space="preserve"> / </w:t>
    </w:r>
    <w:r w:rsidRPr="007370C2">
      <w:rPr>
        <w:rFonts w:ascii="KievitPro-Regular" w:hAnsi="KievitPro-Regular"/>
        <w:noProof/>
        <w:lang w:val="de-DE"/>
      </w:rPr>
      <w:fldChar w:fldCharType="begin"/>
    </w:r>
    <w:r w:rsidRPr="007370C2">
      <w:rPr>
        <w:rFonts w:ascii="KievitPro-Regular" w:hAnsi="KievitPro-Regular"/>
        <w:noProof/>
        <w:lang w:val="de-DE"/>
      </w:rPr>
      <w:instrText>NUMPAGES  \* Arabic  \* MERGEFORMAT</w:instrText>
    </w:r>
    <w:r w:rsidRPr="007370C2">
      <w:rPr>
        <w:rFonts w:ascii="KievitPro-Regular" w:hAnsi="KievitPro-Regular"/>
        <w:noProof/>
        <w:lang w:val="de-DE"/>
      </w:rPr>
      <w:fldChar w:fldCharType="separate"/>
    </w:r>
    <w:r>
      <w:rPr>
        <w:rFonts w:ascii="KievitPro-Regular" w:hAnsi="KievitPro-Regular"/>
        <w:noProof/>
        <w:lang w:val="de-DE"/>
      </w:rPr>
      <w:t>25</w:t>
    </w:r>
    <w:r w:rsidRPr="007370C2">
      <w:rPr>
        <w:rFonts w:ascii="KievitPro-Regular" w:hAnsi="KievitPro-Regular"/>
        <w:noProof/>
        <w:lang w:val="de-DE"/>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70C632" w14:textId="77777777" w:rsidR="00E47FA4" w:rsidRPr="001137FE" w:rsidRDefault="00E47FA4">
      <w:r w:rsidRPr="001137FE">
        <w:separator/>
      </w:r>
    </w:p>
  </w:footnote>
  <w:footnote w:type="continuationSeparator" w:id="0">
    <w:p w14:paraId="64F71883" w14:textId="77777777" w:rsidR="00E47FA4" w:rsidRPr="001137FE" w:rsidRDefault="00E47FA4">
      <w:r w:rsidRPr="001137FE">
        <w:continuationSeparator/>
      </w:r>
    </w:p>
  </w:footnote>
  <w:footnote w:id="1">
    <w:p w14:paraId="75C19E12" w14:textId="77777777" w:rsidR="00251C94" w:rsidRPr="001D3B67" w:rsidRDefault="00251C94" w:rsidP="00251C94">
      <w:pPr>
        <w:pStyle w:val="Funotentext"/>
      </w:pPr>
      <w:r>
        <w:rPr>
          <w:rStyle w:val="Funotenzeichen"/>
        </w:rPr>
        <w:footnoteRef/>
      </w:r>
      <w:r>
        <w:t xml:space="preserve"> Le linee guida ISQM-CH 1, ISQM-CH 2 e ISA-CH 220 devono essere applicate dalle imprese che, ad esempio, effettuano revisioni ordinarie e verifiche speciali. Per ulteriori requisiti applicativi, si veda la circolare dell'ASR Circ. 1/2014 e il punto 8, </w:t>
      </w:r>
      <w:r>
        <w:rPr>
          <w:i/>
          <w:iCs/>
        </w:rPr>
        <w:t>Nota:</w:t>
      </w:r>
      <w:r>
        <w:t xml:space="preserve"> EXPERTsuisse inoltre richiede obbligatoriamente ai propri membri l'applicazione delle norme ISQM-CH 1, ISQM-CH 2 e ISA-CH 220.  </w:t>
      </w:r>
    </w:p>
  </w:footnote>
  <w:footnote w:id="2">
    <w:p w14:paraId="1FDA02B7" w14:textId="77777777" w:rsidR="00251C94" w:rsidRPr="00200D2B" w:rsidRDefault="00251C94" w:rsidP="00251C94">
      <w:pPr>
        <w:pStyle w:val="Funotentext"/>
        <w:rPr>
          <w:sz w:val="18"/>
          <w:szCs w:val="18"/>
        </w:rPr>
      </w:pPr>
      <w:r>
        <w:rPr>
          <w:rStyle w:val="Funotenzeichen"/>
        </w:rPr>
        <w:footnoteRef/>
      </w:r>
      <w:r>
        <w:t xml:space="preserve"> </w:t>
      </w:r>
      <w:r>
        <w:rPr>
          <w:sz w:val="18"/>
        </w:rPr>
        <w:t>Nota: le imprese di revisione che non fanno parte né di EXPERTsuisse né di FIDUCIARI|SUISSE devono garantire, conformemente alle disposizioni dell'ASR, che vengano soddisfatti i requisiti di perfezionamento di una delle due associazioni.</w:t>
      </w:r>
    </w:p>
  </w:footnote>
  <w:footnote w:id="3">
    <w:p w14:paraId="09A6E8CC" w14:textId="77777777" w:rsidR="00251C94" w:rsidRPr="00200D2B" w:rsidRDefault="00251C94" w:rsidP="00251C94">
      <w:pPr>
        <w:pStyle w:val="Funotentext"/>
        <w:rPr>
          <w:sz w:val="18"/>
          <w:szCs w:val="18"/>
        </w:rPr>
      </w:pPr>
      <w:r>
        <w:rPr>
          <w:rStyle w:val="Funotenzeichen"/>
          <w:sz w:val="18"/>
          <w:szCs w:val="18"/>
        </w:rPr>
        <w:footnoteRef/>
      </w:r>
      <w:r>
        <w:rPr>
          <w:sz w:val="18"/>
        </w:rPr>
        <w:t xml:space="preserve"> Nota: l'adesione di imprese di revisione o di persone fisiche a un'associazione professionale non esonera l'impresa di revisione dall'obbligo di attuare un sistema di controllo interno e di documentare il perfezionamento.</w:t>
      </w:r>
    </w:p>
  </w:footnote>
  <w:footnote w:id="4">
    <w:p w14:paraId="633D8411" w14:textId="77777777" w:rsidR="00251C94" w:rsidRPr="00A23C6C" w:rsidRDefault="00251C94" w:rsidP="00251C94">
      <w:pPr>
        <w:pStyle w:val="Funotentext"/>
      </w:pPr>
      <w:r>
        <w:rPr>
          <w:rStyle w:val="Funotenzeichen"/>
        </w:rPr>
        <w:footnoteRef/>
      </w:r>
      <w:r>
        <w:t xml:space="preserve"> </w:t>
      </w:r>
      <w:r>
        <w:rPr>
          <w:sz w:val="18"/>
        </w:rPr>
        <w:t xml:space="preserve">L’ASR ritiene che l'Alternativa </w:t>
      </w:r>
      <w:proofErr w:type="gramStart"/>
      <w:r>
        <w:rPr>
          <w:sz w:val="18"/>
        </w:rPr>
        <w:t>2</w:t>
      </w:r>
      <w:proofErr w:type="gramEnd"/>
      <w:r>
        <w:rPr>
          <w:sz w:val="18"/>
        </w:rPr>
        <w:t xml:space="preserve"> non sia (più) al passo con i tempi. Qualora si decidesse comunque di mantenere questa alternativa, è indispensabile che i dati, una volta stampati, non possano più essere modificati, né ristampati né archiviati. Inoltre, i documenti stampati devono recare la data su tutte le pagine e devono essere vidimati dal revisore capo. L’ASR raccomanda tuttavia una soluzione esclusivamente elettronica.</w:t>
      </w:r>
    </w:p>
  </w:footnote>
  <w:footnote w:id="5">
    <w:p w14:paraId="4A007597" w14:textId="77777777" w:rsidR="00251C94" w:rsidRPr="004409DF" w:rsidRDefault="00251C94" w:rsidP="00251C94">
      <w:pPr>
        <w:pStyle w:val="Funotentext"/>
      </w:pPr>
      <w:r>
        <w:rPr>
          <w:rStyle w:val="Funotenzeichen"/>
        </w:rPr>
        <w:footnoteRef/>
      </w:r>
      <w:r>
        <w:t xml:space="preserve"> </w:t>
      </w:r>
      <w:r>
        <w:rPr>
          <w:sz w:val="18"/>
        </w:rPr>
        <w:t xml:space="preserve">Un ciclo triennale di questo tipo è considerato una best practice anche nel settore delle PMI (si veda EXPERTsuisse, Schweizer </w:t>
      </w:r>
      <w:proofErr w:type="spellStart"/>
      <w:r>
        <w:rPr>
          <w:sz w:val="18"/>
        </w:rPr>
        <w:t>Leitfaden</w:t>
      </w:r>
      <w:proofErr w:type="spellEnd"/>
      <w:r>
        <w:rPr>
          <w:sz w:val="18"/>
        </w:rPr>
        <w:t xml:space="preserve"> zur </w:t>
      </w:r>
      <w:proofErr w:type="spellStart"/>
      <w:r>
        <w:rPr>
          <w:sz w:val="18"/>
        </w:rPr>
        <w:t>Qualitätssicherung</w:t>
      </w:r>
      <w:proofErr w:type="spellEnd"/>
      <w:r>
        <w:rPr>
          <w:sz w:val="18"/>
        </w:rPr>
        <w:t xml:space="preserve"> in der </w:t>
      </w:r>
      <w:proofErr w:type="spellStart"/>
      <w:r>
        <w:rPr>
          <w:sz w:val="18"/>
        </w:rPr>
        <w:t>Wirtschaftsprüfung</w:t>
      </w:r>
      <w:proofErr w:type="spellEnd"/>
      <w:r>
        <w:rPr>
          <w:sz w:val="18"/>
        </w:rPr>
        <w:t xml:space="preserve">, </w:t>
      </w:r>
      <w:proofErr w:type="spellStart"/>
      <w:r>
        <w:rPr>
          <w:sz w:val="18"/>
        </w:rPr>
        <w:t>Umsetzung</w:t>
      </w:r>
      <w:proofErr w:type="spellEnd"/>
      <w:r>
        <w:rPr>
          <w:sz w:val="18"/>
        </w:rPr>
        <w:t xml:space="preserve"> von ISQC-CH 1 in KMU, edizione 2024, punto 6.1 (disponibile in lingua tedesca).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AF447" w14:textId="2A21AFAF" w:rsidR="004C0A65" w:rsidRDefault="0088022E" w:rsidP="0088022E">
    <w:pPr>
      <w:pStyle w:val="Kopfzeile"/>
      <w:ind w:hanging="1417"/>
    </w:pPr>
    <w:r>
      <w:rPr>
        <w:noProof/>
        <w:lang w:eastAsia="de-CH"/>
      </w:rPr>
      <w:drawing>
        <wp:anchor distT="0" distB="0" distL="114300" distR="114300" simplePos="0" relativeHeight="251660288" behindDoc="1" locked="0" layoutInCell="1" allowOverlap="1" wp14:anchorId="695D8837" wp14:editId="1AB89390">
          <wp:simplePos x="0" y="0"/>
          <wp:positionH relativeFrom="column">
            <wp:posOffset>-899795</wp:posOffset>
          </wp:positionH>
          <wp:positionV relativeFrom="paragraph">
            <wp:posOffset>-351778</wp:posOffset>
          </wp:positionV>
          <wp:extent cx="7538827" cy="711579"/>
          <wp:effectExtent l="0" t="0" r="5080"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538827" cy="711579"/>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F60F7" w14:textId="7B085CA1" w:rsidR="004C0A65" w:rsidRDefault="0088022E" w:rsidP="0088022E">
    <w:pPr>
      <w:pStyle w:val="Kopfzeile"/>
      <w:tabs>
        <w:tab w:val="clear" w:pos="9072"/>
      </w:tabs>
      <w:ind w:left="-1417" w:right="-1416"/>
    </w:pPr>
    <w:r>
      <w:rPr>
        <w:noProof/>
        <w:lang w:eastAsia="de-CH"/>
      </w:rPr>
      <w:drawing>
        <wp:anchor distT="0" distB="0" distL="114300" distR="114300" simplePos="0" relativeHeight="251661312" behindDoc="1" locked="0" layoutInCell="1" allowOverlap="1" wp14:anchorId="0AD67398" wp14:editId="3BD5078B">
          <wp:simplePos x="0" y="0"/>
          <wp:positionH relativeFrom="column">
            <wp:posOffset>-898287</wp:posOffset>
          </wp:positionH>
          <wp:positionV relativeFrom="paragraph">
            <wp:posOffset>-343152</wp:posOffset>
          </wp:positionV>
          <wp:extent cx="7556740" cy="713270"/>
          <wp:effectExtent l="0" t="0" r="635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556740" cy="71327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D3858"/>
    <w:multiLevelType w:val="multilevel"/>
    <w:tmpl w:val="70C49C5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08F53EE6"/>
    <w:multiLevelType w:val="multilevel"/>
    <w:tmpl w:val="A2144F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ACF5162"/>
    <w:multiLevelType w:val="multilevel"/>
    <w:tmpl w:val="A7BA274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 w15:restartNumberingAfterBreak="0">
    <w:nsid w:val="0EF20B42"/>
    <w:multiLevelType w:val="multilevel"/>
    <w:tmpl w:val="C9FA2F0A"/>
    <w:lvl w:ilvl="0">
      <w:start w:val="1"/>
      <w:numFmt w:val="decimal"/>
      <w:lvlText w:val="%1"/>
      <w:lvlJc w:val="left"/>
      <w:pPr>
        <w:ind w:left="72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 w15:restartNumberingAfterBreak="0">
    <w:nsid w:val="156F7C68"/>
    <w:multiLevelType w:val="hybridMultilevel"/>
    <w:tmpl w:val="F21E04BC"/>
    <w:lvl w:ilvl="0" w:tplc="08070001">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5" w15:restartNumberingAfterBreak="0">
    <w:nsid w:val="25C51D5F"/>
    <w:multiLevelType w:val="hybridMultilevel"/>
    <w:tmpl w:val="04686C54"/>
    <w:lvl w:ilvl="0" w:tplc="6C3CD6DA">
      <w:start w:val="1"/>
      <w:numFmt w:val="bullet"/>
      <w:lvlText w:val="-"/>
      <w:lvlJc w:val="left"/>
      <w:pPr>
        <w:ind w:left="-357" w:hanging="360"/>
      </w:pPr>
      <w:rPr>
        <w:rFonts w:ascii="Arial" w:hAnsi="Arial" w:hint="default"/>
        <w:b w:val="0"/>
        <w:i w:val="0"/>
        <w:sz w:val="22"/>
      </w:rPr>
    </w:lvl>
    <w:lvl w:ilvl="1" w:tplc="08070003">
      <w:start w:val="1"/>
      <w:numFmt w:val="bullet"/>
      <w:lvlText w:val="o"/>
      <w:lvlJc w:val="left"/>
      <w:pPr>
        <w:ind w:left="363" w:hanging="360"/>
      </w:pPr>
      <w:rPr>
        <w:rFonts w:ascii="Courier New" w:hAnsi="Courier New" w:cs="Courier New" w:hint="default"/>
      </w:rPr>
    </w:lvl>
    <w:lvl w:ilvl="2" w:tplc="08070005">
      <w:start w:val="1"/>
      <w:numFmt w:val="bullet"/>
      <w:lvlText w:val=""/>
      <w:lvlJc w:val="left"/>
      <w:pPr>
        <w:ind w:left="1083" w:hanging="360"/>
      </w:pPr>
      <w:rPr>
        <w:rFonts w:ascii="Wingdings" w:hAnsi="Wingdings" w:hint="default"/>
      </w:rPr>
    </w:lvl>
    <w:lvl w:ilvl="3" w:tplc="08070001">
      <w:start w:val="1"/>
      <w:numFmt w:val="bullet"/>
      <w:lvlText w:val=""/>
      <w:lvlJc w:val="left"/>
      <w:pPr>
        <w:ind w:left="1803" w:hanging="360"/>
      </w:pPr>
      <w:rPr>
        <w:rFonts w:ascii="Symbol" w:hAnsi="Symbol" w:hint="default"/>
      </w:rPr>
    </w:lvl>
    <w:lvl w:ilvl="4" w:tplc="08070003" w:tentative="1">
      <w:start w:val="1"/>
      <w:numFmt w:val="bullet"/>
      <w:lvlText w:val="o"/>
      <w:lvlJc w:val="left"/>
      <w:pPr>
        <w:ind w:left="2523" w:hanging="360"/>
      </w:pPr>
      <w:rPr>
        <w:rFonts w:ascii="Courier New" w:hAnsi="Courier New" w:cs="Courier New" w:hint="default"/>
      </w:rPr>
    </w:lvl>
    <w:lvl w:ilvl="5" w:tplc="08070005" w:tentative="1">
      <w:start w:val="1"/>
      <w:numFmt w:val="bullet"/>
      <w:lvlText w:val=""/>
      <w:lvlJc w:val="left"/>
      <w:pPr>
        <w:ind w:left="3243" w:hanging="360"/>
      </w:pPr>
      <w:rPr>
        <w:rFonts w:ascii="Wingdings" w:hAnsi="Wingdings" w:hint="default"/>
      </w:rPr>
    </w:lvl>
    <w:lvl w:ilvl="6" w:tplc="08070001" w:tentative="1">
      <w:start w:val="1"/>
      <w:numFmt w:val="bullet"/>
      <w:lvlText w:val=""/>
      <w:lvlJc w:val="left"/>
      <w:pPr>
        <w:ind w:left="3963" w:hanging="360"/>
      </w:pPr>
      <w:rPr>
        <w:rFonts w:ascii="Symbol" w:hAnsi="Symbol" w:hint="default"/>
      </w:rPr>
    </w:lvl>
    <w:lvl w:ilvl="7" w:tplc="08070003" w:tentative="1">
      <w:start w:val="1"/>
      <w:numFmt w:val="bullet"/>
      <w:lvlText w:val="o"/>
      <w:lvlJc w:val="left"/>
      <w:pPr>
        <w:ind w:left="4683" w:hanging="360"/>
      </w:pPr>
      <w:rPr>
        <w:rFonts w:ascii="Courier New" w:hAnsi="Courier New" w:cs="Courier New" w:hint="default"/>
      </w:rPr>
    </w:lvl>
    <w:lvl w:ilvl="8" w:tplc="08070005" w:tentative="1">
      <w:start w:val="1"/>
      <w:numFmt w:val="bullet"/>
      <w:lvlText w:val=""/>
      <w:lvlJc w:val="left"/>
      <w:pPr>
        <w:ind w:left="5403" w:hanging="360"/>
      </w:pPr>
      <w:rPr>
        <w:rFonts w:ascii="Wingdings" w:hAnsi="Wingdings" w:hint="default"/>
      </w:rPr>
    </w:lvl>
  </w:abstractNum>
  <w:abstractNum w:abstractNumId="6" w15:restartNumberingAfterBreak="0">
    <w:nsid w:val="2D821BB7"/>
    <w:multiLevelType w:val="multilevel"/>
    <w:tmpl w:val="E5EAF4D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DD16AE0"/>
    <w:multiLevelType w:val="hybridMultilevel"/>
    <w:tmpl w:val="3EA23A1E"/>
    <w:lvl w:ilvl="0" w:tplc="C3844D42">
      <w:numFmt w:val="bullet"/>
      <w:lvlText w:val="-"/>
      <w:lvlJc w:val="left"/>
      <w:pPr>
        <w:ind w:left="360" w:hanging="360"/>
      </w:pPr>
      <w:rPr>
        <w:rFonts w:ascii="Arial" w:eastAsia="Times New Roman" w:hAnsi="Arial" w:cs="Arial" w:hint="default"/>
      </w:rPr>
    </w:lvl>
    <w:lvl w:ilvl="1" w:tplc="08070003">
      <w:start w:val="1"/>
      <w:numFmt w:val="bullet"/>
      <w:lvlText w:val="o"/>
      <w:lvlJc w:val="left"/>
      <w:pPr>
        <w:ind w:left="1080" w:hanging="360"/>
      </w:pPr>
      <w:rPr>
        <w:rFonts w:ascii="Courier New" w:hAnsi="Courier New" w:cs="Courier New" w:hint="default"/>
      </w:rPr>
    </w:lvl>
    <w:lvl w:ilvl="2" w:tplc="08070005">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8" w15:restartNumberingAfterBreak="0">
    <w:nsid w:val="3F38059F"/>
    <w:multiLevelType w:val="multilevel"/>
    <w:tmpl w:val="987EA84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15:restartNumberingAfterBreak="0">
    <w:nsid w:val="43765AC2"/>
    <w:multiLevelType w:val="hybridMultilevel"/>
    <w:tmpl w:val="0C50AA54"/>
    <w:lvl w:ilvl="0" w:tplc="0807000F">
      <w:start w:val="1"/>
      <w:numFmt w:val="decimal"/>
      <w:lvlText w:val="%1."/>
      <w:lvlJc w:val="left"/>
      <w:pPr>
        <w:ind w:left="-357" w:hanging="360"/>
      </w:pPr>
      <w:rPr>
        <w:rFonts w:hint="default"/>
        <w:b w:val="0"/>
        <w:i w:val="0"/>
        <w:sz w:val="22"/>
      </w:rPr>
    </w:lvl>
    <w:lvl w:ilvl="1" w:tplc="FFFFFFFF">
      <w:start w:val="1"/>
      <w:numFmt w:val="bullet"/>
      <w:lvlText w:val="o"/>
      <w:lvlJc w:val="left"/>
      <w:pPr>
        <w:ind w:left="363" w:hanging="360"/>
      </w:pPr>
      <w:rPr>
        <w:rFonts w:ascii="Courier New" w:hAnsi="Courier New" w:cs="Courier New" w:hint="default"/>
      </w:rPr>
    </w:lvl>
    <w:lvl w:ilvl="2" w:tplc="FFFFFFFF">
      <w:start w:val="1"/>
      <w:numFmt w:val="bullet"/>
      <w:lvlText w:val=""/>
      <w:lvlJc w:val="left"/>
      <w:pPr>
        <w:ind w:left="1083" w:hanging="360"/>
      </w:pPr>
      <w:rPr>
        <w:rFonts w:ascii="Wingdings" w:hAnsi="Wingdings" w:hint="default"/>
      </w:rPr>
    </w:lvl>
    <w:lvl w:ilvl="3" w:tplc="FFFFFFFF">
      <w:start w:val="1"/>
      <w:numFmt w:val="bullet"/>
      <w:lvlText w:val=""/>
      <w:lvlJc w:val="left"/>
      <w:pPr>
        <w:ind w:left="1803" w:hanging="360"/>
      </w:pPr>
      <w:rPr>
        <w:rFonts w:ascii="Symbol" w:hAnsi="Symbol" w:hint="default"/>
      </w:rPr>
    </w:lvl>
    <w:lvl w:ilvl="4" w:tplc="FFFFFFFF" w:tentative="1">
      <w:start w:val="1"/>
      <w:numFmt w:val="bullet"/>
      <w:lvlText w:val="o"/>
      <w:lvlJc w:val="left"/>
      <w:pPr>
        <w:ind w:left="2523" w:hanging="360"/>
      </w:pPr>
      <w:rPr>
        <w:rFonts w:ascii="Courier New" w:hAnsi="Courier New" w:cs="Courier New" w:hint="default"/>
      </w:rPr>
    </w:lvl>
    <w:lvl w:ilvl="5" w:tplc="FFFFFFFF" w:tentative="1">
      <w:start w:val="1"/>
      <w:numFmt w:val="bullet"/>
      <w:lvlText w:val=""/>
      <w:lvlJc w:val="left"/>
      <w:pPr>
        <w:ind w:left="3243" w:hanging="360"/>
      </w:pPr>
      <w:rPr>
        <w:rFonts w:ascii="Wingdings" w:hAnsi="Wingdings" w:hint="default"/>
      </w:rPr>
    </w:lvl>
    <w:lvl w:ilvl="6" w:tplc="FFFFFFFF" w:tentative="1">
      <w:start w:val="1"/>
      <w:numFmt w:val="bullet"/>
      <w:lvlText w:val=""/>
      <w:lvlJc w:val="left"/>
      <w:pPr>
        <w:ind w:left="3963" w:hanging="360"/>
      </w:pPr>
      <w:rPr>
        <w:rFonts w:ascii="Symbol" w:hAnsi="Symbol" w:hint="default"/>
      </w:rPr>
    </w:lvl>
    <w:lvl w:ilvl="7" w:tplc="FFFFFFFF" w:tentative="1">
      <w:start w:val="1"/>
      <w:numFmt w:val="bullet"/>
      <w:lvlText w:val="o"/>
      <w:lvlJc w:val="left"/>
      <w:pPr>
        <w:ind w:left="4683" w:hanging="360"/>
      </w:pPr>
      <w:rPr>
        <w:rFonts w:ascii="Courier New" w:hAnsi="Courier New" w:cs="Courier New" w:hint="default"/>
      </w:rPr>
    </w:lvl>
    <w:lvl w:ilvl="8" w:tplc="FFFFFFFF" w:tentative="1">
      <w:start w:val="1"/>
      <w:numFmt w:val="bullet"/>
      <w:lvlText w:val=""/>
      <w:lvlJc w:val="left"/>
      <w:pPr>
        <w:ind w:left="5403" w:hanging="360"/>
      </w:pPr>
      <w:rPr>
        <w:rFonts w:ascii="Wingdings" w:hAnsi="Wingdings" w:hint="default"/>
      </w:rPr>
    </w:lvl>
  </w:abstractNum>
  <w:abstractNum w:abstractNumId="10" w15:restartNumberingAfterBreak="0">
    <w:nsid w:val="44BC2865"/>
    <w:multiLevelType w:val="hybridMultilevel"/>
    <w:tmpl w:val="A4C0E508"/>
    <w:lvl w:ilvl="0" w:tplc="61FC686E">
      <w:numFmt w:val="bullet"/>
      <w:lvlText w:val="-"/>
      <w:lvlJc w:val="left"/>
      <w:pPr>
        <w:ind w:left="360" w:hanging="360"/>
      </w:pPr>
      <w:rPr>
        <w:rFonts w:ascii="Arial" w:eastAsia="Times New Roman" w:hAnsi="Arial" w:cs="Aria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11" w15:restartNumberingAfterBreak="0">
    <w:nsid w:val="48B644AD"/>
    <w:multiLevelType w:val="multilevel"/>
    <w:tmpl w:val="AFA4999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BF54D85"/>
    <w:multiLevelType w:val="hybridMultilevel"/>
    <w:tmpl w:val="4F54B966"/>
    <w:lvl w:ilvl="0" w:tplc="7A6E4F92">
      <w:start w:val="2"/>
      <w:numFmt w:val="bullet"/>
      <w:lvlText w:val="-"/>
      <w:lvlJc w:val="left"/>
      <w:pPr>
        <w:ind w:left="360" w:hanging="360"/>
      </w:pPr>
      <w:rPr>
        <w:rFonts w:ascii="Aptos" w:eastAsiaTheme="minorHAnsi" w:hAnsi="Aptos"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3" w15:restartNumberingAfterBreak="0">
    <w:nsid w:val="509A57F0"/>
    <w:multiLevelType w:val="hybridMultilevel"/>
    <w:tmpl w:val="B7302438"/>
    <w:lvl w:ilvl="0" w:tplc="0807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5C0A459C"/>
    <w:multiLevelType w:val="multilevel"/>
    <w:tmpl w:val="9158551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66AB786E"/>
    <w:multiLevelType w:val="hybridMultilevel"/>
    <w:tmpl w:val="D6261E4A"/>
    <w:lvl w:ilvl="0" w:tplc="6C3CD6DA">
      <w:start w:val="1"/>
      <w:numFmt w:val="bullet"/>
      <w:lvlText w:val="-"/>
      <w:lvlJc w:val="left"/>
      <w:pPr>
        <w:ind w:left="-1074" w:hanging="360"/>
      </w:pPr>
      <w:rPr>
        <w:rFonts w:ascii="Arial" w:hAnsi="Arial" w:hint="default"/>
        <w:b w:val="0"/>
        <w:i w:val="0"/>
        <w:sz w:val="22"/>
      </w:rPr>
    </w:lvl>
    <w:lvl w:ilvl="1" w:tplc="08070003" w:tentative="1">
      <w:start w:val="1"/>
      <w:numFmt w:val="bullet"/>
      <w:lvlText w:val="o"/>
      <w:lvlJc w:val="left"/>
      <w:pPr>
        <w:ind w:left="723" w:hanging="360"/>
      </w:pPr>
      <w:rPr>
        <w:rFonts w:ascii="Courier New" w:hAnsi="Courier New" w:cs="Courier New" w:hint="default"/>
      </w:rPr>
    </w:lvl>
    <w:lvl w:ilvl="2" w:tplc="08070005" w:tentative="1">
      <w:start w:val="1"/>
      <w:numFmt w:val="bullet"/>
      <w:lvlText w:val=""/>
      <w:lvlJc w:val="left"/>
      <w:pPr>
        <w:ind w:left="1443" w:hanging="360"/>
      </w:pPr>
      <w:rPr>
        <w:rFonts w:ascii="Wingdings" w:hAnsi="Wingdings" w:hint="default"/>
      </w:rPr>
    </w:lvl>
    <w:lvl w:ilvl="3" w:tplc="08070001" w:tentative="1">
      <w:start w:val="1"/>
      <w:numFmt w:val="bullet"/>
      <w:lvlText w:val=""/>
      <w:lvlJc w:val="left"/>
      <w:pPr>
        <w:ind w:left="2163" w:hanging="360"/>
      </w:pPr>
      <w:rPr>
        <w:rFonts w:ascii="Symbol" w:hAnsi="Symbol" w:hint="default"/>
      </w:rPr>
    </w:lvl>
    <w:lvl w:ilvl="4" w:tplc="08070003" w:tentative="1">
      <w:start w:val="1"/>
      <w:numFmt w:val="bullet"/>
      <w:lvlText w:val="o"/>
      <w:lvlJc w:val="left"/>
      <w:pPr>
        <w:ind w:left="2883" w:hanging="360"/>
      </w:pPr>
      <w:rPr>
        <w:rFonts w:ascii="Courier New" w:hAnsi="Courier New" w:cs="Courier New" w:hint="default"/>
      </w:rPr>
    </w:lvl>
    <w:lvl w:ilvl="5" w:tplc="08070005" w:tentative="1">
      <w:start w:val="1"/>
      <w:numFmt w:val="bullet"/>
      <w:lvlText w:val=""/>
      <w:lvlJc w:val="left"/>
      <w:pPr>
        <w:ind w:left="3603" w:hanging="360"/>
      </w:pPr>
      <w:rPr>
        <w:rFonts w:ascii="Wingdings" w:hAnsi="Wingdings" w:hint="default"/>
      </w:rPr>
    </w:lvl>
    <w:lvl w:ilvl="6" w:tplc="08070001" w:tentative="1">
      <w:start w:val="1"/>
      <w:numFmt w:val="bullet"/>
      <w:lvlText w:val=""/>
      <w:lvlJc w:val="left"/>
      <w:pPr>
        <w:ind w:left="4323" w:hanging="360"/>
      </w:pPr>
      <w:rPr>
        <w:rFonts w:ascii="Symbol" w:hAnsi="Symbol" w:hint="default"/>
      </w:rPr>
    </w:lvl>
    <w:lvl w:ilvl="7" w:tplc="08070003" w:tentative="1">
      <w:start w:val="1"/>
      <w:numFmt w:val="bullet"/>
      <w:lvlText w:val="o"/>
      <w:lvlJc w:val="left"/>
      <w:pPr>
        <w:ind w:left="5043" w:hanging="360"/>
      </w:pPr>
      <w:rPr>
        <w:rFonts w:ascii="Courier New" w:hAnsi="Courier New" w:cs="Courier New" w:hint="default"/>
      </w:rPr>
    </w:lvl>
    <w:lvl w:ilvl="8" w:tplc="08070005" w:tentative="1">
      <w:start w:val="1"/>
      <w:numFmt w:val="bullet"/>
      <w:lvlText w:val=""/>
      <w:lvlJc w:val="left"/>
      <w:pPr>
        <w:ind w:left="5763" w:hanging="360"/>
      </w:pPr>
      <w:rPr>
        <w:rFonts w:ascii="Wingdings" w:hAnsi="Wingdings" w:hint="default"/>
      </w:rPr>
    </w:lvl>
  </w:abstractNum>
  <w:abstractNum w:abstractNumId="16" w15:restartNumberingAfterBreak="0">
    <w:nsid w:val="670864F9"/>
    <w:multiLevelType w:val="hybridMultilevel"/>
    <w:tmpl w:val="F47838BA"/>
    <w:lvl w:ilvl="0" w:tplc="7A6E4F92">
      <w:start w:val="2"/>
      <w:numFmt w:val="bullet"/>
      <w:lvlText w:val="-"/>
      <w:lvlJc w:val="left"/>
      <w:pPr>
        <w:ind w:left="360" w:hanging="360"/>
      </w:pPr>
      <w:rPr>
        <w:rFonts w:ascii="Aptos" w:eastAsiaTheme="minorHAnsi" w:hAnsi="Aptos" w:cstheme="minorBidi"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17" w15:restartNumberingAfterBreak="0">
    <w:nsid w:val="69BA653B"/>
    <w:multiLevelType w:val="hybridMultilevel"/>
    <w:tmpl w:val="8D60185C"/>
    <w:lvl w:ilvl="0" w:tplc="08070001">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18" w15:restartNumberingAfterBreak="0">
    <w:nsid w:val="6BF15E43"/>
    <w:multiLevelType w:val="multilevel"/>
    <w:tmpl w:val="13EEEF5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9" w15:restartNumberingAfterBreak="0">
    <w:nsid w:val="74617906"/>
    <w:multiLevelType w:val="hybridMultilevel"/>
    <w:tmpl w:val="46746206"/>
    <w:lvl w:ilvl="0" w:tplc="7A6E4F92">
      <w:start w:val="2"/>
      <w:numFmt w:val="bullet"/>
      <w:lvlText w:val="-"/>
      <w:lvlJc w:val="left"/>
      <w:pPr>
        <w:ind w:left="360" w:hanging="360"/>
      </w:pPr>
      <w:rPr>
        <w:rFonts w:ascii="Aptos" w:eastAsiaTheme="minorHAnsi" w:hAnsi="Aptos"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0" w15:restartNumberingAfterBreak="0">
    <w:nsid w:val="7B886B4F"/>
    <w:multiLevelType w:val="multilevel"/>
    <w:tmpl w:val="A4700FFE"/>
    <w:lvl w:ilvl="0">
      <w:start w:val="1"/>
      <w:numFmt w:val="decimal"/>
      <w:lvlText w:val="%1."/>
      <w:lvlJc w:val="left"/>
      <w:pPr>
        <w:ind w:left="720" w:hanging="360"/>
      </w:pPr>
      <w:rPr>
        <w:rFonts w:hint="default"/>
        <w:b/>
        <w:bCs/>
        <w:i w:val="0"/>
        <w:sz w:val="28"/>
        <w:szCs w:val="28"/>
      </w:rPr>
    </w:lvl>
    <w:lvl w:ilvl="1">
      <w:start w:val="1"/>
      <w:numFmt w:val="decimal"/>
      <w:isLgl/>
      <w:lvlText w:val="%1.%2"/>
      <w:lvlJc w:val="left"/>
      <w:pPr>
        <w:ind w:left="828" w:hanging="468"/>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16cid:durableId="1674334543">
    <w:abstractNumId w:val="5"/>
  </w:num>
  <w:num w:numId="2" w16cid:durableId="551696857">
    <w:abstractNumId w:val="6"/>
  </w:num>
  <w:num w:numId="3" w16cid:durableId="1108619426">
    <w:abstractNumId w:val="10"/>
  </w:num>
  <w:num w:numId="4" w16cid:durableId="189297431">
    <w:abstractNumId w:val="14"/>
  </w:num>
  <w:num w:numId="5" w16cid:durableId="950286247">
    <w:abstractNumId w:val="11"/>
  </w:num>
  <w:num w:numId="6" w16cid:durableId="681512042">
    <w:abstractNumId w:val="15"/>
  </w:num>
  <w:num w:numId="7" w16cid:durableId="1982228318">
    <w:abstractNumId w:val="16"/>
  </w:num>
  <w:num w:numId="8" w16cid:durableId="3632962">
    <w:abstractNumId w:val="9"/>
  </w:num>
  <w:num w:numId="9" w16cid:durableId="2025814895">
    <w:abstractNumId w:val="20"/>
  </w:num>
  <w:num w:numId="10" w16cid:durableId="532111622">
    <w:abstractNumId w:val="19"/>
  </w:num>
  <w:num w:numId="11" w16cid:durableId="2108967016">
    <w:abstractNumId w:val="1"/>
  </w:num>
  <w:num w:numId="12" w16cid:durableId="1038774481">
    <w:abstractNumId w:val="12"/>
  </w:num>
  <w:num w:numId="13" w16cid:durableId="1586760970">
    <w:abstractNumId w:val="13"/>
  </w:num>
  <w:num w:numId="14" w16cid:durableId="1156414850">
    <w:abstractNumId w:val="0"/>
  </w:num>
  <w:num w:numId="15" w16cid:durableId="960724468">
    <w:abstractNumId w:val="18"/>
  </w:num>
  <w:num w:numId="16" w16cid:durableId="289675814">
    <w:abstractNumId w:val="3"/>
  </w:num>
  <w:num w:numId="17" w16cid:durableId="1354452233">
    <w:abstractNumId w:val="7"/>
  </w:num>
  <w:num w:numId="18" w16cid:durableId="2136481826">
    <w:abstractNumId w:val="17"/>
  </w:num>
  <w:num w:numId="19" w16cid:durableId="919025694">
    <w:abstractNumId w:val="4"/>
  </w:num>
  <w:num w:numId="20" w16cid:durableId="1837382830">
    <w:abstractNumId w:val="2"/>
  </w:num>
  <w:num w:numId="21" w16cid:durableId="2019699537">
    <w:abstractNumId w:val="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ctiveWritingStyle w:appName="MSWord" w:lang="de-CH" w:vendorID="64" w:dllVersion="6" w:nlCheck="1" w:checkStyle="1"/>
  <w:activeWritingStyle w:appName="MSWord" w:lang="de-DE" w:vendorID="64" w:dllVersion="6" w:nlCheck="1" w:checkStyle="1"/>
  <w:activeWritingStyle w:appName="MSWord" w:lang="en-US" w:vendorID="64" w:dllVersion="6" w:nlCheck="1" w:checkStyle="1"/>
  <w:activeWritingStyle w:appName="MSWord" w:lang="de-CH" w:vendorID="64" w:dllVersion="4096" w:nlCheck="1" w:checkStyle="0"/>
  <w:activeWritingStyle w:appName="MSWord" w:lang="de-DE" w:vendorID="64" w:dllVersion="4096" w:nlCheck="1" w:checkStyle="0"/>
  <w:activeWritingStyle w:appName="MSWord" w:lang="de-CH" w:vendorID="64" w:dllVersion="0" w:nlCheck="1" w:checkStyle="0"/>
  <w:activeWritingStyle w:appName="MSWord" w:lang="de-DE" w:vendorID="64" w:dllVersion="0" w:nlCheck="1" w:checkStyle="0"/>
  <w:activeWritingStyle w:appName="MSWord" w:lang="it-CH" w:vendorID="64" w:dllVersion="4096" w:nlCheck="1" w:checkStyle="0"/>
  <w:activeWritingStyle w:appName="MSWord" w:lang="it-CH" w:vendorID="64" w:dllVersion="0" w:nlCheck="1" w:checkStyle="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9"/>
  <w:autoHyphenation/>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079F"/>
    <w:rsid w:val="00013143"/>
    <w:rsid w:val="00016331"/>
    <w:rsid w:val="000236D8"/>
    <w:rsid w:val="00025008"/>
    <w:rsid w:val="00026B76"/>
    <w:rsid w:val="000271A7"/>
    <w:rsid w:val="00035420"/>
    <w:rsid w:val="0003719D"/>
    <w:rsid w:val="00052E01"/>
    <w:rsid w:val="000533DE"/>
    <w:rsid w:val="000542A4"/>
    <w:rsid w:val="0006677D"/>
    <w:rsid w:val="000818E7"/>
    <w:rsid w:val="000842A5"/>
    <w:rsid w:val="00091B6D"/>
    <w:rsid w:val="000939A6"/>
    <w:rsid w:val="000974D4"/>
    <w:rsid w:val="0009770A"/>
    <w:rsid w:val="000A0BBE"/>
    <w:rsid w:val="000A46A0"/>
    <w:rsid w:val="000B5B72"/>
    <w:rsid w:val="000B7912"/>
    <w:rsid w:val="000D275F"/>
    <w:rsid w:val="000E130E"/>
    <w:rsid w:val="000F679F"/>
    <w:rsid w:val="000F7900"/>
    <w:rsid w:val="00102867"/>
    <w:rsid w:val="0010321B"/>
    <w:rsid w:val="00103A10"/>
    <w:rsid w:val="00106248"/>
    <w:rsid w:val="001106D1"/>
    <w:rsid w:val="001137FE"/>
    <w:rsid w:val="00113898"/>
    <w:rsid w:val="001174EF"/>
    <w:rsid w:val="00125B9C"/>
    <w:rsid w:val="00127287"/>
    <w:rsid w:val="00133589"/>
    <w:rsid w:val="001358B3"/>
    <w:rsid w:val="00141547"/>
    <w:rsid w:val="00142085"/>
    <w:rsid w:val="00142770"/>
    <w:rsid w:val="00142A39"/>
    <w:rsid w:val="00150F8E"/>
    <w:rsid w:val="00155812"/>
    <w:rsid w:val="0016000E"/>
    <w:rsid w:val="00176849"/>
    <w:rsid w:val="00180DE4"/>
    <w:rsid w:val="00182D7B"/>
    <w:rsid w:val="0018525F"/>
    <w:rsid w:val="0019186C"/>
    <w:rsid w:val="001933E0"/>
    <w:rsid w:val="00194E16"/>
    <w:rsid w:val="00197D9D"/>
    <w:rsid w:val="001A211A"/>
    <w:rsid w:val="001A7952"/>
    <w:rsid w:val="001B073E"/>
    <w:rsid w:val="001C16A1"/>
    <w:rsid w:val="001C45DD"/>
    <w:rsid w:val="001D0090"/>
    <w:rsid w:val="001D2705"/>
    <w:rsid w:val="001D326D"/>
    <w:rsid w:val="001D56D9"/>
    <w:rsid w:val="001D6116"/>
    <w:rsid w:val="001D6E7B"/>
    <w:rsid w:val="001E1050"/>
    <w:rsid w:val="001E296A"/>
    <w:rsid w:val="001F0A51"/>
    <w:rsid w:val="001F3DCB"/>
    <w:rsid w:val="001F5035"/>
    <w:rsid w:val="002010D1"/>
    <w:rsid w:val="00204113"/>
    <w:rsid w:val="0020438E"/>
    <w:rsid w:val="00206024"/>
    <w:rsid w:val="00215FAD"/>
    <w:rsid w:val="00216BE8"/>
    <w:rsid w:val="002206BA"/>
    <w:rsid w:val="00223C70"/>
    <w:rsid w:val="002346BD"/>
    <w:rsid w:val="0023675B"/>
    <w:rsid w:val="00236BE2"/>
    <w:rsid w:val="00242985"/>
    <w:rsid w:val="0024313B"/>
    <w:rsid w:val="00251C19"/>
    <w:rsid w:val="00251C94"/>
    <w:rsid w:val="00253296"/>
    <w:rsid w:val="00255D60"/>
    <w:rsid w:val="002578D6"/>
    <w:rsid w:val="002609A3"/>
    <w:rsid w:val="00262B84"/>
    <w:rsid w:val="00266B20"/>
    <w:rsid w:val="0027454F"/>
    <w:rsid w:val="002758A7"/>
    <w:rsid w:val="002775CF"/>
    <w:rsid w:val="00281CBB"/>
    <w:rsid w:val="002829EE"/>
    <w:rsid w:val="002837EF"/>
    <w:rsid w:val="002901FB"/>
    <w:rsid w:val="002905CE"/>
    <w:rsid w:val="002924D7"/>
    <w:rsid w:val="002927AF"/>
    <w:rsid w:val="002930CA"/>
    <w:rsid w:val="00293BC0"/>
    <w:rsid w:val="002A0D10"/>
    <w:rsid w:val="002A6E1B"/>
    <w:rsid w:val="002B4883"/>
    <w:rsid w:val="002B498B"/>
    <w:rsid w:val="002B536C"/>
    <w:rsid w:val="002C1443"/>
    <w:rsid w:val="002C31A2"/>
    <w:rsid w:val="002C668C"/>
    <w:rsid w:val="002D1166"/>
    <w:rsid w:val="002D1816"/>
    <w:rsid w:val="002D1AD5"/>
    <w:rsid w:val="002E079F"/>
    <w:rsid w:val="00301932"/>
    <w:rsid w:val="00312BFB"/>
    <w:rsid w:val="003153AB"/>
    <w:rsid w:val="00322D35"/>
    <w:rsid w:val="003243AA"/>
    <w:rsid w:val="003312EE"/>
    <w:rsid w:val="00332005"/>
    <w:rsid w:val="00332FD6"/>
    <w:rsid w:val="0033618E"/>
    <w:rsid w:val="00340996"/>
    <w:rsid w:val="00342621"/>
    <w:rsid w:val="0034268B"/>
    <w:rsid w:val="0034341F"/>
    <w:rsid w:val="0035070C"/>
    <w:rsid w:val="00352337"/>
    <w:rsid w:val="003642DB"/>
    <w:rsid w:val="00364537"/>
    <w:rsid w:val="003707FF"/>
    <w:rsid w:val="00370C8A"/>
    <w:rsid w:val="00371E8F"/>
    <w:rsid w:val="00374F52"/>
    <w:rsid w:val="003758F5"/>
    <w:rsid w:val="0037609B"/>
    <w:rsid w:val="00376395"/>
    <w:rsid w:val="003770B0"/>
    <w:rsid w:val="00393BB2"/>
    <w:rsid w:val="003A07BD"/>
    <w:rsid w:val="003A44B0"/>
    <w:rsid w:val="003A7D25"/>
    <w:rsid w:val="003E6141"/>
    <w:rsid w:val="003F16C4"/>
    <w:rsid w:val="003F63F9"/>
    <w:rsid w:val="0040368E"/>
    <w:rsid w:val="0041250A"/>
    <w:rsid w:val="00422364"/>
    <w:rsid w:val="00430BC8"/>
    <w:rsid w:val="00431077"/>
    <w:rsid w:val="0043185E"/>
    <w:rsid w:val="004367E4"/>
    <w:rsid w:val="004370E6"/>
    <w:rsid w:val="0043727B"/>
    <w:rsid w:val="00437374"/>
    <w:rsid w:val="00440122"/>
    <w:rsid w:val="00440862"/>
    <w:rsid w:val="00441DF8"/>
    <w:rsid w:val="004463CB"/>
    <w:rsid w:val="004511A4"/>
    <w:rsid w:val="004512F2"/>
    <w:rsid w:val="004541E5"/>
    <w:rsid w:val="004541EF"/>
    <w:rsid w:val="00454294"/>
    <w:rsid w:val="00456C41"/>
    <w:rsid w:val="00457AF8"/>
    <w:rsid w:val="0046284C"/>
    <w:rsid w:val="00462D6A"/>
    <w:rsid w:val="00465771"/>
    <w:rsid w:val="00465790"/>
    <w:rsid w:val="00466ABF"/>
    <w:rsid w:val="00467AF8"/>
    <w:rsid w:val="004721CF"/>
    <w:rsid w:val="00474566"/>
    <w:rsid w:val="00483F24"/>
    <w:rsid w:val="004856F1"/>
    <w:rsid w:val="00487460"/>
    <w:rsid w:val="00491937"/>
    <w:rsid w:val="0049288A"/>
    <w:rsid w:val="00493668"/>
    <w:rsid w:val="004A27AF"/>
    <w:rsid w:val="004B3A67"/>
    <w:rsid w:val="004B404F"/>
    <w:rsid w:val="004B66B8"/>
    <w:rsid w:val="004C0A65"/>
    <w:rsid w:val="004C1134"/>
    <w:rsid w:val="004D65DE"/>
    <w:rsid w:val="004D730D"/>
    <w:rsid w:val="004E1CFE"/>
    <w:rsid w:val="004E4D78"/>
    <w:rsid w:val="004E504E"/>
    <w:rsid w:val="004E7BEC"/>
    <w:rsid w:val="004F7DCA"/>
    <w:rsid w:val="0050327D"/>
    <w:rsid w:val="0050496F"/>
    <w:rsid w:val="005066F5"/>
    <w:rsid w:val="005068A4"/>
    <w:rsid w:val="005118F5"/>
    <w:rsid w:val="00515BC4"/>
    <w:rsid w:val="005269AC"/>
    <w:rsid w:val="00531FE2"/>
    <w:rsid w:val="005332B9"/>
    <w:rsid w:val="005409EE"/>
    <w:rsid w:val="00541ADD"/>
    <w:rsid w:val="005434F6"/>
    <w:rsid w:val="00554016"/>
    <w:rsid w:val="0056130D"/>
    <w:rsid w:val="00563283"/>
    <w:rsid w:val="005649F5"/>
    <w:rsid w:val="00565A7B"/>
    <w:rsid w:val="00571C7E"/>
    <w:rsid w:val="00574AAB"/>
    <w:rsid w:val="0057597D"/>
    <w:rsid w:val="00575A0E"/>
    <w:rsid w:val="005809CF"/>
    <w:rsid w:val="00581A7C"/>
    <w:rsid w:val="005906BB"/>
    <w:rsid w:val="005917BF"/>
    <w:rsid w:val="005967B8"/>
    <w:rsid w:val="00597919"/>
    <w:rsid w:val="005A0A8B"/>
    <w:rsid w:val="005A4CB1"/>
    <w:rsid w:val="005A51B7"/>
    <w:rsid w:val="005A5E58"/>
    <w:rsid w:val="005B03BE"/>
    <w:rsid w:val="005B1B17"/>
    <w:rsid w:val="005B6448"/>
    <w:rsid w:val="005C27C5"/>
    <w:rsid w:val="005C4CD5"/>
    <w:rsid w:val="005C79FF"/>
    <w:rsid w:val="005D1489"/>
    <w:rsid w:val="005D313F"/>
    <w:rsid w:val="005D52C0"/>
    <w:rsid w:val="005E5AFF"/>
    <w:rsid w:val="005F2203"/>
    <w:rsid w:val="005F34AB"/>
    <w:rsid w:val="005F3821"/>
    <w:rsid w:val="005F72E8"/>
    <w:rsid w:val="00602A91"/>
    <w:rsid w:val="00611D38"/>
    <w:rsid w:val="006123DB"/>
    <w:rsid w:val="0061668F"/>
    <w:rsid w:val="00621F5C"/>
    <w:rsid w:val="006244C9"/>
    <w:rsid w:val="0062649C"/>
    <w:rsid w:val="00632150"/>
    <w:rsid w:val="00640B27"/>
    <w:rsid w:val="00644825"/>
    <w:rsid w:val="006449D9"/>
    <w:rsid w:val="0065158D"/>
    <w:rsid w:val="00651E7F"/>
    <w:rsid w:val="0065462F"/>
    <w:rsid w:val="00654653"/>
    <w:rsid w:val="00655B25"/>
    <w:rsid w:val="006573AF"/>
    <w:rsid w:val="006601B4"/>
    <w:rsid w:val="006604F9"/>
    <w:rsid w:val="00663005"/>
    <w:rsid w:val="006659DB"/>
    <w:rsid w:val="00676CB0"/>
    <w:rsid w:val="0068546F"/>
    <w:rsid w:val="00691AB8"/>
    <w:rsid w:val="006928A8"/>
    <w:rsid w:val="006A2175"/>
    <w:rsid w:val="006B134C"/>
    <w:rsid w:val="006B19CE"/>
    <w:rsid w:val="006B3D74"/>
    <w:rsid w:val="006B42D6"/>
    <w:rsid w:val="006B4B8B"/>
    <w:rsid w:val="006B7893"/>
    <w:rsid w:val="006D4B1B"/>
    <w:rsid w:val="006D624D"/>
    <w:rsid w:val="006D665F"/>
    <w:rsid w:val="006D6E2B"/>
    <w:rsid w:val="006E1E15"/>
    <w:rsid w:val="006E5447"/>
    <w:rsid w:val="006E6126"/>
    <w:rsid w:val="006F0AC8"/>
    <w:rsid w:val="00700F6A"/>
    <w:rsid w:val="00701732"/>
    <w:rsid w:val="00703E63"/>
    <w:rsid w:val="00710103"/>
    <w:rsid w:val="007102E0"/>
    <w:rsid w:val="0071133D"/>
    <w:rsid w:val="0071757A"/>
    <w:rsid w:val="00717E7D"/>
    <w:rsid w:val="007204D1"/>
    <w:rsid w:val="00720751"/>
    <w:rsid w:val="007208A1"/>
    <w:rsid w:val="007301FF"/>
    <w:rsid w:val="00735DE8"/>
    <w:rsid w:val="00744C29"/>
    <w:rsid w:val="0075272C"/>
    <w:rsid w:val="007553A5"/>
    <w:rsid w:val="007640D7"/>
    <w:rsid w:val="00770174"/>
    <w:rsid w:val="00770EF6"/>
    <w:rsid w:val="00781ED6"/>
    <w:rsid w:val="00785D47"/>
    <w:rsid w:val="00793420"/>
    <w:rsid w:val="00793442"/>
    <w:rsid w:val="007947CE"/>
    <w:rsid w:val="007A399B"/>
    <w:rsid w:val="007A5B7B"/>
    <w:rsid w:val="007B22F4"/>
    <w:rsid w:val="007B4AB7"/>
    <w:rsid w:val="007B5FF9"/>
    <w:rsid w:val="007C005F"/>
    <w:rsid w:val="007D0435"/>
    <w:rsid w:val="007D1030"/>
    <w:rsid w:val="007D1379"/>
    <w:rsid w:val="007D7279"/>
    <w:rsid w:val="007E15A1"/>
    <w:rsid w:val="007E2AA1"/>
    <w:rsid w:val="007E3A02"/>
    <w:rsid w:val="007F61C9"/>
    <w:rsid w:val="007F7B42"/>
    <w:rsid w:val="0080355A"/>
    <w:rsid w:val="008054CB"/>
    <w:rsid w:val="0081187D"/>
    <w:rsid w:val="00811CF0"/>
    <w:rsid w:val="008171FE"/>
    <w:rsid w:val="00823DD0"/>
    <w:rsid w:val="00825D95"/>
    <w:rsid w:val="00825EAE"/>
    <w:rsid w:val="00830F76"/>
    <w:rsid w:val="00834871"/>
    <w:rsid w:val="00836E82"/>
    <w:rsid w:val="0083754B"/>
    <w:rsid w:val="008421A6"/>
    <w:rsid w:val="00846236"/>
    <w:rsid w:val="008463F8"/>
    <w:rsid w:val="008579F7"/>
    <w:rsid w:val="00861BDC"/>
    <w:rsid w:val="00863336"/>
    <w:rsid w:val="008716B6"/>
    <w:rsid w:val="0087473F"/>
    <w:rsid w:val="0088022E"/>
    <w:rsid w:val="00880AC8"/>
    <w:rsid w:val="00880E96"/>
    <w:rsid w:val="00883062"/>
    <w:rsid w:val="00883A91"/>
    <w:rsid w:val="0088794D"/>
    <w:rsid w:val="008936D5"/>
    <w:rsid w:val="00896001"/>
    <w:rsid w:val="00896537"/>
    <w:rsid w:val="00897024"/>
    <w:rsid w:val="008A54BB"/>
    <w:rsid w:val="008B5DAD"/>
    <w:rsid w:val="008C213F"/>
    <w:rsid w:val="008C24EA"/>
    <w:rsid w:val="008D4588"/>
    <w:rsid w:val="008E7E77"/>
    <w:rsid w:val="008F30C7"/>
    <w:rsid w:val="008F3603"/>
    <w:rsid w:val="008F7056"/>
    <w:rsid w:val="00903EA8"/>
    <w:rsid w:val="0090523A"/>
    <w:rsid w:val="00913096"/>
    <w:rsid w:val="00914C4C"/>
    <w:rsid w:val="0092279C"/>
    <w:rsid w:val="0093006C"/>
    <w:rsid w:val="00934832"/>
    <w:rsid w:val="009406E6"/>
    <w:rsid w:val="009418DD"/>
    <w:rsid w:val="00945678"/>
    <w:rsid w:val="009461C0"/>
    <w:rsid w:val="00947C1C"/>
    <w:rsid w:val="00947ECB"/>
    <w:rsid w:val="00953B76"/>
    <w:rsid w:val="00953DCD"/>
    <w:rsid w:val="00960D29"/>
    <w:rsid w:val="00961A8A"/>
    <w:rsid w:val="009908E5"/>
    <w:rsid w:val="00997984"/>
    <w:rsid w:val="009A17A7"/>
    <w:rsid w:val="009A1F8A"/>
    <w:rsid w:val="009B1F4B"/>
    <w:rsid w:val="009B2333"/>
    <w:rsid w:val="009B3018"/>
    <w:rsid w:val="009B3304"/>
    <w:rsid w:val="009B5FF9"/>
    <w:rsid w:val="009C3670"/>
    <w:rsid w:val="009D030F"/>
    <w:rsid w:val="009D3981"/>
    <w:rsid w:val="009F75CE"/>
    <w:rsid w:val="00A00969"/>
    <w:rsid w:val="00A009C3"/>
    <w:rsid w:val="00A0513B"/>
    <w:rsid w:val="00A116F1"/>
    <w:rsid w:val="00A11724"/>
    <w:rsid w:val="00A14E80"/>
    <w:rsid w:val="00A1690F"/>
    <w:rsid w:val="00A17600"/>
    <w:rsid w:val="00A1773F"/>
    <w:rsid w:val="00A24CF7"/>
    <w:rsid w:val="00A261C5"/>
    <w:rsid w:val="00A2638E"/>
    <w:rsid w:val="00A4095E"/>
    <w:rsid w:val="00A50A08"/>
    <w:rsid w:val="00A53FD9"/>
    <w:rsid w:val="00A6226B"/>
    <w:rsid w:val="00A71662"/>
    <w:rsid w:val="00A71719"/>
    <w:rsid w:val="00A75797"/>
    <w:rsid w:val="00A7751F"/>
    <w:rsid w:val="00A77905"/>
    <w:rsid w:val="00A82041"/>
    <w:rsid w:val="00A8287D"/>
    <w:rsid w:val="00A83289"/>
    <w:rsid w:val="00A86979"/>
    <w:rsid w:val="00A96E12"/>
    <w:rsid w:val="00A97A9B"/>
    <w:rsid w:val="00AA2C34"/>
    <w:rsid w:val="00AA7168"/>
    <w:rsid w:val="00AB1EDC"/>
    <w:rsid w:val="00AC2B2C"/>
    <w:rsid w:val="00AC3ABF"/>
    <w:rsid w:val="00AC7097"/>
    <w:rsid w:val="00AC7CD2"/>
    <w:rsid w:val="00AD171D"/>
    <w:rsid w:val="00AD1ABE"/>
    <w:rsid w:val="00AE0C52"/>
    <w:rsid w:val="00AE1045"/>
    <w:rsid w:val="00AE1D39"/>
    <w:rsid w:val="00AE3C79"/>
    <w:rsid w:val="00AF5915"/>
    <w:rsid w:val="00B0374A"/>
    <w:rsid w:val="00B038FF"/>
    <w:rsid w:val="00B0478A"/>
    <w:rsid w:val="00B07A4F"/>
    <w:rsid w:val="00B123BD"/>
    <w:rsid w:val="00B131C0"/>
    <w:rsid w:val="00B21079"/>
    <w:rsid w:val="00B211B1"/>
    <w:rsid w:val="00B24040"/>
    <w:rsid w:val="00B24BE1"/>
    <w:rsid w:val="00B313BD"/>
    <w:rsid w:val="00B32575"/>
    <w:rsid w:val="00B33360"/>
    <w:rsid w:val="00B3591E"/>
    <w:rsid w:val="00B4667A"/>
    <w:rsid w:val="00B53D0D"/>
    <w:rsid w:val="00B54FA9"/>
    <w:rsid w:val="00B576EA"/>
    <w:rsid w:val="00B57BE6"/>
    <w:rsid w:val="00B60847"/>
    <w:rsid w:val="00B61C84"/>
    <w:rsid w:val="00B630FC"/>
    <w:rsid w:val="00B66B29"/>
    <w:rsid w:val="00B67DC4"/>
    <w:rsid w:val="00B72780"/>
    <w:rsid w:val="00B800F7"/>
    <w:rsid w:val="00B81E3F"/>
    <w:rsid w:val="00B82A7B"/>
    <w:rsid w:val="00B8320C"/>
    <w:rsid w:val="00B87DA7"/>
    <w:rsid w:val="00B901CB"/>
    <w:rsid w:val="00B902B0"/>
    <w:rsid w:val="00B931CB"/>
    <w:rsid w:val="00B94856"/>
    <w:rsid w:val="00B95930"/>
    <w:rsid w:val="00BA0368"/>
    <w:rsid w:val="00BA5E98"/>
    <w:rsid w:val="00BB1066"/>
    <w:rsid w:val="00BB376C"/>
    <w:rsid w:val="00BB7FB9"/>
    <w:rsid w:val="00BC6038"/>
    <w:rsid w:val="00BD106B"/>
    <w:rsid w:val="00BD7A79"/>
    <w:rsid w:val="00BE594B"/>
    <w:rsid w:val="00BE6F24"/>
    <w:rsid w:val="00BF16DC"/>
    <w:rsid w:val="00BF1C5D"/>
    <w:rsid w:val="00C01903"/>
    <w:rsid w:val="00C02531"/>
    <w:rsid w:val="00C02FFE"/>
    <w:rsid w:val="00C05B9D"/>
    <w:rsid w:val="00C11927"/>
    <w:rsid w:val="00C12186"/>
    <w:rsid w:val="00C15225"/>
    <w:rsid w:val="00C1568D"/>
    <w:rsid w:val="00C177FB"/>
    <w:rsid w:val="00C20644"/>
    <w:rsid w:val="00C20F40"/>
    <w:rsid w:val="00C21425"/>
    <w:rsid w:val="00C30DBF"/>
    <w:rsid w:val="00C31BA3"/>
    <w:rsid w:val="00C3208D"/>
    <w:rsid w:val="00C32476"/>
    <w:rsid w:val="00C339DC"/>
    <w:rsid w:val="00C347A7"/>
    <w:rsid w:val="00C3604B"/>
    <w:rsid w:val="00C42483"/>
    <w:rsid w:val="00C6106F"/>
    <w:rsid w:val="00C6229F"/>
    <w:rsid w:val="00C656AD"/>
    <w:rsid w:val="00C7092D"/>
    <w:rsid w:val="00C80DF7"/>
    <w:rsid w:val="00C81314"/>
    <w:rsid w:val="00C82E4A"/>
    <w:rsid w:val="00C845A6"/>
    <w:rsid w:val="00C858B2"/>
    <w:rsid w:val="00C915D4"/>
    <w:rsid w:val="00C945AF"/>
    <w:rsid w:val="00C94620"/>
    <w:rsid w:val="00C94D59"/>
    <w:rsid w:val="00C94E74"/>
    <w:rsid w:val="00C96C16"/>
    <w:rsid w:val="00CA2E6E"/>
    <w:rsid w:val="00CA3108"/>
    <w:rsid w:val="00CB1728"/>
    <w:rsid w:val="00CB39E8"/>
    <w:rsid w:val="00CC4044"/>
    <w:rsid w:val="00CC57DA"/>
    <w:rsid w:val="00CC6028"/>
    <w:rsid w:val="00CC6803"/>
    <w:rsid w:val="00CC6F5B"/>
    <w:rsid w:val="00CD1782"/>
    <w:rsid w:val="00CD1DAE"/>
    <w:rsid w:val="00CD3840"/>
    <w:rsid w:val="00CD730E"/>
    <w:rsid w:val="00CE0E9D"/>
    <w:rsid w:val="00CE22C6"/>
    <w:rsid w:val="00CE7914"/>
    <w:rsid w:val="00CF4496"/>
    <w:rsid w:val="00CF762F"/>
    <w:rsid w:val="00D007AC"/>
    <w:rsid w:val="00D02E09"/>
    <w:rsid w:val="00D1472B"/>
    <w:rsid w:val="00D16D30"/>
    <w:rsid w:val="00D16FD4"/>
    <w:rsid w:val="00D1786F"/>
    <w:rsid w:val="00D21594"/>
    <w:rsid w:val="00D245BE"/>
    <w:rsid w:val="00D2472F"/>
    <w:rsid w:val="00D25453"/>
    <w:rsid w:val="00D25D91"/>
    <w:rsid w:val="00D27374"/>
    <w:rsid w:val="00D30FEA"/>
    <w:rsid w:val="00D31570"/>
    <w:rsid w:val="00D32572"/>
    <w:rsid w:val="00D701A2"/>
    <w:rsid w:val="00D72CD4"/>
    <w:rsid w:val="00D80D0D"/>
    <w:rsid w:val="00D81BAF"/>
    <w:rsid w:val="00D827B7"/>
    <w:rsid w:val="00D83ECD"/>
    <w:rsid w:val="00D923A1"/>
    <w:rsid w:val="00D93654"/>
    <w:rsid w:val="00D936ED"/>
    <w:rsid w:val="00D94206"/>
    <w:rsid w:val="00D95AFE"/>
    <w:rsid w:val="00DB018F"/>
    <w:rsid w:val="00DB2956"/>
    <w:rsid w:val="00DB7329"/>
    <w:rsid w:val="00DC129C"/>
    <w:rsid w:val="00DC63B7"/>
    <w:rsid w:val="00DD452F"/>
    <w:rsid w:val="00DD5BA8"/>
    <w:rsid w:val="00DE45B9"/>
    <w:rsid w:val="00DE78AF"/>
    <w:rsid w:val="00DF2EA7"/>
    <w:rsid w:val="00DF5089"/>
    <w:rsid w:val="00DF52D2"/>
    <w:rsid w:val="00E13DDC"/>
    <w:rsid w:val="00E142EE"/>
    <w:rsid w:val="00E14B57"/>
    <w:rsid w:val="00E1507D"/>
    <w:rsid w:val="00E15AC5"/>
    <w:rsid w:val="00E16BB2"/>
    <w:rsid w:val="00E30CB6"/>
    <w:rsid w:val="00E33440"/>
    <w:rsid w:val="00E43A1D"/>
    <w:rsid w:val="00E43A43"/>
    <w:rsid w:val="00E44928"/>
    <w:rsid w:val="00E45B89"/>
    <w:rsid w:val="00E47FA4"/>
    <w:rsid w:val="00E50268"/>
    <w:rsid w:val="00E53CD9"/>
    <w:rsid w:val="00E62C9E"/>
    <w:rsid w:val="00E64F68"/>
    <w:rsid w:val="00E74135"/>
    <w:rsid w:val="00E76654"/>
    <w:rsid w:val="00E7743F"/>
    <w:rsid w:val="00E81FC1"/>
    <w:rsid w:val="00E825FB"/>
    <w:rsid w:val="00E829B8"/>
    <w:rsid w:val="00E90760"/>
    <w:rsid w:val="00EA14C1"/>
    <w:rsid w:val="00EA19EF"/>
    <w:rsid w:val="00EA2A0C"/>
    <w:rsid w:val="00EA46C3"/>
    <w:rsid w:val="00EB09F1"/>
    <w:rsid w:val="00EB0BD7"/>
    <w:rsid w:val="00EB521B"/>
    <w:rsid w:val="00EB52BD"/>
    <w:rsid w:val="00EC10D5"/>
    <w:rsid w:val="00EC1B6B"/>
    <w:rsid w:val="00EC664F"/>
    <w:rsid w:val="00ED1362"/>
    <w:rsid w:val="00ED36B8"/>
    <w:rsid w:val="00ED4D6C"/>
    <w:rsid w:val="00ED6F1E"/>
    <w:rsid w:val="00EE1932"/>
    <w:rsid w:val="00EE1DE3"/>
    <w:rsid w:val="00EF0503"/>
    <w:rsid w:val="00EF4BDF"/>
    <w:rsid w:val="00EF6497"/>
    <w:rsid w:val="00F02B7C"/>
    <w:rsid w:val="00F064C6"/>
    <w:rsid w:val="00F07F5C"/>
    <w:rsid w:val="00F103A2"/>
    <w:rsid w:val="00F35859"/>
    <w:rsid w:val="00F36F29"/>
    <w:rsid w:val="00F418A3"/>
    <w:rsid w:val="00F42F4E"/>
    <w:rsid w:val="00F43C83"/>
    <w:rsid w:val="00F55C74"/>
    <w:rsid w:val="00F569D1"/>
    <w:rsid w:val="00F60DC0"/>
    <w:rsid w:val="00F62D80"/>
    <w:rsid w:val="00F63FA5"/>
    <w:rsid w:val="00F67C81"/>
    <w:rsid w:val="00F71B24"/>
    <w:rsid w:val="00F75184"/>
    <w:rsid w:val="00F83A34"/>
    <w:rsid w:val="00F90603"/>
    <w:rsid w:val="00F91639"/>
    <w:rsid w:val="00F9278C"/>
    <w:rsid w:val="00F96B84"/>
    <w:rsid w:val="00FA148F"/>
    <w:rsid w:val="00FA3617"/>
    <w:rsid w:val="00FB1677"/>
    <w:rsid w:val="00FB2033"/>
    <w:rsid w:val="00FB5F5F"/>
    <w:rsid w:val="00FB7590"/>
    <w:rsid w:val="00FB7650"/>
    <w:rsid w:val="00FD01EA"/>
    <w:rsid w:val="00FD5559"/>
    <w:rsid w:val="00FD6475"/>
    <w:rsid w:val="00FE327A"/>
    <w:rsid w:val="00FE55FF"/>
    <w:rsid w:val="00FF43B8"/>
    <w:rsid w:val="00FF557E"/>
  </w:rsids>
  <m:mathPr>
    <m:mathFont m:val="Cambria Math"/>
    <m:brkBin m:val="before"/>
    <m:brkBinSub m:val="--"/>
    <m:smallFrac m:val="0"/>
    <m:dispDef/>
    <m:lMargin m:val="0"/>
    <m:rMargin m:val="0"/>
    <m:defJc m:val="centerGroup"/>
    <m:wrapIndent m:val="1440"/>
    <m:intLim m:val="subSup"/>
    <m:naryLim m:val="undOvr"/>
  </m:mathPr>
  <w:themeFontLang w:val="de-CH"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0D4F5C4F"/>
  <w15:docId w15:val="{B7386B32-5A3C-4207-B615-4ED43AB792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CH" w:eastAsia="de-CH"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261C5"/>
    <w:pPr>
      <w:spacing w:line="260" w:lineRule="atLeast"/>
    </w:pPr>
    <w:rPr>
      <w:rFonts w:ascii="Palatino Linotype" w:hAnsi="Palatino Linotype"/>
      <w:lang w:eastAsia="de-DE"/>
    </w:rPr>
  </w:style>
  <w:style w:type="paragraph" w:styleId="berschrift1">
    <w:name w:val="heading 1"/>
    <w:basedOn w:val="Standard"/>
    <w:next w:val="Standard"/>
    <w:qFormat/>
    <w:rsid w:val="000B5B72"/>
    <w:pPr>
      <w:keepNext/>
      <w:spacing w:line="440" w:lineRule="atLeast"/>
      <w:outlineLvl w:val="0"/>
    </w:pPr>
    <w:rPr>
      <w:rFonts w:ascii="Arial" w:hAnsi="Arial" w:cs="Arial"/>
      <w:bCs/>
      <w:sz w:val="32"/>
      <w:szCs w:val="32"/>
    </w:rPr>
  </w:style>
  <w:style w:type="paragraph" w:styleId="berschrift2">
    <w:name w:val="heading 2"/>
    <w:basedOn w:val="berschrift1"/>
    <w:next w:val="Standard"/>
    <w:link w:val="berschrift2Zchn"/>
    <w:uiPriority w:val="9"/>
    <w:qFormat/>
    <w:rsid w:val="005F34AB"/>
    <w:pPr>
      <w:numPr>
        <w:ilvl w:val="1"/>
      </w:numPr>
      <w:tabs>
        <w:tab w:val="left" w:pos="709"/>
      </w:tabs>
      <w:spacing w:line="400" w:lineRule="atLeast"/>
      <w:outlineLvl w:val="1"/>
    </w:pPr>
    <w:rPr>
      <w:bCs w:val="0"/>
      <w:iCs/>
      <w:sz w:val="28"/>
      <w:szCs w:val="28"/>
    </w:rPr>
  </w:style>
  <w:style w:type="paragraph" w:styleId="berschrift3">
    <w:name w:val="heading 3"/>
    <w:basedOn w:val="berschrift2"/>
    <w:next w:val="Standard"/>
    <w:qFormat/>
    <w:rsid w:val="000B5B72"/>
    <w:pPr>
      <w:numPr>
        <w:ilvl w:val="2"/>
      </w:numPr>
      <w:spacing w:line="260" w:lineRule="atLeast"/>
      <w:ind w:left="680" w:hanging="680"/>
      <w:outlineLvl w:val="2"/>
    </w:pPr>
    <w:rPr>
      <w:bCs/>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notentext">
    <w:name w:val="footnote text"/>
    <w:basedOn w:val="Standard"/>
    <w:link w:val="FunotentextZchn"/>
    <w:rsid w:val="001E1050"/>
    <w:pPr>
      <w:tabs>
        <w:tab w:val="left" w:pos="284"/>
      </w:tabs>
      <w:ind w:left="284" w:hanging="284"/>
    </w:pPr>
    <w:rPr>
      <w:rFonts w:ascii="Arial" w:hAnsi="Arial"/>
      <w:sz w:val="14"/>
    </w:rPr>
  </w:style>
  <w:style w:type="character" w:styleId="Funotenzeichen">
    <w:name w:val="footnote reference"/>
    <w:basedOn w:val="Absatz-Standardschriftart"/>
    <w:rsid w:val="00223C70"/>
    <w:rPr>
      <w:vertAlign w:val="superscript"/>
    </w:rPr>
  </w:style>
  <w:style w:type="paragraph" w:styleId="Kopfzeile">
    <w:name w:val="header"/>
    <w:basedOn w:val="Standard"/>
    <w:rsid w:val="00D25453"/>
    <w:pPr>
      <w:tabs>
        <w:tab w:val="center" w:pos="4536"/>
        <w:tab w:val="right" w:pos="9072"/>
      </w:tabs>
      <w:spacing w:line="200" w:lineRule="atLeast"/>
    </w:pPr>
    <w:rPr>
      <w:rFonts w:ascii="Arial" w:hAnsi="Arial"/>
      <w:sz w:val="16"/>
    </w:rPr>
  </w:style>
  <w:style w:type="paragraph" w:styleId="Fuzeile">
    <w:name w:val="footer"/>
    <w:basedOn w:val="Standard"/>
    <w:rsid w:val="00515BC4"/>
    <w:pPr>
      <w:tabs>
        <w:tab w:val="center" w:pos="4536"/>
        <w:tab w:val="right" w:pos="9072"/>
      </w:tabs>
      <w:spacing w:line="200" w:lineRule="atLeast"/>
    </w:pPr>
    <w:rPr>
      <w:rFonts w:ascii="Arial" w:hAnsi="Arial"/>
      <w:sz w:val="16"/>
      <w:szCs w:val="14"/>
    </w:rPr>
  </w:style>
  <w:style w:type="character" w:styleId="Seitenzahl">
    <w:name w:val="page number"/>
    <w:basedOn w:val="Absatz-Standardschriftart"/>
    <w:rsid w:val="002206BA"/>
    <w:rPr>
      <w:rFonts w:ascii="Arial" w:hAnsi="Arial"/>
      <w:kern w:val="0"/>
      <w:sz w:val="16"/>
      <w:szCs w:val="18"/>
    </w:rPr>
  </w:style>
  <w:style w:type="paragraph" w:customStyle="1" w:styleId="Briefkopfabs">
    <w:name w:val="Briefkopfabs"/>
    <w:basedOn w:val="Standard"/>
    <w:rsid w:val="00C12186"/>
    <w:pPr>
      <w:spacing w:line="200" w:lineRule="atLeast"/>
    </w:pPr>
    <w:rPr>
      <w:rFonts w:ascii="Arial" w:hAnsi="Arial"/>
      <w:sz w:val="16"/>
    </w:rPr>
  </w:style>
  <w:style w:type="paragraph" w:styleId="Endnotentext">
    <w:name w:val="endnote text"/>
    <w:basedOn w:val="Funotentext"/>
    <w:semiHidden/>
    <w:rsid w:val="00F71B24"/>
  </w:style>
  <w:style w:type="character" w:styleId="Endnotenzeichen">
    <w:name w:val="endnote reference"/>
    <w:basedOn w:val="Absatz-Standardschriftart"/>
    <w:semiHidden/>
    <w:rsid w:val="00F71B24"/>
    <w:rPr>
      <w:vertAlign w:val="superscript"/>
    </w:rPr>
  </w:style>
  <w:style w:type="character" w:styleId="Hyperlink">
    <w:name w:val="Hyperlink"/>
    <w:basedOn w:val="Absatz-Standardschriftart"/>
    <w:uiPriority w:val="99"/>
    <w:rsid w:val="005B03BE"/>
    <w:rPr>
      <w:color w:val="0000FF"/>
      <w:u w:val="single"/>
    </w:rPr>
  </w:style>
  <w:style w:type="paragraph" w:styleId="StandardWeb">
    <w:name w:val="Normal (Web)"/>
    <w:basedOn w:val="Standard"/>
    <w:uiPriority w:val="99"/>
    <w:rsid w:val="005B03BE"/>
    <w:pPr>
      <w:spacing w:before="100" w:beforeAutospacing="1" w:after="100" w:afterAutospacing="1" w:line="240" w:lineRule="auto"/>
    </w:pPr>
    <w:rPr>
      <w:rFonts w:ascii="Times New Roman" w:hAnsi="Times New Roman"/>
      <w:sz w:val="24"/>
      <w:szCs w:val="24"/>
    </w:rPr>
  </w:style>
  <w:style w:type="character" w:styleId="Fett">
    <w:name w:val="Strong"/>
    <w:basedOn w:val="Absatz-Standardschriftart"/>
    <w:uiPriority w:val="22"/>
    <w:qFormat/>
    <w:rsid w:val="005B03BE"/>
    <w:rPr>
      <w:b/>
      <w:bCs/>
    </w:rPr>
  </w:style>
  <w:style w:type="paragraph" w:customStyle="1" w:styleId="bersetzung">
    <w:name w:val="Übersetzung"/>
    <w:basedOn w:val="Standard"/>
    <w:rsid w:val="001933E0"/>
    <w:pPr>
      <w:spacing w:line="360" w:lineRule="auto"/>
      <w:jc w:val="both"/>
    </w:pPr>
    <w:rPr>
      <w:rFonts w:ascii="Arial" w:hAnsi="Arial"/>
      <w:sz w:val="24"/>
      <w:lang w:eastAsia="en-US"/>
    </w:rPr>
  </w:style>
  <w:style w:type="paragraph" w:styleId="Textkrper2">
    <w:name w:val="Body Text 2"/>
    <w:basedOn w:val="Standard"/>
    <w:rsid w:val="001933E0"/>
    <w:pPr>
      <w:spacing w:before="120" w:after="120" w:line="240" w:lineRule="auto"/>
    </w:pPr>
    <w:rPr>
      <w:rFonts w:ascii="Arial" w:hAnsi="Arial"/>
      <w:b/>
      <w:sz w:val="21"/>
      <w:lang w:eastAsia="en-US"/>
    </w:rPr>
  </w:style>
  <w:style w:type="paragraph" w:styleId="Verzeichnis1">
    <w:name w:val="toc 1"/>
    <w:basedOn w:val="Standard"/>
    <w:next w:val="Standard"/>
    <w:autoRedefine/>
    <w:uiPriority w:val="39"/>
    <w:rsid w:val="00E825FB"/>
    <w:pPr>
      <w:tabs>
        <w:tab w:val="left" w:pos="851"/>
        <w:tab w:val="right" w:pos="9063"/>
      </w:tabs>
      <w:spacing w:line="240" w:lineRule="auto"/>
      <w:ind w:left="198"/>
    </w:pPr>
    <w:rPr>
      <w:rFonts w:ascii="Times New Roman" w:hAnsi="Times New Roman"/>
      <w:b/>
      <w:bCs/>
    </w:rPr>
  </w:style>
  <w:style w:type="paragraph" w:styleId="Verzeichnis2">
    <w:name w:val="toc 2"/>
    <w:basedOn w:val="Standard"/>
    <w:next w:val="Standard"/>
    <w:autoRedefine/>
    <w:uiPriority w:val="39"/>
    <w:rsid w:val="00E825FB"/>
    <w:pPr>
      <w:tabs>
        <w:tab w:val="left" w:pos="851"/>
        <w:tab w:val="right" w:pos="9063"/>
      </w:tabs>
      <w:spacing w:line="240" w:lineRule="auto"/>
      <w:ind w:left="200"/>
    </w:pPr>
    <w:rPr>
      <w:rFonts w:ascii="Times New Roman" w:hAnsi="Times New Roman"/>
      <w:i/>
      <w:iCs/>
    </w:rPr>
  </w:style>
  <w:style w:type="paragraph" w:styleId="Verzeichnis3">
    <w:name w:val="toc 3"/>
    <w:basedOn w:val="Standard"/>
    <w:next w:val="Standard"/>
    <w:autoRedefine/>
    <w:semiHidden/>
    <w:rsid w:val="00AE0C52"/>
    <w:pPr>
      <w:ind w:left="400"/>
    </w:pPr>
    <w:rPr>
      <w:rFonts w:ascii="Times New Roman" w:hAnsi="Times New Roman"/>
    </w:rPr>
  </w:style>
  <w:style w:type="paragraph" w:styleId="Verzeichnis4">
    <w:name w:val="toc 4"/>
    <w:basedOn w:val="Standard"/>
    <w:next w:val="Standard"/>
    <w:autoRedefine/>
    <w:semiHidden/>
    <w:rsid w:val="00AE0C52"/>
    <w:pPr>
      <w:ind w:left="600"/>
    </w:pPr>
    <w:rPr>
      <w:rFonts w:ascii="Times New Roman" w:hAnsi="Times New Roman"/>
    </w:rPr>
  </w:style>
  <w:style w:type="paragraph" w:styleId="Verzeichnis5">
    <w:name w:val="toc 5"/>
    <w:basedOn w:val="Standard"/>
    <w:next w:val="Standard"/>
    <w:autoRedefine/>
    <w:semiHidden/>
    <w:rsid w:val="00AE0C52"/>
    <w:pPr>
      <w:ind w:left="800"/>
    </w:pPr>
    <w:rPr>
      <w:rFonts w:ascii="Times New Roman" w:hAnsi="Times New Roman"/>
    </w:rPr>
  </w:style>
  <w:style w:type="paragraph" w:styleId="Verzeichnis6">
    <w:name w:val="toc 6"/>
    <w:basedOn w:val="Standard"/>
    <w:next w:val="Standard"/>
    <w:autoRedefine/>
    <w:semiHidden/>
    <w:rsid w:val="00AE0C52"/>
    <w:pPr>
      <w:ind w:left="1000"/>
    </w:pPr>
    <w:rPr>
      <w:rFonts w:ascii="Times New Roman" w:hAnsi="Times New Roman"/>
    </w:rPr>
  </w:style>
  <w:style w:type="paragraph" w:styleId="Verzeichnis7">
    <w:name w:val="toc 7"/>
    <w:basedOn w:val="Standard"/>
    <w:next w:val="Standard"/>
    <w:autoRedefine/>
    <w:semiHidden/>
    <w:rsid w:val="00AE0C52"/>
    <w:pPr>
      <w:ind w:left="1200"/>
    </w:pPr>
    <w:rPr>
      <w:rFonts w:ascii="Times New Roman" w:hAnsi="Times New Roman"/>
    </w:rPr>
  </w:style>
  <w:style w:type="paragraph" w:styleId="Verzeichnis8">
    <w:name w:val="toc 8"/>
    <w:basedOn w:val="Standard"/>
    <w:next w:val="Standard"/>
    <w:autoRedefine/>
    <w:semiHidden/>
    <w:rsid w:val="00AE0C52"/>
    <w:pPr>
      <w:ind w:left="1400"/>
    </w:pPr>
    <w:rPr>
      <w:rFonts w:ascii="Times New Roman" w:hAnsi="Times New Roman"/>
    </w:rPr>
  </w:style>
  <w:style w:type="paragraph" w:styleId="Verzeichnis9">
    <w:name w:val="toc 9"/>
    <w:basedOn w:val="Standard"/>
    <w:next w:val="Standard"/>
    <w:autoRedefine/>
    <w:semiHidden/>
    <w:rsid w:val="00AE0C52"/>
    <w:pPr>
      <w:ind w:left="1600"/>
    </w:pPr>
    <w:rPr>
      <w:rFonts w:ascii="Times New Roman" w:hAnsi="Times New Roman"/>
    </w:rPr>
  </w:style>
  <w:style w:type="table" w:styleId="Tabellenraster">
    <w:name w:val="Table Grid"/>
    <w:basedOn w:val="NormaleTabelle"/>
    <w:uiPriority w:val="59"/>
    <w:rsid w:val="00B21079"/>
    <w:pPr>
      <w:spacing w:after="120" w:line="240" w:lineRule="exac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semiHidden/>
    <w:rsid w:val="006B4B8B"/>
    <w:rPr>
      <w:rFonts w:ascii="Tahoma" w:hAnsi="Tahoma" w:cs="Tahoma"/>
      <w:sz w:val="16"/>
      <w:szCs w:val="16"/>
    </w:rPr>
  </w:style>
  <w:style w:type="paragraph" w:styleId="Dokumentstruktur">
    <w:name w:val="Document Map"/>
    <w:basedOn w:val="Standard"/>
    <w:semiHidden/>
    <w:rsid w:val="00440122"/>
    <w:pPr>
      <w:shd w:val="clear" w:color="auto" w:fill="000080"/>
    </w:pPr>
    <w:rPr>
      <w:rFonts w:ascii="Tahoma" w:hAnsi="Tahoma" w:cs="Tahoma"/>
    </w:rPr>
  </w:style>
  <w:style w:type="character" w:styleId="Kommentarzeichen">
    <w:name w:val="annotation reference"/>
    <w:uiPriority w:val="99"/>
    <w:semiHidden/>
    <w:unhideWhenUsed/>
    <w:rPr>
      <w:sz w:val="16"/>
      <w:szCs w:val="16"/>
    </w:rPr>
  </w:style>
  <w:style w:type="paragraph" w:styleId="Kommentartext">
    <w:name w:val="annotation text"/>
    <w:link w:val="KommentartextZchn"/>
    <w:uiPriority w:val="99"/>
    <w:semiHidden/>
    <w:unhideWhenUsed/>
  </w:style>
  <w:style w:type="paragraph" w:styleId="Kommentarthema">
    <w:name w:val="annotation subject"/>
    <w:basedOn w:val="Kommentartext"/>
    <w:next w:val="Kommentartext"/>
    <w:semiHidden/>
    <w:rsid w:val="005D313F"/>
    <w:rPr>
      <w:b/>
      <w:bCs/>
    </w:rPr>
  </w:style>
  <w:style w:type="paragraph" w:styleId="Listenabsatz">
    <w:name w:val="List Paragraph"/>
    <w:basedOn w:val="Standard"/>
    <w:uiPriority w:val="34"/>
    <w:qFormat/>
    <w:rsid w:val="00E90760"/>
    <w:pPr>
      <w:ind w:left="720"/>
      <w:contextualSpacing/>
    </w:pPr>
  </w:style>
  <w:style w:type="paragraph" w:styleId="Textkrper-Zeileneinzug">
    <w:name w:val="Body Text Indent"/>
    <w:basedOn w:val="Standard"/>
    <w:link w:val="Textkrper-ZeileneinzugZchn"/>
    <w:uiPriority w:val="99"/>
    <w:semiHidden/>
    <w:unhideWhenUsed/>
    <w:rsid w:val="00A14E80"/>
    <w:pPr>
      <w:spacing w:after="120"/>
      <w:ind w:left="283"/>
    </w:pPr>
  </w:style>
  <w:style w:type="character" w:customStyle="1" w:styleId="Textkrper-ZeileneinzugZchn">
    <w:name w:val="Textkörper-Zeileneinzug Zchn"/>
    <w:basedOn w:val="Absatz-Standardschriftart"/>
    <w:link w:val="Textkrper-Zeileneinzug"/>
    <w:uiPriority w:val="99"/>
    <w:semiHidden/>
    <w:rsid w:val="00A14E80"/>
    <w:rPr>
      <w:rFonts w:ascii="Palatino Linotype" w:hAnsi="Palatino Linotype"/>
      <w:lang w:eastAsia="de-DE"/>
    </w:rPr>
  </w:style>
  <w:style w:type="paragraph" w:styleId="KeinLeerraum">
    <w:name w:val="No Spacing"/>
    <w:basedOn w:val="Standard"/>
    <w:uiPriority w:val="1"/>
    <w:qFormat/>
    <w:rsid w:val="00A14E80"/>
    <w:pPr>
      <w:spacing w:line="240" w:lineRule="auto"/>
    </w:pPr>
    <w:rPr>
      <w:rFonts w:ascii="Cambria" w:hAnsi="Cambria"/>
      <w:sz w:val="22"/>
      <w:szCs w:val="22"/>
      <w:lang w:eastAsia="en-US" w:bidi="en-US"/>
    </w:rPr>
  </w:style>
  <w:style w:type="paragraph" w:customStyle="1" w:styleId="Adresse">
    <w:name w:val="Adresse"/>
    <w:basedOn w:val="Standard"/>
    <w:rsid w:val="00A14E80"/>
    <w:pPr>
      <w:spacing w:line="240" w:lineRule="auto"/>
      <w:jc w:val="both"/>
    </w:pPr>
    <w:rPr>
      <w:rFonts w:ascii="Arial" w:hAnsi="Arial" w:cs="Arial"/>
      <w:szCs w:val="24"/>
    </w:rPr>
  </w:style>
  <w:style w:type="paragraph" w:styleId="Datum">
    <w:name w:val="Date"/>
    <w:basedOn w:val="Standard"/>
    <w:next w:val="Standard"/>
    <w:link w:val="DatumZchn"/>
    <w:rsid w:val="00A14E80"/>
    <w:pPr>
      <w:spacing w:line="240" w:lineRule="auto"/>
      <w:jc w:val="both"/>
    </w:pPr>
    <w:rPr>
      <w:rFonts w:ascii="Arial" w:hAnsi="Arial"/>
      <w:szCs w:val="24"/>
    </w:rPr>
  </w:style>
  <w:style w:type="character" w:customStyle="1" w:styleId="DatumZchn">
    <w:name w:val="Datum Zchn"/>
    <w:basedOn w:val="Absatz-Standardschriftart"/>
    <w:link w:val="Datum"/>
    <w:rsid w:val="00A14E80"/>
    <w:rPr>
      <w:rFonts w:ascii="Arial" w:hAnsi="Arial"/>
      <w:szCs w:val="24"/>
      <w:lang w:eastAsia="de-DE"/>
    </w:rPr>
  </w:style>
  <w:style w:type="paragraph" w:customStyle="1" w:styleId="Gruss">
    <w:name w:val="Gruss"/>
    <w:basedOn w:val="Adresse"/>
    <w:rsid w:val="00A14E80"/>
  </w:style>
  <w:style w:type="paragraph" w:customStyle="1" w:styleId="Firma">
    <w:name w:val="Firma"/>
    <w:basedOn w:val="Adresse"/>
    <w:rsid w:val="00A14E80"/>
    <w:rPr>
      <w:b/>
    </w:rPr>
  </w:style>
  <w:style w:type="paragraph" w:customStyle="1" w:styleId="Speicherort">
    <w:name w:val="Speicherort"/>
    <w:basedOn w:val="Standard"/>
    <w:rsid w:val="00A14E80"/>
    <w:pPr>
      <w:spacing w:line="240" w:lineRule="auto"/>
      <w:jc w:val="both"/>
    </w:pPr>
    <w:rPr>
      <w:rFonts w:ascii="Arial" w:hAnsi="Arial" w:cs="Arial"/>
      <w:sz w:val="12"/>
      <w:szCs w:val="24"/>
    </w:rPr>
  </w:style>
  <w:style w:type="paragraph" w:customStyle="1" w:styleId="Text">
    <w:name w:val="Text"/>
    <w:basedOn w:val="Standard"/>
    <w:rsid w:val="00A14E80"/>
    <w:pPr>
      <w:spacing w:line="240" w:lineRule="auto"/>
      <w:jc w:val="both"/>
    </w:pPr>
    <w:rPr>
      <w:rFonts w:ascii="Arial" w:hAnsi="Arial" w:cs="Arial"/>
      <w:szCs w:val="24"/>
    </w:rPr>
  </w:style>
  <w:style w:type="paragraph" w:customStyle="1" w:styleId="Unterschrift1">
    <w:name w:val="Unterschrift1"/>
    <w:basedOn w:val="Standard"/>
    <w:rsid w:val="00A14E80"/>
    <w:pPr>
      <w:spacing w:line="240" w:lineRule="auto"/>
      <w:jc w:val="both"/>
    </w:pPr>
    <w:rPr>
      <w:rFonts w:ascii="Arial" w:hAnsi="Arial" w:cs="Arial"/>
      <w:sz w:val="16"/>
      <w:szCs w:val="24"/>
    </w:rPr>
  </w:style>
  <w:style w:type="paragraph" w:customStyle="1" w:styleId="Betreff">
    <w:name w:val="Betreff"/>
    <w:basedOn w:val="Unterschrift1"/>
    <w:rsid w:val="00A14E80"/>
    <w:rPr>
      <w:b/>
      <w:sz w:val="24"/>
    </w:rPr>
  </w:style>
  <w:style w:type="paragraph" w:customStyle="1" w:styleId="Default">
    <w:name w:val="Default"/>
    <w:rsid w:val="00E13DDC"/>
    <w:pPr>
      <w:autoSpaceDE w:val="0"/>
      <w:autoSpaceDN w:val="0"/>
      <w:adjustRightInd w:val="0"/>
    </w:pPr>
    <w:rPr>
      <w:rFonts w:ascii="Calibri" w:hAnsi="Calibri" w:cs="Calibri"/>
      <w:color w:val="000000"/>
      <w:sz w:val="24"/>
      <w:szCs w:val="24"/>
    </w:rPr>
  </w:style>
  <w:style w:type="character" w:customStyle="1" w:styleId="FunotentextZchn">
    <w:name w:val="Fußnotentext Zchn"/>
    <w:link w:val="Funotentext"/>
    <w:rsid w:val="005269AC"/>
    <w:rPr>
      <w:rFonts w:ascii="Arial" w:hAnsi="Arial"/>
      <w:sz w:val="14"/>
      <w:lang w:eastAsia="de-DE"/>
    </w:rPr>
  </w:style>
  <w:style w:type="paragraph" w:styleId="Untertitel">
    <w:name w:val="Subtitle"/>
    <w:basedOn w:val="Standard"/>
    <w:next w:val="Standard"/>
    <w:link w:val="UntertitelZchn"/>
    <w:uiPriority w:val="11"/>
    <w:qFormat/>
    <w:rsid w:val="005269AC"/>
    <w:pPr>
      <w:spacing w:after="200" w:line="276" w:lineRule="auto"/>
    </w:pPr>
    <w:rPr>
      <w:rFonts w:ascii="Cambria" w:hAnsi="Cambria"/>
      <w:i/>
      <w:iCs/>
      <w:smallCaps/>
      <w:spacing w:val="10"/>
      <w:sz w:val="28"/>
      <w:szCs w:val="28"/>
      <w:lang w:eastAsia="en-US"/>
    </w:rPr>
  </w:style>
  <w:style w:type="character" w:customStyle="1" w:styleId="UntertitelZchn">
    <w:name w:val="Untertitel Zchn"/>
    <w:basedOn w:val="Absatz-Standardschriftart"/>
    <w:link w:val="Untertitel"/>
    <w:uiPriority w:val="11"/>
    <w:rsid w:val="005269AC"/>
    <w:rPr>
      <w:rFonts w:ascii="Cambria" w:hAnsi="Cambria"/>
      <w:i/>
      <w:iCs/>
      <w:smallCaps/>
      <w:spacing w:val="10"/>
      <w:sz w:val="28"/>
      <w:szCs w:val="28"/>
      <w:lang w:val="it-CH" w:eastAsia="en-US"/>
    </w:rPr>
  </w:style>
  <w:style w:type="character" w:customStyle="1" w:styleId="berschrift2Zchn">
    <w:name w:val="Überschrift 2 Zchn"/>
    <w:basedOn w:val="Absatz-Standardschriftart"/>
    <w:link w:val="berschrift2"/>
    <w:uiPriority w:val="9"/>
    <w:rsid w:val="00A8287D"/>
    <w:rPr>
      <w:rFonts w:ascii="Arial" w:hAnsi="Arial" w:cs="Arial"/>
      <w:iCs/>
      <w:sz w:val="28"/>
      <w:szCs w:val="28"/>
      <w:lang w:eastAsia="de-DE"/>
    </w:rPr>
  </w:style>
  <w:style w:type="paragraph" w:styleId="berarbeitung">
    <w:name w:val="Revision"/>
    <w:hidden/>
    <w:uiPriority w:val="99"/>
    <w:semiHidden/>
    <w:rsid w:val="00F02B7C"/>
    <w:rPr>
      <w:rFonts w:ascii="Palatino Linotype" w:hAnsi="Palatino Linotype"/>
      <w:lang w:eastAsia="de-DE"/>
    </w:rPr>
  </w:style>
  <w:style w:type="paragraph" w:styleId="Inhaltsverzeichnisberschrift">
    <w:name w:val="TOC Heading"/>
    <w:basedOn w:val="berschrift1"/>
    <w:next w:val="Standard"/>
    <w:uiPriority w:val="39"/>
    <w:semiHidden/>
    <w:unhideWhenUsed/>
    <w:qFormat/>
    <w:rsid w:val="00251C94"/>
    <w:pPr>
      <w:keepLines/>
      <w:spacing w:before="240" w:line="260" w:lineRule="atLeast"/>
      <w:outlineLvl w:val="9"/>
    </w:pPr>
    <w:rPr>
      <w:rFonts w:asciiTheme="majorHAnsi" w:eastAsiaTheme="majorEastAsia" w:hAnsiTheme="majorHAnsi" w:cstheme="majorBidi"/>
      <w:bCs w:val="0"/>
      <w:color w:val="365F91" w:themeColor="accent1" w:themeShade="BF"/>
    </w:rPr>
  </w:style>
  <w:style w:type="character" w:customStyle="1" w:styleId="KommentartextZchn">
    <w:name w:val="Kommentartext Zchn"/>
    <w:link w:val="Kommentartext"/>
    <w:uiPriority w:val="99"/>
    <w:semiHidden/>
    <w:rsid w:val="00251C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3259888">
      <w:bodyDiv w:val="1"/>
      <w:marLeft w:val="0"/>
      <w:marRight w:val="0"/>
      <w:marTop w:val="0"/>
      <w:marBottom w:val="0"/>
      <w:divBdr>
        <w:top w:val="none" w:sz="0" w:space="0" w:color="auto"/>
        <w:left w:val="none" w:sz="0" w:space="0" w:color="auto"/>
        <w:bottom w:val="none" w:sz="0" w:space="0" w:color="auto"/>
        <w:right w:val="none" w:sz="0" w:space="0" w:color="auto"/>
      </w:divBdr>
      <w:divsChild>
        <w:div w:id="1677733392">
          <w:marLeft w:val="0"/>
          <w:marRight w:val="0"/>
          <w:marTop w:val="0"/>
          <w:marBottom w:val="0"/>
          <w:divBdr>
            <w:top w:val="none" w:sz="0" w:space="0" w:color="auto"/>
            <w:left w:val="none" w:sz="0" w:space="0" w:color="auto"/>
            <w:bottom w:val="none" w:sz="0" w:space="0" w:color="auto"/>
            <w:right w:val="none" w:sz="0" w:space="0" w:color="auto"/>
          </w:divBdr>
          <w:divsChild>
            <w:div w:id="1819835106">
              <w:marLeft w:val="0"/>
              <w:marRight w:val="0"/>
              <w:marTop w:val="0"/>
              <w:marBottom w:val="0"/>
              <w:divBdr>
                <w:top w:val="none" w:sz="0" w:space="0" w:color="auto"/>
                <w:left w:val="none" w:sz="0" w:space="0" w:color="auto"/>
                <w:bottom w:val="none" w:sz="0" w:space="0" w:color="auto"/>
                <w:right w:val="none" w:sz="0" w:space="0" w:color="auto"/>
              </w:divBdr>
              <w:divsChild>
                <w:div w:id="1517041243">
                  <w:marLeft w:val="0"/>
                  <w:marRight w:val="0"/>
                  <w:marTop w:val="0"/>
                  <w:marBottom w:val="0"/>
                  <w:divBdr>
                    <w:top w:val="none" w:sz="0" w:space="0" w:color="auto"/>
                    <w:left w:val="none" w:sz="0" w:space="0" w:color="auto"/>
                    <w:bottom w:val="none" w:sz="0" w:space="0" w:color="auto"/>
                    <w:right w:val="none" w:sz="0" w:space="0" w:color="auto"/>
                  </w:divBdr>
                </w:div>
                <w:div w:id="1638146335">
                  <w:marLeft w:val="0"/>
                  <w:marRight w:val="0"/>
                  <w:marTop w:val="0"/>
                  <w:marBottom w:val="0"/>
                  <w:divBdr>
                    <w:top w:val="none" w:sz="0" w:space="0" w:color="auto"/>
                    <w:left w:val="none" w:sz="0" w:space="0" w:color="auto"/>
                    <w:bottom w:val="none" w:sz="0" w:space="0" w:color="auto"/>
                    <w:right w:val="none" w:sz="0" w:space="0" w:color="auto"/>
                  </w:divBdr>
                </w:div>
                <w:div w:id="1720663911">
                  <w:marLeft w:val="0"/>
                  <w:marRight w:val="0"/>
                  <w:marTop w:val="0"/>
                  <w:marBottom w:val="0"/>
                  <w:divBdr>
                    <w:top w:val="none" w:sz="0" w:space="0" w:color="auto"/>
                    <w:left w:val="none" w:sz="0" w:space="0" w:color="auto"/>
                    <w:bottom w:val="none" w:sz="0" w:space="0" w:color="auto"/>
                    <w:right w:val="none" w:sz="0" w:space="0" w:color="auto"/>
                  </w:divBdr>
                  <w:divsChild>
                    <w:div w:id="775635058">
                      <w:marLeft w:val="0"/>
                      <w:marRight w:val="0"/>
                      <w:marTop w:val="0"/>
                      <w:marBottom w:val="0"/>
                      <w:divBdr>
                        <w:top w:val="none" w:sz="0" w:space="0" w:color="auto"/>
                        <w:left w:val="none" w:sz="0" w:space="0" w:color="auto"/>
                        <w:bottom w:val="none" w:sz="0" w:space="0" w:color="auto"/>
                        <w:right w:val="none" w:sz="0" w:space="0" w:color="auto"/>
                      </w:divBdr>
                      <w:divsChild>
                        <w:div w:id="570195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1344047">
                  <w:marLeft w:val="0"/>
                  <w:marRight w:val="0"/>
                  <w:marTop w:val="0"/>
                  <w:marBottom w:val="0"/>
                  <w:divBdr>
                    <w:top w:val="none" w:sz="0" w:space="0" w:color="auto"/>
                    <w:left w:val="none" w:sz="0" w:space="0" w:color="auto"/>
                    <w:bottom w:val="none" w:sz="0" w:space="0" w:color="auto"/>
                    <w:right w:val="none" w:sz="0" w:space="0" w:color="auto"/>
                  </w:divBdr>
                  <w:divsChild>
                    <w:div w:id="1417359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0182905">
      <w:bodyDiv w:val="1"/>
      <w:marLeft w:val="0"/>
      <w:marRight w:val="0"/>
      <w:marTop w:val="0"/>
      <w:marBottom w:val="0"/>
      <w:divBdr>
        <w:top w:val="none" w:sz="0" w:space="0" w:color="auto"/>
        <w:left w:val="none" w:sz="0" w:space="0" w:color="auto"/>
        <w:bottom w:val="none" w:sz="0" w:space="0" w:color="auto"/>
        <w:right w:val="none" w:sz="0" w:space="0" w:color="auto"/>
      </w:divBdr>
      <w:divsChild>
        <w:div w:id="1679229634">
          <w:marLeft w:val="0"/>
          <w:marRight w:val="0"/>
          <w:marTop w:val="0"/>
          <w:marBottom w:val="0"/>
          <w:divBdr>
            <w:top w:val="none" w:sz="0" w:space="0" w:color="auto"/>
            <w:left w:val="none" w:sz="0" w:space="0" w:color="auto"/>
            <w:bottom w:val="none" w:sz="0" w:space="0" w:color="auto"/>
            <w:right w:val="none" w:sz="0" w:space="0" w:color="auto"/>
          </w:divBdr>
          <w:divsChild>
            <w:div w:id="503782625">
              <w:marLeft w:val="0"/>
              <w:marRight w:val="0"/>
              <w:marTop w:val="0"/>
              <w:marBottom w:val="0"/>
              <w:divBdr>
                <w:top w:val="none" w:sz="0" w:space="0" w:color="auto"/>
                <w:left w:val="none" w:sz="0" w:space="0" w:color="auto"/>
                <w:bottom w:val="none" w:sz="0" w:space="0" w:color="auto"/>
                <w:right w:val="none" w:sz="0" w:space="0" w:color="auto"/>
              </w:divBdr>
              <w:divsChild>
                <w:div w:id="711346736">
                  <w:marLeft w:val="0"/>
                  <w:marRight w:val="0"/>
                  <w:marTop w:val="0"/>
                  <w:marBottom w:val="0"/>
                  <w:divBdr>
                    <w:top w:val="none" w:sz="0" w:space="0" w:color="auto"/>
                    <w:left w:val="none" w:sz="0" w:space="0" w:color="auto"/>
                    <w:bottom w:val="none" w:sz="0" w:space="0" w:color="auto"/>
                    <w:right w:val="none" w:sz="0" w:space="0" w:color="auto"/>
                  </w:divBdr>
                </w:div>
                <w:div w:id="1719625099">
                  <w:marLeft w:val="0"/>
                  <w:marRight w:val="0"/>
                  <w:marTop w:val="0"/>
                  <w:marBottom w:val="0"/>
                  <w:divBdr>
                    <w:top w:val="none" w:sz="0" w:space="0" w:color="auto"/>
                    <w:left w:val="none" w:sz="0" w:space="0" w:color="auto"/>
                    <w:bottom w:val="none" w:sz="0" w:space="0" w:color="auto"/>
                    <w:right w:val="none" w:sz="0" w:space="0" w:color="auto"/>
                  </w:divBdr>
                  <w:divsChild>
                    <w:div w:id="262493713">
                      <w:marLeft w:val="0"/>
                      <w:marRight w:val="0"/>
                      <w:marTop w:val="0"/>
                      <w:marBottom w:val="0"/>
                      <w:divBdr>
                        <w:top w:val="none" w:sz="0" w:space="0" w:color="auto"/>
                        <w:left w:val="none" w:sz="0" w:space="0" w:color="auto"/>
                        <w:bottom w:val="none" w:sz="0" w:space="0" w:color="auto"/>
                        <w:right w:val="none" w:sz="0" w:space="0" w:color="auto"/>
                      </w:divBdr>
                      <w:divsChild>
                        <w:div w:id="29229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8039935">
                  <w:marLeft w:val="0"/>
                  <w:marRight w:val="0"/>
                  <w:marTop w:val="0"/>
                  <w:marBottom w:val="0"/>
                  <w:divBdr>
                    <w:top w:val="none" w:sz="0" w:space="0" w:color="auto"/>
                    <w:left w:val="none" w:sz="0" w:space="0" w:color="auto"/>
                    <w:bottom w:val="none" w:sz="0" w:space="0" w:color="auto"/>
                    <w:right w:val="none" w:sz="0" w:space="0" w:color="auto"/>
                  </w:divBdr>
                  <w:divsChild>
                    <w:div w:id="970593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F05A4D-06C4-4EC4-9CA8-709E20D997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8490</Words>
  <Characters>53493</Characters>
  <Application>Microsoft Office Word</Application>
  <DocSecurity>0</DocSecurity>
  <Lines>445</Lines>
  <Paragraphs>123</Paragraphs>
  <ScaleCrop>false</ScaleCrop>
  <HeadingPairs>
    <vt:vector size="2" baseType="variant">
      <vt:variant>
        <vt:lpstr>Titel</vt:lpstr>
      </vt:variant>
      <vt:variant>
        <vt:i4>1</vt:i4>
      </vt:variant>
    </vt:vector>
  </HeadingPairs>
  <TitlesOfParts>
    <vt:vector size="1" baseType="lpstr">
      <vt:lpstr>Leitfaden zur Qualitätssicherung in der Wirtschaftsprüfung</vt:lpstr>
    </vt:vector>
  </TitlesOfParts>
  <Company/>
  <LinksUpToDate>false</LinksUpToDate>
  <CharactersWithSpaces>61860</CharactersWithSpaces>
  <SharedDoc>false</SharedDoc>
  <HLinks>
    <vt:vector size="36" baseType="variant">
      <vt:variant>
        <vt:i4>1638450</vt:i4>
      </vt:variant>
      <vt:variant>
        <vt:i4>32</vt:i4>
      </vt:variant>
      <vt:variant>
        <vt:i4>0</vt:i4>
      </vt:variant>
      <vt:variant>
        <vt:i4>5</vt:i4>
      </vt:variant>
      <vt:variant>
        <vt:lpwstr/>
      </vt:variant>
      <vt:variant>
        <vt:lpwstr>_Toc194306729</vt:lpwstr>
      </vt:variant>
      <vt:variant>
        <vt:i4>1638450</vt:i4>
      </vt:variant>
      <vt:variant>
        <vt:i4>26</vt:i4>
      </vt:variant>
      <vt:variant>
        <vt:i4>0</vt:i4>
      </vt:variant>
      <vt:variant>
        <vt:i4>5</vt:i4>
      </vt:variant>
      <vt:variant>
        <vt:lpwstr/>
      </vt:variant>
      <vt:variant>
        <vt:lpwstr>_Toc194306728</vt:lpwstr>
      </vt:variant>
      <vt:variant>
        <vt:i4>1638450</vt:i4>
      </vt:variant>
      <vt:variant>
        <vt:i4>20</vt:i4>
      </vt:variant>
      <vt:variant>
        <vt:i4>0</vt:i4>
      </vt:variant>
      <vt:variant>
        <vt:i4>5</vt:i4>
      </vt:variant>
      <vt:variant>
        <vt:lpwstr/>
      </vt:variant>
      <vt:variant>
        <vt:lpwstr>_Toc194306727</vt:lpwstr>
      </vt:variant>
      <vt:variant>
        <vt:i4>1638450</vt:i4>
      </vt:variant>
      <vt:variant>
        <vt:i4>14</vt:i4>
      </vt:variant>
      <vt:variant>
        <vt:i4>0</vt:i4>
      </vt:variant>
      <vt:variant>
        <vt:i4>5</vt:i4>
      </vt:variant>
      <vt:variant>
        <vt:lpwstr/>
      </vt:variant>
      <vt:variant>
        <vt:lpwstr>_Toc194306726</vt:lpwstr>
      </vt:variant>
      <vt:variant>
        <vt:i4>1638450</vt:i4>
      </vt:variant>
      <vt:variant>
        <vt:i4>8</vt:i4>
      </vt:variant>
      <vt:variant>
        <vt:i4>0</vt:i4>
      </vt:variant>
      <vt:variant>
        <vt:i4>5</vt:i4>
      </vt:variant>
      <vt:variant>
        <vt:lpwstr/>
      </vt:variant>
      <vt:variant>
        <vt:lpwstr>_Toc194306725</vt:lpwstr>
      </vt:variant>
      <vt:variant>
        <vt:i4>1638450</vt:i4>
      </vt:variant>
      <vt:variant>
        <vt:i4>2</vt:i4>
      </vt:variant>
      <vt:variant>
        <vt:i4>0</vt:i4>
      </vt:variant>
      <vt:variant>
        <vt:i4>5</vt:i4>
      </vt:variant>
      <vt:variant>
        <vt:lpwstr/>
      </vt:variant>
      <vt:variant>
        <vt:lpwstr>_Toc194306724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Leitfaden zur Qualitätssicherung in der Wirtschaftsprüfung</dc:title>
  <dc:creator>Daniela Salkim</dc:creator>
  <cp:lastModifiedBy>Jacqueline Jones</cp:lastModifiedBy>
  <cp:revision>12</cp:revision>
  <cp:lastPrinted>2008-03-26T15:35:00Z</cp:lastPrinted>
  <dcterms:created xsi:type="dcterms:W3CDTF">2026-06-18T06:52:00Z</dcterms:created>
  <dcterms:modified xsi:type="dcterms:W3CDTF">2026-08-03T14:20:00Z</dcterms:modified>
</cp:coreProperties>
</file>