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82CA" w14:textId="4D54C8CB" w:rsidR="00ED414C" w:rsidRPr="00C45157" w:rsidRDefault="00ED414C" w:rsidP="008A6A5E">
      <w:pPr>
        <w:rPr>
          <w:rFonts w:ascii="KievitPro-Regular" w:hAnsi="KievitPro-Regular"/>
        </w:rPr>
      </w:pPr>
    </w:p>
    <w:p w14:paraId="48A7E1BF" w14:textId="449A8F91" w:rsidR="008A6A5E" w:rsidRPr="00C45157" w:rsidRDefault="008A6A5E" w:rsidP="008A6A5E">
      <w:pPr>
        <w:rPr>
          <w:rFonts w:ascii="KievitPro-Regular" w:hAnsi="KievitPro-Regular"/>
        </w:rPr>
      </w:pPr>
    </w:p>
    <w:p w14:paraId="788293CD" w14:textId="294E222D" w:rsidR="008A6A5E" w:rsidRPr="00C45157" w:rsidRDefault="008A6A5E" w:rsidP="008A6A5E">
      <w:pPr>
        <w:rPr>
          <w:rFonts w:ascii="KievitPro-Regular" w:hAnsi="KievitPro-Regular"/>
        </w:rPr>
      </w:pPr>
    </w:p>
    <w:p w14:paraId="3581D9C3" w14:textId="114E5470" w:rsidR="008A6A5E" w:rsidRPr="00C45157" w:rsidRDefault="008A6A5E" w:rsidP="008A6A5E">
      <w:pPr>
        <w:rPr>
          <w:rFonts w:ascii="KievitPro-Regular" w:hAnsi="KievitPro-Regular"/>
        </w:rPr>
      </w:pPr>
    </w:p>
    <w:p w14:paraId="050A15BF" w14:textId="0FF846E5" w:rsidR="008A6A5E" w:rsidRPr="00C45157" w:rsidRDefault="008A6A5E" w:rsidP="008A6A5E">
      <w:pPr>
        <w:rPr>
          <w:rFonts w:ascii="KievitPro-Regular" w:hAnsi="KievitPro-Regular"/>
        </w:rPr>
      </w:pPr>
    </w:p>
    <w:p w14:paraId="42C48121" w14:textId="77777777" w:rsidR="008A6A5E" w:rsidRPr="00C45157" w:rsidRDefault="008A6A5E" w:rsidP="008A6A5E">
      <w:pPr>
        <w:rPr>
          <w:rFonts w:ascii="KievitPro-Regular" w:hAnsi="KievitPro-Regular"/>
        </w:rPr>
      </w:pPr>
    </w:p>
    <w:p w14:paraId="0497DFFA" w14:textId="289DD1F2" w:rsidR="008A6A5E" w:rsidRPr="00C45157" w:rsidRDefault="008A6A5E" w:rsidP="008A6A5E">
      <w:pPr>
        <w:rPr>
          <w:rFonts w:ascii="KievitPro-Regular" w:hAnsi="KievitPro-Regular"/>
        </w:rPr>
      </w:pPr>
    </w:p>
    <w:p w14:paraId="1BA59D42" w14:textId="61C22241" w:rsidR="008A6A5E" w:rsidRPr="00C45157" w:rsidRDefault="008A6A5E" w:rsidP="008A6A5E">
      <w:pPr>
        <w:spacing w:after="480"/>
        <w:jc w:val="center"/>
        <w:rPr>
          <w:rFonts w:ascii="KievitPro-Regular" w:hAnsi="KievitPro-Regular" w:cs="Arial"/>
          <w:b/>
          <w:sz w:val="56"/>
          <w:szCs w:val="56"/>
        </w:rPr>
      </w:pPr>
      <w:r w:rsidRPr="00C45157">
        <w:rPr>
          <w:rFonts w:ascii="KievitPro-Regular" w:hAnsi="KievitPro-Regular" w:cs="Arial"/>
          <w:b/>
          <w:sz w:val="56"/>
          <w:szCs w:val="56"/>
        </w:rPr>
        <w:t>Instructions</w:t>
      </w:r>
    </w:p>
    <w:p w14:paraId="45E60D89" w14:textId="5C77544D" w:rsidR="008A6A5E" w:rsidRPr="00C45157" w:rsidRDefault="008A6A5E" w:rsidP="008A6A5E">
      <w:pPr>
        <w:spacing w:after="480"/>
        <w:jc w:val="center"/>
        <w:rPr>
          <w:rFonts w:ascii="KievitPro-Regular" w:hAnsi="KievitPro-Regular" w:cs="Arial"/>
          <w:b/>
          <w:sz w:val="56"/>
          <w:szCs w:val="56"/>
        </w:rPr>
      </w:pPr>
      <w:r w:rsidRPr="00C45157">
        <w:rPr>
          <w:rFonts w:ascii="KievitPro-Regular" w:hAnsi="KievitPro-Regular" w:cs="Arial"/>
          <w:b/>
          <w:sz w:val="56"/>
          <w:szCs w:val="56"/>
        </w:rPr>
        <w:t xml:space="preserve">sur </w:t>
      </w:r>
      <w:r w:rsidR="00474CAF" w:rsidRPr="00C45157">
        <w:rPr>
          <w:rFonts w:ascii="KievitPro-Regular" w:hAnsi="KievitPro-Regular" w:cs="Arial"/>
          <w:b/>
          <w:sz w:val="56"/>
          <w:szCs w:val="56"/>
        </w:rPr>
        <w:t xml:space="preserve">la gestion de la </w:t>
      </w:r>
      <w:r w:rsidR="00F94B17" w:rsidRPr="00C45157">
        <w:rPr>
          <w:rFonts w:ascii="KievitPro-Regular" w:hAnsi="KievitPro-Regular" w:cs="Arial"/>
          <w:b/>
          <w:sz w:val="56"/>
          <w:szCs w:val="56"/>
        </w:rPr>
        <w:t xml:space="preserve">qualité </w:t>
      </w:r>
    </w:p>
    <w:p w14:paraId="25A21943" w14:textId="288B73D1" w:rsidR="008A6A5E" w:rsidRPr="00C45157" w:rsidRDefault="00F94B17" w:rsidP="008A6A5E">
      <w:pPr>
        <w:spacing w:after="480"/>
        <w:jc w:val="center"/>
        <w:rPr>
          <w:rFonts w:ascii="KievitPro-Regular" w:hAnsi="KievitPro-Regular" w:cs="Arial"/>
          <w:b/>
          <w:sz w:val="56"/>
          <w:szCs w:val="56"/>
        </w:rPr>
      </w:pPr>
      <w:r w:rsidRPr="00C45157">
        <w:rPr>
          <w:rFonts w:ascii="KievitPro-Regular" w:hAnsi="KievitPro-Regular" w:cs="Arial"/>
          <w:b/>
          <w:sz w:val="56"/>
          <w:szCs w:val="56"/>
        </w:rPr>
        <w:t xml:space="preserve">dans les </w:t>
      </w:r>
      <w:r w:rsidR="008A6A5E" w:rsidRPr="00C45157">
        <w:rPr>
          <w:rFonts w:ascii="KievitPro-Regular" w:hAnsi="KievitPro-Regular" w:cs="Arial"/>
          <w:b/>
          <w:sz w:val="56"/>
          <w:szCs w:val="56"/>
        </w:rPr>
        <w:t>petites et moyennes</w:t>
      </w:r>
    </w:p>
    <w:p w14:paraId="56AFE6AC" w14:textId="77777777" w:rsidR="008A6A5E" w:rsidRPr="00C45157" w:rsidRDefault="008A6A5E" w:rsidP="008A6A5E">
      <w:pPr>
        <w:spacing w:after="480"/>
        <w:jc w:val="center"/>
        <w:rPr>
          <w:rFonts w:ascii="KievitPro-Regular" w:hAnsi="KievitPro-Regular" w:cs="Arial"/>
          <w:b/>
          <w:sz w:val="56"/>
          <w:szCs w:val="56"/>
        </w:rPr>
      </w:pPr>
      <w:r w:rsidRPr="00C45157">
        <w:rPr>
          <w:rFonts w:ascii="KievitPro-Regular" w:hAnsi="KievitPro-Regular" w:cs="Arial"/>
          <w:b/>
          <w:sz w:val="56"/>
          <w:szCs w:val="56"/>
        </w:rPr>
        <w:t>entreprises de révision</w:t>
      </w:r>
    </w:p>
    <w:p w14:paraId="55650CF2" w14:textId="5F99D2A9" w:rsidR="00474CAF" w:rsidRPr="00C45157" w:rsidRDefault="00474CAF" w:rsidP="008A6A5E">
      <w:pPr>
        <w:spacing w:after="480"/>
        <w:jc w:val="center"/>
        <w:rPr>
          <w:rFonts w:ascii="KievitPro-Regular" w:hAnsi="KievitPro-Regular" w:cs="Arial"/>
          <w:b/>
          <w:sz w:val="56"/>
          <w:szCs w:val="56"/>
        </w:rPr>
      </w:pPr>
      <w:r w:rsidRPr="00C45157">
        <w:rPr>
          <w:rFonts w:ascii="KievitPro-Regular" w:hAnsi="KievitPro-Regular" w:cs="Arial"/>
          <w:b/>
          <w:sz w:val="56"/>
          <w:szCs w:val="56"/>
        </w:rPr>
        <w:t>(IGQ)</w:t>
      </w:r>
    </w:p>
    <w:p w14:paraId="2BC0D8E7" w14:textId="76E8F749" w:rsidR="008547EE" w:rsidRPr="00C45157" w:rsidRDefault="008547EE" w:rsidP="008A6A5E">
      <w:pPr>
        <w:spacing w:after="480"/>
        <w:jc w:val="center"/>
        <w:rPr>
          <w:rFonts w:ascii="KievitPro-Regular" w:hAnsi="KievitPro-Regular" w:cs="Arial"/>
          <w:b/>
          <w:sz w:val="40"/>
          <w:szCs w:val="40"/>
        </w:rPr>
      </w:pPr>
      <w:r w:rsidRPr="00C45157">
        <w:rPr>
          <w:rFonts w:ascii="KievitPro-Regular" w:hAnsi="KievitPro-Regular" w:cs="Arial"/>
          <w:b/>
          <w:sz w:val="40"/>
          <w:szCs w:val="40"/>
        </w:rPr>
        <w:t>(</w:t>
      </w:r>
      <w:r w:rsidR="00C61EAC">
        <w:rPr>
          <w:rFonts w:ascii="KievitPro-Regular" w:hAnsi="KievitPro-Regular" w:cs="Arial"/>
          <w:b/>
          <w:sz w:val="40"/>
          <w:szCs w:val="40"/>
        </w:rPr>
        <w:t>la version</w:t>
      </w:r>
      <w:r w:rsidR="00C61EAC" w:rsidRPr="00C45157">
        <w:rPr>
          <w:rFonts w:ascii="KievitPro-Regular" w:hAnsi="KievitPro-Regular" w:cs="Arial"/>
          <w:b/>
          <w:sz w:val="40"/>
          <w:szCs w:val="40"/>
        </w:rPr>
        <w:t xml:space="preserve"> </w:t>
      </w:r>
      <w:r w:rsidRPr="00C45157">
        <w:rPr>
          <w:rFonts w:ascii="KievitPro-Regular" w:hAnsi="KievitPro-Regular" w:cs="Arial"/>
          <w:b/>
          <w:sz w:val="40"/>
          <w:szCs w:val="40"/>
        </w:rPr>
        <w:t>du 1</w:t>
      </w:r>
      <w:r w:rsidR="00C61EAC">
        <w:rPr>
          <w:rFonts w:ascii="KievitPro-Regular" w:hAnsi="KievitPro-Regular" w:cs="Arial"/>
          <w:b/>
          <w:sz w:val="40"/>
          <w:szCs w:val="40"/>
        </w:rPr>
        <w:t xml:space="preserve">er juin </w:t>
      </w:r>
      <w:r w:rsidRPr="00C45157">
        <w:rPr>
          <w:rFonts w:ascii="KievitPro-Regular" w:hAnsi="KievitPro-Regular" w:cs="Arial"/>
          <w:b/>
          <w:sz w:val="40"/>
          <w:szCs w:val="40"/>
        </w:rPr>
        <w:t>2026)</w:t>
      </w:r>
    </w:p>
    <w:p w14:paraId="498BEEBB" w14:textId="4794B9DC" w:rsidR="008A6A5E" w:rsidRPr="00C45157" w:rsidRDefault="008A6A5E" w:rsidP="008A6A5E">
      <w:pPr>
        <w:jc w:val="center"/>
        <w:rPr>
          <w:rFonts w:ascii="KievitPro-Regular" w:hAnsi="KievitPro-Regular"/>
        </w:rPr>
      </w:pPr>
    </w:p>
    <w:p w14:paraId="2FAB0676" w14:textId="0B54749A" w:rsidR="008A6A5E" w:rsidRPr="00C45157" w:rsidRDefault="008A6A5E" w:rsidP="008A6A5E">
      <w:pPr>
        <w:jc w:val="center"/>
        <w:rPr>
          <w:rFonts w:ascii="KievitPro-Regular" w:hAnsi="KievitPro-Regular"/>
        </w:rPr>
      </w:pPr>
    </w:p>
    <w:p w14:paraId="4209EB6C" w14:textId="7A4F34B5" w:rsidR="008A6A5E" w:rsidRPr="00C45157" w:rsidRDefault="008A6A5E" w:rsidP="008A6A5E">
      <w:pPr>
        <w:jc w:val="center"/>
        <w:rPr>
          <w:rFonts w:ascii="KievitPro-Regular" w:hAnsi="KievitPro-Regular"/>
        </w:rPr>
      </w:pPr>
    </w:p>
    <w:p w14:paraId="4BA5F5DF" w14:textId="44AD3B28" w:rsidR="008A6A5E" w:rsidRPr="00C45157" w:rsidRDefault="008A6A5E" w:rsidP="008A6A5E">
      <w:pPr>
        <w:jc w:val="center"/>
        <w:rPr>
          <w:rFonts w:ascii="KievitPro-Regular" w:hAnsi="KievitPro-Regular"/>
        </w:rPr>
      </w:pPr>
    </w:p>
    <w:p w14:paraId="44C3438D" w14:textId="5CD8DE1D" w:rsidR="008A6A5E" w:rsidRPr="00C45157" w:rsidRDefault="008A6A5E" w:rsidP="008A6A5E">
      <w:pPr>
        <w:jc w:val="center"/>
        <w:rPr>
          <w:rFonts w:ascii="KievitPro-Regular" w:hAnsi="KievitPro-Regular"/>
        </w:rPr>
      </w:pPr>
    </w:p>
    <w:p w14:paraId="335BE61F" w14:textId="77777777" w:rsidR="008A6A5E" w:rsidRPr="00C45157" w:rsidRDefault="008A6A5E" w:rsidP="008A6A5E">
      <w:pPr>
        <w:spacing w:line="360" w:lineRule="auto"/>
        <w:rPr>
          <w:rFonts w:ascii="KievitPro-Regular" w:hAnsi="KievitPro-Regular" w:cs="Arial"/>
          <w:b/>
          <w:sz w:val="44"/>
          <w:szCs w:val="44"/>
        </w:rPr>
      </w:pPr>
    </w:p>
    <w:p w14:paraId="6798077B" w14:textId="77777777" w:rsidR="008A6A5E" w:rsidRPr="00C45157" w:rsidRDefault="008A6A5E" w:rsidP="008A6A5E">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KievitPro-Regular" w:hAnsi="KievitPro-Regular" w:cs="Arial"/>
          <w:sz w:val="22"/>
          <w:szCs w:val="22"/>
        </w:rPr>
      </w:pPr>
    </w:p>
    <w:p w14:paraId="4E63D9D1" w14:textId="75E2E111" w:rsidR="008A6A5E" w:rsidRPr="00C45157" w:rsidRDefault="008A6A5E" w:rsidP="008A6A5E">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KievitPro-Regular" w:hAnsi="KievitPro-Regular" w:cs="Arial"/>
          <w:sz w:val="22"/>
          <w:szCs w:val="22"/>
        </w:rPr>
      </w:pPr>
      <w:r w:rsidRPr="00C45157">
        <w:rPr>
          <w:rFonts w:ascii="KievitPro-Regular" w:hAnsi="KievitPro-Regular" w:cs="Arial"/>
          <w:sz w:val="22"/>
          <w:szCs w:val="22"/>
        </w:rPr>
        <w:t xml:space="preserve">Les présentes instructions sur le contrôle qualité constituent la mise en œuvre des exigences posées aux petites et moyennes entreprises de révision telles qu’elles sont formulées dans l’ISA-CH-220 ; elles ont été approuvées par la direction de FIDUCIAIRE|SUISSE le </w:t>
      </w:r>
      <w:r w:rsidR="008547EE" w:rsidRPr="00C45157">
        <w:rPr>
          <w:rFonts w:ascii="KievitPro-Regular" w:hAnsi="KievitPro-Regular" w:cs="Arial"/>
          <w:sz w:val="22"/>
          <w:szCs w:val="22"/>
        </w:rPr>
        <w:t>1</w:t>
      </w:r>
      <w:r w:rsidR="009D6127" w:rsidRPr="00C45157">
        <w:rPr>
          <w:rFonts w:ascii="KievitPro-Regular" w:hAnsi="KievitPro-Regular" w:cs="Arial"/>
          <w:sz w:val="22"/>
          <w:szCs w:val="22"/>
        </w:rPr>
        <w:t>er</w:t>
      </w:r>
      <w:r w:rsidR="008547EE" w:rsidRPr="00C45157">
        <w:rPr>
          <w:rFonts w:ascii="KievitPro-Regular" w:hAnsi="KievitPro-Regular" w:cs="Arial"/>
          <w:sz w:val="22"/>
          <w:szCs w:val="22"/>
        </w:rPr>
        <w:t xml:space="preserve"> </w:t>
      </w:r>
      <w:r w:rsidR="009D6127" w:rsidRPr="00C45157">
        <w:rPr>
          <w:rFonts w:ascii="KievitPro-Regular" w:hAnsi="KievitPro-Regular" w:cs="Arial"/>
          <w:sz w:val="22"/>
          <w:szCs w:val="22"/>
        </w:rPr>
        <w:t>juin</w:t>
      </w:r>
      <w:r w:rsidR="008547EE" w:rsidRPr="00C45157">
        <w:rPr>
          <w:rFonts w:ascii="KievitPro-Regular" w:hAnsi="KievitPro-Regular" w:cs="Arial"/>
          <w:sz w:val="22"/>
          <w:szCs w:val="22"/>
        </w:rPr>
        <w:t xml:space="preserve"> 2026</w:t>
      </w:r>
      <w:r w:rsidRPr="00C45157">
        <w:rPr>
          <w:rFonts w:ascii="KievitPro-Regular" w:hAnsi="KievitPro-Regular" w:cs="Arial"/>
          <w:sz w:val="22"/>
          <w:szCs w:val="22"/>
        </w:rPr>
        <w:t>.</w:t>
      </w:r>
    </w:p>
    <w:p w14:paraId="67A8027C" w14:textId="77777777" w:rsidR="008A6A5E" w:rsidRPr="00C45157" w:rsidRDefault="008A6A5E" w:rsidP="008A6A5E">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KievitPro-Regular" w:hAnsi="KievitPro-Regular" w:cs="Arial"/>
          <w:sz w:val="22"/>
          <w:szCs w:val="22"/>
        </w:rPr>
      </w:pPr>
    </w:p>
    <w:p w14:paraId="33744DE7" w14:textId="3634C65D" w:rsidR="008A6A5E" w:rsidRPr="00C45157" w:rsidRDefault="008A6A5E" w:rsidP="008A6A5E">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KievitPro-Regular" w:hAnsi="KievitPro-Regular" w:cs="Arial"/>
          <w:sz w:val="22"/>
          <w:szCs w:val="22"/>
        </w:rPr>
      </w:pPr>
      <w:r w:rsidRPr="00C45157">
        <w:rPr>
          <w:rFonts w:ascii="KievitPro-Regular" w:hAnsi="KievitPro-Regular"/>
          <w:sz w:val="22"/>
          <w:szCs w:val="22"/>
        </w:rPr>
        <w:t xml:space="preserve">Ces instructions remplacent la version de FIDUCIAIRE|SUISSE et </w:t>
      </w:r>
      <w:r w:rsidR="005601D4" w:rsidRPr="00C45157">
        <w:rPr>
          <w:rFonts w:ascii="KievitPro-Regular" w:hAnsi="KievitPro-Regular"/>
          <w:sz w:val="22"/>
          <w:szCs w:val="22"/>
        </w:rPr>
        <w:t>d’EXPERTsuisse</w:t>
      </w:r>
      <w:r w:rsidRPr="00C45157">
        <w:rPr>
          <w:rFonts w:ascii="KievitPro-Regular" w:hAnsi="KievitPro-Regular"/>
          <w:sz w:val="22"/>
          <w:szCs w:val="22"/>
        </w:rPr>
        <w:t xml:space="preserve"> (anciennement Chambre fiduciaire) du 27 juin 2017 ainsi que la version de FIDUCIAIRE|SUISSE du 20 mai 2020</w:t>
      </w:r>
      <w:r w:rsidR="008547EE" w:rsidRPr="00C45157">
        <w:rPr>
          <w:rFonts w:ascii="KievitPro-Regular" w:hAnsi="KievitPro-Regular"/>
          <w:sz w:val="22"/>
          <w:szCs w:val="22"/>
        </w:rPr>
        <w:t xml:space="preserve"> et du 10 août 2023.</w:t>
      </w:r>
    </w:p>
    <w:p w14:paraId="0FDD5E41" w14:textId="77777777" w:rsidR="008A6A5E" w:rsidRPr="00C45157" w:rsidRDefault="008A6A5E" w:rsidP="002C20A2">
      <w:pPr>
        <w:jc w:val="center"/>
        <w:rPr>
          <w:rFonts w:ascii="KievitPro-Regular" w:hAnsi="KievitPro-Regular"/>
        </w:rPr>
      </w:pPr>
    </w:p>
    <w:p w14:paraId="06CDE471" w14:textId="5B1726E9" w:rsidR="008A6A5E" w:rsidRPr="00C45157" w:rsidRDefault="008A6A5E" w:rsidP="008A6A5E">
      <w:pPr>
        <w:jc w:val="center"/>
        <w:rPr>
          <w:rFonts w:ascii="KievitPro-Regular" w:hAnsi="KievitPro-Regular"/>
        </w:rPr>
      </w:pPr>
    </w:p>
    <w:p w14:paraId="223C9BDA" w14:textId="0A33C08E" w:rsidR="008A6A5E" w:rsidRPr="00C45157" w:rsidRDefault="008A6A5E" w:rsidP="008A6A5E">
      <w:pPr>
        <w:jc w:val="center"/>
        <w:rPr>
          <w:rFonts w:ascii="KievitPro-Regular" w:hAnsi="KievitPro-Regular"/>
        </w:rPr>
      </w:pPr>
    </w:p>
    <w:p w14:paraId="7E6ED090" w14:textId="7C44215D" w:rsidR="008A6A5E" w:rsidRPr="00C45157" w:rsidRDefault="008A6A5E" w:rsidP="008A6A5E">
      <w:pPr>
        <w:jc w:val="center"/>
        <w:rPr>
          <w:rFonts w:ascii="KievitPro-Regular" w:hAnsi="KievitPro-Regular"/>
        </w:rPr>
      </w:pPr>
    </w:p>
    <w:p w14:paraId="5CC0F321" w14:textId="0C703E1F" w:rsidR="008A6A5E" w:rsidRPr="00C45157" w:rsidRDefault="008A6A5E" w:rsidP="008A6A5E">
      <w:pPr>
        <w:jc w:val="center"/>
        <w:rPr>
          <w:rFonts w:ascii="KievitPro-Regular" w:hAnsi="KievitPro-Regular"/>
        </w:rPr>
      </w:pPr>
    </w:p>
    <w:sdt>
      <w:sdtPr>
        <w:rPr>
          <w:rFonts w:ascii="KievitPro-Regular" w:eastAsia="Times New Roman" w:hAnsi="KievitPro-Regular" w:cs="Times New Roman"/>
          <w:snapToGrid w:val="0"/>
          <w:color w:val="auto"/>
          <w:sz w:val="20"/>
          <w:szCs w:val="20"/>
          <w:lang w:eastAsia="de-DE"/>
        </w:rPr>
        <w:id w:val="-456414738"/>
        <w:docPartObj>
          <w:docPartGallery w:val="Table of Contents"/>
          <w:docPartUnique/>
        </w:docPartObj>
      </w:sdtPr>
      <w:sdtEndPr>
        <w:rPr>
          <w:b/>
          <w:bCs/>
        </w:rPr>
      </w:sdtEndPr>
      <w:sdtContent>
        <w:p w14:paraId="4E8D7227" w14:textId="4D83700A" w:rsidR="006213EC" w:rsidRPr="00C45157" w:rsidRDefault="00D73F42">
          <w:pPr>
            <w:pStyle w:val="Inhaltsverzeichnisberschrift"/>
            <w:rPr>
              <w:rFonts w:ascii="KievitPro-Regular" w:hAnsi="KievitPro-Regular"/>
            </w:rPr>
          </w:pPr>
          <w:r w:rsidRPr="00C45157">
            <w:rPr>
              <w:rFonts w:ascii="KievitPro-Regular" w:hAnsi="KievitPro-Regular"/>
            </w:rPr>
            <w:t>Sommaire</w:t>
          </w:r>
        </w:p>
        <w:p w14:paraId="7045500D" w14:textId="478E8A82" w:rsidR="002C20A2" w:rsidRPr="00C45157" w:rsidRDefault="006213EC"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r w:rsidRPr="00C45157">
            <w:rPr>
              <w:rFonts w:ascii="KievitPro-Regular" w:hAnsi="KievitPro-Regular"/>
              <w:noProof w:val="0"/>
            </w:rPr>
            <w:fldChar w:fldCharType="begin"/>
          </w:r>
          <w:r w:rsidRPr="00C45157">
            <w:rPr>
              <w:rFonts w:ascii="KievitPro-Regular" w:hAnsi="KievitPro-Regular"/>
              <w:noProof w:val="0"/>
            </w:rPr>
            <w:instrText xml:space="preserve"> TOC \o "1-3" \h \z \u </w:instrText>
          </w:r>
          <w:r w:rsidRPr="00C45157">
            <w:rPr>
              <w:rFonts w:ascii="KievitPro-Regular" w:hAnsi="KievitPro-Regular"/>
              <w:noProof w:val="0"/>
            </w:rPr>
            <w:fldChar w:fldCharType="separate"/>
          </w:r>
          <w:hyperlink w:anchor="_Toc231482615" w:history="1">
            <w:r w:rsidR="002C20A2" w:rsidRPr="00C45157">
              <w:rPr>
                <w:rStyle w:val="Hyperlink"/>
                <w:rFonts w:ascii="KievitPro-Regular" w:hAnsi="KievitPro-Regular" w:cs="Arial"/>
                <w:smallCaps/>
                <w:spacing w:val="5"/>
                <w:lang w:eastAsia="en-US"/>
              </w:rPr>
              <w:t>1.</w:t>
            </w:r>
            <w:r w:rsidR="002C20A2" w:rsidRPr="00C45157">
              <w:rPr>
                <w:rFonts w:ascii="KievitPro-Regular" w:eastAsiaTheme="minorEastAsia" w:hAnsi="KievitPro-Regular" w:cstheme="minorBidi"/>
                <w:snapToGrid/>
                <w:kern w:val="2"/>
                <w:sz w:val="24"/>
                <w:szCs w:val="24"/>
                <w:lang w:val="de-CH" w:eastAsia="de-CH"/>
                <w14:ligatures w14:val="standardContextual"/>
              </w:rPr>
              <w:tab/>
            </w:r>
            <w:r w:rsidR="002C20A2" w:rsidRPr="00C45157">
              <w:rPr>
                <w:rStyle w:val="Hyperlink"/>
                <w:rFonts w:ascii="KievitPro-Regular" w:hAnsi="KievitPro-Regular" w:cs="Arial"/>
                <w:smallCaps/>
                <w:spacing w:val="5"/>
                <w:lang w:eastAsia="en-US"/>
              </w:rPr>
              <w:t>Introduction</w:t>
            </w:r>
            <w:r w:rsidR="002C20A2" w:rsidRPr="00C45157">
              <w:rPr>
                <w:rFonts w:ascii="KievitPro-Regular" w:hAnsi="KievitPro-Regular"/>
                <w:webHidden/>
              </w:rPr>
              <w:tab/>
            </w:r>
            <w:r w:rsidR="002C20A2" w:rsidRPr="00C45157">
              <w:rPr>
                <w:rFonts w:ascii="KievitPro-Regular" w:hAnsi="KievitPro-Regular"/>
                <w:webHidden/>
              </w:rPr>
              <w:fldChar w:fldCharType="begin"/>
            </w:r>
            <w:r w:rsidR="002C20A2" w:rsidRPr="00C45157">
              <w:rPr>
                <w:rFonts w:ascii="KievitPro-Regular" w:hAnsi="KievitPro-Regular"/>
                <w:webHidden/>
              </w:rPr>
              <w:instrText xml:space="preserve"> PAGEREF _Toc231482615 \h </w:instrText>
            </w:r>
            <w:r w:rsidR="002C20A2" w:rsidRPr="00C45157">
              <w:rPr>
                <w:rFonts w:ascii="KievitPro-Regular" w:hAnsi="KievitPro-Regular"/>
                <w:webHidden/>
              </w:rPr>
            </w:r>
            <w:r w:rsidR="002C20A2" w:rsidRPr="00C45157">
              <w:rPr>
                <w:rFonts w:ascii="KievitPro-Regular" w:hAnsi="KievitPro-Regular"/>
                <w:webHidden/>
              </w:rPr>
              <w:fldChar w:fldCharType="separate"/>
            </w:r>
            <w:r w:rsidR="00AA4C8C">
              <w:rPr>
                <w:rFonts w:ascii="KievitPro-Regular" w:hAnsi="KievitPro-Regular"/>
                <w:webHidden/>
              </w:rPr>
              <w:t>2</w:t>
            </w:r>
            <w:r w:rsidR="002C20A2" w:rsidRPr="00C45157">
              <w:rPr>
                <w:rFonts w:ascii="KievitPro-Regular" w:hAnsi="KievitPro-Regular"/>
                <w:webHidden/>
              </w:rPr>
              <w:fldChar w:fldCharType="end"/>
            </w:r>
          </w:hyperlink>
        </w:p>
        <w:p w14:paraId="2E1D08C5" w14:textId="2E8739E2"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16" w:history="1">
            <w:r w:rsidRPr="00C45157">
              <w:rPr>
                <w:rStyle w:val="Hyperlink"/>
                <w:rFonts w:ascii="KievitPro-Regular" w:hAnsi="KievitPro-Regular" w:cs="Arial"/>
                <w:smallCaps/>
                <w:spacing w:val="5"/>
                <w:lang w:eastAsia="en-US"/>
              </w:rPr>
              <w:t>1.1.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_Toc231482616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w:t>
            </w:r>
            <w:r w:rsidRPr="00C45157">
              <w:rPr>
                <w:rFonts w:ascii="KievitPro-Regular" w:hAnsi="KievitPro-Regular"/>
                <w:webHidden/>
              </w:rPr>
              <w:fldChar w:fldCharType="end"/>
            </w:r>
          </w:hyperlink>
        </w:p>
        <w:p w14:paraId="2AE645C2" w14:textId="4AB94D8B"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17" w:history="1">
            <w:r w:rsidRPr="00C45157">
              <w:rPr>
                <w:rStyle w:val="Hyperlink"/>
                <w:rFonts w:ascii="KievitPro-Regular" w:hAnsi="KievitPro-Regular" w:cs="Arial"/>
                <w:smallCaps/>
                <w:spacing w:val="5"/>
                <w:lang w:eastAsia="en-US"/>
              </w:rPr>
              <w:t>1.1.1.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Prescriptions professionnelles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_Toc231482617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w:t>
            </w:r>
            <w:r w:rsidRPr="00C45157">
              <w:rPr>
                <w:rFonts w:ascii="KievitPro-Regular" w:hAnsi="KievitPro-Regular"/>
                <w:webHidden/>
              </w:rPr>
              <w:fldChar w:fldCharType="end"/>
            </w:r>
          </w:hyperlink>
        </w:p>
        <w:p w14:paraId="5F0EF54C" w14:textId="68CCBE03"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18" w:history="1">
            <w:r w:rsidRPr="00C45157">
              <w:rPr>
                <w:rStyle w:val="Hyperlink"/>
                <w:rFonts w:ascii="KievitPro-Regular" w:hAnsi="KievitPro-Regular" w:cs="Arial"/>
                <w:smallCaps/>
                <w:spacing w:val="5"/>
                <w:lang w:eastAsia="en-US"/>
              </w:rPr>
              <w:t>1.1.2.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Exigences légales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_Toc231482618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3</w:t>
            </w:r>
            <w:r w:rsidRPr="00C45157">
              <w:rPr>
                <w:rFonts w:ascii="KievitPro-Regular" w:hAnsi="KievitPro-Regular"/>
                <w:webHidden/>
              </w:rPr>
              <w:fldChar w:fldCharType="end"/>
            </w:r>
          </w:hyperlink>
        </w:p>
        <w:p w14:paraId="5BE54BEF" w14:textId="426482D4"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19" w:history="1">
            <w:r w:rsidRPr="00C45157">
              <w:rPr>
                <w:rStyle w:val="Hyperlink"/>
                <w:rFonts w:ascii="KievitPro-Regular" w:hAnsi="KievitPro-Regular" w:cs="Arial"/>
                <w:smallCaps/>
                <w:spacing w:val="5"/>
                <w:lang w:eastAsia="en-US"/>
              </w:rPr>
              <w:t>1.1.3.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Prescriptions complémentaires et précisions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_Toc231482619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4</w:t>
            </w:r>
            <w:r w:rsidRPr="00C45157">
              <w:rPr>
                <w:rFonts w:ascii="KievitPro-Regular" w:hAnsi="KievitPro-Regular"/>
                <w:webHidden/>
              </w:rPr>
              <w:fldChar w:fldCharType="end"/>
            </w:r>
          </w:hyperlink>
        </w:p>
        <w:p w14:paraId="069EFC2D" w14:textId="24FBE48C"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0" w:history="1">
            <w:r w:rsidRPr="00C45157">
              <w:rPr>
                <w:rStyle w:val="Hyperlink"/>
                <w:rFonts w:ascii="KievitPro-Regular" w:hAnsi="KievitPro-Regular" w:cs="Arial"/>
                <w:smallCaps/>
                <w:spacing w:val="5"/>
                <w:lang w:eastAsia="en-US"/>
              </w:rPr>
              <w:t>1.2.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Éléments d’un système de gestion de la qualité selon l’IGQ</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_Toc231482620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5</w:t>
            </w:r>
            <w:r w:rsidRPr="00C45157">
              <w:rPr>
                <w:rFonts w:ascii="KievitPro-Regular" w:hAnsi="KievitPro-Regular"/>
                <w:webHidden/>
              </w:rPr>
              <w:fldChar w:fldCharType="end"/>
            </w:r>
          </w:hyperlink>
        </w:p>
        <w:p w14:paraId="1C3CF07D" w14:textId="7E4B097B"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1" w:history="1">
            <w:r w:rsidRPr="00C45157">
              <w:rPr>
                <w:rStyle w:val="Hyperlink"/>
                <w:rFonts w:ascii="KievitPro-Regular" w:hAnsi="KievitPro-Regular" w:cs="Arial"/>
                <w:smallCaps/>
                <w:spacing w:val="5"/>
                <w:lang w:eastAsia="en-US"/>
              </w:rPr>
              <w:t>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Processus d’évaluation des risques de l’entreprise</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_Toc231482621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6</w:t>
            </w:r>
            <w:r w:rsidRPr="00C45157">
              <w:rPr>
                <w:rFonts w:ascii="KievitPro-Regular" w:hAnsi="KievitPro-Regular"/>
                <w:webHidden/>
              </w:rPr>
              <w:fldChar w:fldCharType="end"/>
            </w:r>
          </w:hyperlink>
        </w:p>
        <w:p w14:paraId="68E2B058" w14:textId="74BF63B9"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2" w:history="1">
            <w:r w:rsidRPr="00C45157">
              <w:rPr>
                <w:rStyle w:val="Hyperlink"/>
                <w:rFonts w:ascii="KievitPro-Regular" w:hAnsi="KievitPro-Regular" w:cs="Arial"/>
                <w:smallCaps/>
                <w:spacing w:val="5"/>
                <w:lang w:eastAsia="en-US"/>
              </w:rPr>
              <w:t>2.1.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_Toc231482622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6</w:t>
            </w:r>
            <w:r w:rsidRPr="00C45157">
              <w:rPr>
                <w:rFonts w:ascii="KievitPro-Regular" w:hAnsi="KievitPro-Regular"/>
                <w:webHidden/>
              </w:rPr>
              <w:fldChar w:fldCharType="end"/>
            </w:r>
          </w:hyperlink>
        </w:p>
        <w:p w14:paraId="5B93FE01" w14:textId="24DE113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3" w:history="1">
            <w:r w:rsidRPr="00C45157">
              <w:rPr>
                <w:rStyle w:val="Hyperlink"/>
                <w:rFonts w:ascii="KievitPro-Regular" w:hAnsi="KievitPro-Regular" w:cs="Arial"/>
                <w:smallCaps/>
                <w:spacing w:val="5"/>
                <w:lang w:eastAsia="en-US"/>
              </w:rPr>
              <w:t>2.2.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Responsabilités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_Toc231482623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7</w:t>
            </w:r>
            <w:r w:rsidRPr="00C45157">
              <w:rPr>
                <w:rFonts w:ascii="KievitPro-Regular" w:hAnsi="KievitPro-Regular"/>
                <w:webHidden/>
              </w:rPr>
              <w:fldChar w:fldCharType="end"/>
            </w:r>
          </w:hyperlink>
        </w:p>
        <w:p w14:paraId="578444A1" w14:textId="3B1B8734"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4" w:history="1">
            <w:r w:rsidRPr="00C45157">
              <w:rPr>
                <w:rStyle w:val="Hyperlink"/>
                <w:rFonts w:ascii="KievitPro-Regular" w:hAnsi="KievitPro-Regular" w:cs="Arial"/>
                <w:smallCaps/>
                <w:spacing w:val="5"/>
                <w:lang w:eastAsia="en-US"/>
              </w:rPr>
              <w:t>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Surveillance et direction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_Toc231482624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8</w:t>
            </w:r>
            <w:r w:rsidRPr="00C45157">
              <w:rPr>
                <w:rFonts w:ascii="KievitPro-Regular" w:hAnsi="KievitPro-Regular"/>
                <w:webHidden/>
              </w:rPr>
              <w:fldChar w:fldCharType="end"/>
            </w:r>
          </w:hyperlink>
        </w:p>
        <w:p w14:paraId="0849AD48" w14:textId="69F27CA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5" w:history="1">
            <w:r w:rsidRPr="00C45157">
              <w:rPr>
                <w:rStyle w:val="Hyperlink"/>
                <w:rFonts w:ascii="KievitPro-Regular" w:hAnsi="KievitPro-Regular" w:cs="Arial"/>
                <w:smallCaps/>
                <w:spacing w:val="5"/>
                <w:lang w:eastAsia="en-US"/>
              </w:rPr>
              <w:t>4.</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Exigences découlant de la loi et des principes professionnels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_Toc231482625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9</w:t>
            </w:r>
            <w:r w:rsidRPr="00C45157">
              <w:rPr>
                <w:rFonts w:ascii="KievitPro-Regular" w:hAnsi="KievitPro-Regular"/>
                <w:webHidden/>
              </w:rPr>
              <w:fldChar w:fldCharType="end"/>
            </w:r>
          </w:hyperlink>
        </w:p>
        <w:p w14:paraId="0D896000" w14:textId="3BC5F41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6" w:history="1">
            <w:r w:rsidRPr="00C45157">
              <w:rPr>
                <w:rStyle w:val="Hyperlink"/>
                <w:rFonts w:ascii="KievitPro-Regular" w:hAnsi="KievitPro-Regular" w:cs="Arial"/>
                <w:smallCaps/>
                <w:spacing w:val="5"/>
                <w:lang w:eastAsia="en-US"/>
              </w:rPr>
              <w:t>4.1.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_Toc231482626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9</w:t>
            </w:r>
            <w:r w:rsidRPr="00C45157">
              <w:rPr>
                <w:rFonts w:ascii="KievitPro-Regular" w:hAnsi="KievitPro-Regular"/>
                <w:webHidden/>
              </w:rPr>
              <w:fldChar w:fldCharType="end"/>
            </w:r>
          </w:hyperlink>
        </w:p>
        <w:p w14:paraId="6A34A65B" w14:textId="5FA057E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7" w:history="1">
            <w:r w:rsidRPr="00C45157">
              <w:rPr>
                <w:rStyle w:val="Hyperlink"/>
                <w:rFonts w:ascii="KievitPro-Regular" w:hAnsi="KievitPro-Regular" w:cs="Arial"/>
                <w:smallCaps/>
                <w:spacing w:val="5"/>
                <w:lang w:eastAsia="en-US"/>
              </w:rPr>
              <w:t>4.2.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Indépendance</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_Toc231482627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9</w:t>
            </w:r>
            <w:r w:rsidRPr="00C45157">
              <w:rPr>
                <w:rFonts w:ascii="KievitPro-Regular" w:hAnsi="KievitPro-Regular"/>
                <w:webHidden/>
              </w:rPr>
              <w:fldChar w:fldCharType="end"/>
            </w:r>
          </w:hyperlink>
        </w:p>
        <w:p w14:paraId="00DEE068" w14:textId="02293F7C"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8" w:history="1">
            <w:r w:rsidRPr="00C45157">
              <w:rPr>
                <w:rStyle w:val="Hyperlink"/>
                <w:rFonts w:ascii="KievitPro-Regular" w:hAnsi="KievitPro-Regular" w:cs="Arial"/>
                <w:smallCaps/>
                <w:spacing w:val="5"/>
                <w:lang w:eastAsia="en-US"/>
              </w:rPr>
              <w:t>4.3.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Formation continue</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_Toc231482628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10</w:t>
            </w:r>
            <w:r w:rsidRPr="00C45157">
              <w:rPr>
                <w:rFonts w:ascii="KievitPro-Regular" w:hAnsi="KievitPro-Regular"/>
                <w:webHidden/>
              </w:rPr>
              <w:fldChar w:fldCharType="end"/>
            </w:r>
          </w:hyperlink>
        </w:p>
        <w:p w14:paraId="0153A61D" w14:textId="2F108B91"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29" w:history="1">
            <w:r w:rsidRPr="00C45157">
              <w:rPr>
                <w:rStyle w:val="Hyperlink"/>
                <w:rFonts w:ascii="KievitPro-Regular" w:hAnsi="KievitPro-Regular" w:cs="Arial"/>
                <w:smallCaps/>
                <w:spacing w:val="5"/>
                <w:lang w:eastAsia="en-US"/>
              </w:rPr>
              <w:t>5.</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Acceptation, poursuite et cessation des mandats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_Toc231482629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11</w:t>
            </w:r>
            <w:r w:rsidRPr="00C45157">
              <w:rPr>
                <w:rFonts w:ascii="KievitPro-Regular" w:hAnsi="KievitPro-Regular"/>
                <w:webHidden/>
              </w:rPr>
              <w:fldChar w:fldCharType="end"/>
            </w:r>
          </w:hyperlink>
        </w:p>
        <w:p w14:paraId="01186016" w14:textId="0CCA8F2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0" w:history="1">
            <w:r w:rsidRPr="00C45157">
              <w:rPr>
                <w:rStyle w:val="Hyperlink"/>
                <w:rFonts w:ascii="KievitPro-Regular" w:hAnsi="KievitPro-Regular" w:cs="Arial"/>
              </w:rPr>
              <w:t>5.1.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_Toc231482630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11</w:t>
            </w:r>
            <w:r w:rsidRPr="00C45157">
              <w:rPr>
                <w:rFonts w:ascii="KievitPro-Regular" w:hAnsi="KievitPro-Regular"/>
                <w:webHidden/>
              </w:rPr>
              <w:fldChar w:fldCharType="end"/>
            </w:r>
          </w:hyperlink>
        </w:p>
        <w:p w14:paraId="1F2AD7CA" w14:textId="3819464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1" w:history="1">
            <w:r w:rsidRPr="00C45157">
              <w:rPr>
                <w:rStyle w:val="Hyperlink"/>
                <w:rFonts w:ascii="KievitPro-Regular" w:hAnsi="KievitPro-Regular" w:cs="Arial"/>
                <w:smallCaps/>
                <w:spacing w:val="5"/>
                <w:lang w:eastAsia="en-US"/>
              </w:rPr>
              <w:t>5.2.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Acceptation et poursuite des mandats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_Toc231482631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11</w:t>
            </w:r>
            <w:r w:rsidRPr="00C45157">
              <w:rPr>
                <w:rFonts w:ascii="KievitPro-Regular" w:hAnsi="KievitPro-Regular"/>
                <w:webHidden/>
              </w:rPr>
              <w:fldChar w:fldCharType="end"/>
            </w:r>
          </w:hyperlink>
        </w:p>
        <w:p w14:paraId="49A51687" w14:textId="6E7B870E"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2" w:history="1">
            <w:r w:rsidRPr="00C45157">
              <w:rPr>
                <w:rStyle w:val="Hyperlink"/>
                <w:rFonts w:ascii="KievitPro-Regular" w:hAnsi="KievitPro-Regular" w:cs="Arial"/>
                <w:smallCaps/>
                <w:spacing w:val="5"/>
                <w:lang w:eastAsia="en-US"/>
              </w:rPr>
              <w:t>5.3.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Cessation du mandat</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_Toc231482632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12</w:t>
            </w:r>
            <w:r w:rsidRPr="00C45157">
              <w:rPr>
                <w:rFonts w:ascii="KievitPro-Regular" w:hAnsi="KievitPro-Regular"/>
                <w:webHidden/>
              </w:rPr>
              <w:fldChar w:fldCharType="end"/>
            </w:r>
          </w:hyperlink>
        </w:p>
        <w:p w14:paraId="5D5E0C79" w14:textId="3D238815"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3" w:history="1">
            <w:r w:rsidRPr="00C45157">
              <w:rPr>
                <w:rStyle w:val="Hyperlink"/>
                <w:rFonts w:ascii="KievitPro-Regular" w:hAnsi="KievitPro-Regular" w:cs="Arial"/>
                <w:smallCaps/>
                <w:spacing w:val="5"/>
                <w:lang w:eastAsia="en-US"/>
              </w:rPr>
              <w:t>6.</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Exécution des mandats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_Toc231482633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13</w:t>
            </w:r>
            <w:r w:rsidRPr="00C45157">
              <w:rPr>
                <w:rFonts w:ascii="KievitPro-Regular" w:hAnsi="KievitPro-Regular"/>
                <w:webHidden/>
              </w:rPr>
              <w:fldChar w:fldCharType="end"/>
            </w:r>
          </w:hyperlink>
        </w:p>
        <w:p w14:paraId="7C1174CA" w14:textId="69A88B7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4" w:history="1">
            <w:r w:rsidRPr="00C45157">
              <w:rPr>
                <w:rStyle w:val="Hyperlink"/>
                <w:rFonts w:ascii="KievitPro-Regular" w:hAnsi="KievitPro-Regular" w:cs="Arial"/>
                <w:smallCaps/>
                <w:spacing w:val="5"/>
                <w:lang w:eastAsia="en-US"/>
              </w:rPr>
              <w:t>6.1.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Planification des mandats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_Toc231482634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13</w:t>
            </w:r>
            <w:r w:rsidRPr="00C45157">
              <w:rPr>
                <w:rFonts w:ascii="KievitPro-Regular" w:hAnsi="KievitPro-Regular"/>
                <w:webHidden/>
              </w:rPr>
              <w:fldChar w:fldCharType="end"/>
            </w:r>
          </w:hyperlink>
        </w:p>
        <w:p w14:paraId="44BA6CBB" w14:textId="41878C54"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5" w:history="1">
            <w:r w:rsidRPr="00C45157">
              <w:rPr>
                <w:rStyle w:val="Hyperlink"/>
                <w:rFonts w:ascii="KievitPro-Regular" w:hAnsi="KievitPro-Regular" w:cs="Arial"/>
                <w:smallCaps/>
                <w:spacing w:val="5"/>
                <w:lang w:eastAsia="en-US"/>
              </w:rPr>
              <w:t>6.2.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Instructions professionnelles / organisationnelles et outils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_Toc231482635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13</w:t>
            </w:r>
            <w:r w:rsidRPr="00C45157">
              <w:rPr>
                <w:rFonts w:ascii="KievitPro-Regular" w:hAnsi="KievitPro-Regular"/>
                <w:webHidden/>
              </w:rPr>
              <w:fldChar w:fldCharType="end"/>
            </w:r>
          </w:hyperlink>
        </w:p>
        <w:p w14:paraId="3EEA2BCF" w14:textId="3A7C2269"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6" w:history="1">
            <w:r w:rsidRPr="00C45157">
              <w:rPr>
                <w:rStyle w:val="Hyperlink"/>
                <w:rFonts w:ascii="KievitPro-Regular" w:hAnsi="KievitPro-Regular" w:cs="Arial"/>
                <w:smallCaps/>
                <w:spacing w:val="5"/>
                <w:lang w:eastAsia="en-US"/>
              </w:rPr>
              <w:t>6.3.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Exécution des mandats de révision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_Toc231482636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14</w:t>
            </w:r>
            <w:r w:rsidRPr="00C45157">
              <w:rPr>
                <w:rFonts w:ascii="KievitPro-Regular" w:hAnsi="KievitPro-Regular"/>
                <w:webHidden/>
              </w:rPr>
              <w:fldChar w:fldCharType="end"/>
            </w:r>
          </w:hyperlink>
        </w:p>
        <w:p w14:paraId="389F70ED" w14:textId="13F906C5"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7" w:history="1">
            <w:r w:rsidRPr="00C45157">
              <w:rPr>
                <w:rStyle w:val="Hyperlink"/>
                <w:rFonts w:ascii="KievitPro-Regular" w:hAnsi="KievitPro-Regular" w:cs="Arial"/>
                <w:smallCaps/>
                <w:spacing w:val="5"/>
                <w:lang w:eastAsia="en-US"/>
              </w:rPr>
              <w:t>6.4.</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Surveillance et revue</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_Toc231482637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15</w:t>
            </w:r>
            <w:r w:rsidRPr="00C45157">
              <w:rPr>
                <w:rFonts w:ascii="KievitPro-Regular" w:hAnsi="KievitPro-Regular"/>
                <w:webHidden/>
              </w:rPr>
              <w:fldChar w:fldCharType="end"/>
            </w:r>
          </w:hyperlink>
        </w:p>
        <w:p w14:paraId="57BC0DF0" w14:textId="26D531AE"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8" w:history="1">
            <w:r w:rsidRPr="00C45157">
              <w:rPr>
                <w:rStyle w:val="Hyperlink"/>
                <w:rFonts w:ascii="KievitPro-Regular" w:hAnsi="KievitPro-Regular" w:cs="Arial"/>
                <w:smallCaps/>
                <w:spacing w:val="5"/>
                <w:lang w:eastAsia="en-US"/>
              </w:rPr>
              <w:t>6.5.</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Consultation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_Toc231482638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15</w:t>
            </w:r>
            <w:r w:rsidRPr="00C45157">
              <w:rPr>
                <w:rFonts w:ascii="KievitPro-Regular" w:hAnsi="KievitPro-Regular"/>
                <w:webHidden/>
              </w:rPr>
              <w:fldChar w:fldCharType="end"/>
            </w:r>
          </w:hyperlink>
        </w:p>
        <w:p w14:paraId="646F81DC" w14:textId="3447F3F9"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39" w:history="1">
            <w:r w:rsidRPr="00C45157">
              <w:rPr>
                <w:rStyle w:val="Hyperlink"/>
                <w:rFonts w:ascii="KievitPro-Regular" w:hAnsi="KievitPro-Regular" w:cs="Arial"/>
                <w:smallCaps/>
                <w:spacing w:val="5"/>
                <w:lang w:eastAsia="en-US"/>
              </w:rPr>
              <w:t>6.6.</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Divergences d’opinion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_Toc231482639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16</w:t>
            </w:r>
            <w:r w:rsidRPr="00C45157">
              <w:rPr>
                <w:rFonts w:ascii="KievitPro-Regular" w:hAnsi="KievitPro-Regular"/>
                <w:webHidden/>
              </w:rPr>
              <w:fldChar w:fldCharType="end"/>
            </w:r>
          </w:hyperlink>
        </w:p>
        <w:p w14:paraId="24D5AE50" w14:textId="68244863"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0" w:history="1">
            <w:r w:rsidRPr="00C45157">
              <w:rPr>
                <w:rStyle w:val="Hyperlink"/>
                <w:rFonts w:ascii="KievitPro-Regular" w:hAnsi="KievitPro-Regular" w:cs="Arial"/>
                <w:smallCaps/>
                <w:spacing w:val="5"/>
                <w:lang w:eastAsia="en-US"/>
              </w:rPr>
              <w:t>6.7.</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Documentation du mandat</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_Toc231482640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16</w:t>
            </w:r>
            <w:r w:rsidRPr="00C45157">
              <w:rPr>
                <w:rFonts w:ascii="KievitPro-Regular" w:hAnsi="KievitPro-Regular"/>
                <w:webHidden/>
              </w:rPr>
              <w:fldChar w:fldCharType="end"/>
            </w:r>
          </w:hyperlink>
        </w:p>
        <w:p w14:paraId="348D014A" w14:textId="341F3A2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1" w:history="1">
            <w:r w:rsidRPr="00C45157">
              <w:rPr>
                <w:rStyle w:val="Hyperlink"/>
                <w:rFonts w:ascii="KievitPro-Regular" w:hAnsi="KievitPro-Regular" w:cs="Arial"/>
                <w:smallCaps/>
                <w:spacing w:val="5"/>
                <w:lang w:eastAsia="en-US"/>
              </w:rPr>
              <w:t>6.8.</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Séparation organisationnelle en cas de mandats doubles et fourniture d’autres prestations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_Toc231482641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17</w:t>
            </w:r>
            <w:r w:rsidRPr="00C45157">
              <w:rPr>
                <w:rFonts w:ascii="KievitPro-Regular" w:hAnsi="KievitPro-Regular"/>
                <w:webHidden/>
              </w:rPr>
              <w:fldChar w:fldCharType="end"/>
            </w:r>
          </w:hyperlink>
        </w:p>
        <w:p w14:paraId="20773FA3" w14:textId="329DF33E"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2" w:history="1">
            <w:r w:rsidRPr="00C45157">
              <w:rPr>
                <w:rStyle w:val="Hyperlink"/>
                <w:rFonts w:ascii="KievitPro-Regular" w:hAnsi="KievitPro-Regular" w:cs="Arial"/>
                <w:smallCaps/>
                <w:spacing w:val="5"/>
                <w:lang w:eastAsia="en-US"/>
              </w:rPr>
              <w:t>6.8.1.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_Toc231482642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17</w:t>
            </w:r>
            <w:r w:rsidRPr="00C45157">
              <w:rPr>
                <w:rFonts w:ascii="KievitPro-Regular" w:hAnsi="KievitPro-Regular"/>
                <w:webHidden/>
              </w:rPr>
              <w:fldChar w:fldCharType="end"/>
            </w:r>
          </w:hyperlink>
        </w:p>
        <w:p w14:paraId="19D11C32" w14:textId="411014B6"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3" w:history="1">
            <w:r w:rsidRPr="00C45157">
              <w:rPr>
                <w:rStyle w:val="Hyperlink"/>
                <w:rFonts w:ascii="KievitPro-Regular" w:hAnsi="KievitPro-Regular" w:cs="Arial"/>
                <w:smallCaps/>
                <w:spacing w:val="5"/>
                <w:lang w:eastAsia="en-US"/>
              </w:rPr>
              <w:t>6.8.2.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Mesures organisationnelles et personnelles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_Toc231482643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17</w:t>
            </w:r>
            <w:r w:rsidRPr="00C45157">
              <w:rPr>
                <w:rFonts w:ascii="KievitPro-Regular" w:hAnsi="KievitPro-Regular"/>
                <w:webHidden/>
              </w:rPr>
              <w:fldChar w:fldCharType="end"/>
            </w:r>
          </w:hyperlink>
        </w:p>
        <w:p w14:paraId="063364B0" w14:textId="6C8403F4"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4" w:history="1">
            <w:r w:rsidRPr="00C45157">
              <w:rPr>
                <w:rStyle w:val="Hyperlink"/>
                <w:rFonts w:ascii="KievitPro-Regular" w:hAnsi="KievitPro-Regular" w:cs="Arial"/>
                <w:smallCaps/>
                <w:spacing w:val="5"/>
                <w:lang w:eastAsia="en-US"/>
              </w:rPr>
              <w:t>6.8.3.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Mise en œuvre en cas de mandats doubles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_Toc231482644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17</w:t>
            </w:r>
            <w:r w:rsidRPr="00C45157">
              <w:rPr>
                <w:rFonts w:ascii="KievitPro-Regular" w:hAnsi="KievitPro-Regular"/>
                <w:webHidden/>
              </w:rPr>
              <w:fldChar w:fldCharType="end"/>
            </w:r>
          </w:hyperlink>
        </w:p>
        <w:p w14:paraId="7CAA6217" w14:textId="403EE70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5" w:history="1">
            <w:r w:rsidRPr="00C45157">
              <w:rPr>
                <w:rStyle w:val="Hyperlink"/>
                <w:rFonts w:ascii="KievitPro-Regular" w:hAnsi="KievitPro-Regular" w:cs="Arial"/>
                <w:smallCaps/>
                <w:spacing w:val="5"/>
                <w:lang w:eastAsia="en-US"/>
              </w:rPr>
              <w:t>6.8.4.</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Documentation et séparation des dossiers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_Toc231482645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17</w:t>
            </w:r>
            <w:r w:rsidRPr="00C45157">
              <w:rPr>
                <w:rFonts w:ascii="KievitPro-Regular" w:hAnsi="KievitPro-Regular"/>
                <w:webHidden/>
              </w:rPr>
              <w:fldChar w:fldCharType="end"/>
            </w:r>
          </w:hyperlink>
        </w:p>
        <w:p w14:paraId="2F82085D" w14:textId="569F706E"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6" w:history="1">
            <w:r w:rsidRPr="00C45157">
              <w:rPr>
                <w:rStyle w:val="Hyperlink"/>
                <w:rFonts w:ascii="KievitPro-Regular" w:hAnsi="KievitPro-Regular" w:cs="Arial"/>
                <w:smallCaps/>
                <w:spacing w:val="5"/>
                <w:lang w:eastAsia="en-US"/>
              </w:rPr>
              <w:t>6.9.</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Contrôle qualité accompagnant le mandat</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_Toc231482646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18</w:t>
            </w:r>
            <w:r w:rsidRPr="00C45157">
              <w:rPr>
                <w:rFonts w:ascii="KievitPro-Regular" w:hAnsi="KievitPro-Regular"/>
                <w:webHidden/>
              </w:rPr>
              <w:fldChar w:fldCharType="end"/>
            </w:r>
          </w:hyperlink>
        </w:p>
        <w:p w14:paraId="2A87A2F1" w14:textId="20F661E6"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7" w:history="1">
            <w:r w:rsidRPr="00C45157">
              <w:rPr>
                <w:rStyle w:val="Hyperlink"/>
                <w:rFonts w:ascii="KievitPro-Regular" w:hAnsi="KievitPro-Regular" w:cs="Arial"/>
                <w:smallCaps/>
                <w:spacing w:val="5"/>
                <w:lang w:eastAsia="en-US"/>
              </w:rPr>
              <w:t>6.9.1.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Généralités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_Toc231482647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18</w:t>
            </w:r>
            <w:r w:rsidRPr="00C45157">
              <w:rPr>
                <w:rFonts w:ascii="KievitPro-Regular" w:hAnsi="KievitPro-Regular"/>
                <w:webHidden/>
              </w:rPr>
              <w:fldChar w:fldCharType="end"/>
            </w:r>
          </w:hyperlink>
        </w:p>
        <w:p w14:paraId="3082B225" w14:textId="36CF6B76"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8" w:history="1">
            <w:r w:rsidRPr="00C45157">
              <w:rPr>
                <w:rStyle w:val="Hyperlink"/>
                <w:rFonts w:ascii="KievitPro-Regular" w:hAnsi="KievitPro-Regular" w:cs="Arial"/>
                <w:smallCaps/>
                <w:spacing w:val="5"/>
                <w:lang w:eastAsia="en-US"/>
              </w:rPr>
              <w:t>6.9.2.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Détermination et documentation de l’obligation de contrôle qualité</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_Toc231482648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18</w:t>
            </w:r>
            <w:r w:rsidRPr="00C45157">
              <w:rPr>
                <w:rFonts w:ascii="KievitPro-Regular" w:hAnsi="KievitPro-Regular"/>
                <w:webHidden/>
              </w:rPr>
              <w:fldChar w:fldCharType="end"/>
            </w:r>
          </w:hyperlink>
        </w:p>
        <w:p w14:paraId="20F910EE" w14:textId="6934D936"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49" w:history="1">
            <w:r w:rsidRPr="00C45157">
              <w:rPr>
                <w:rStyle w:val="Hyperlink"/>
                <w:rFonts w:ascii="KievitPro-Regular" w:hAnsi="KievitPro-Regular" w:cs="Arial"/>
                <w:smallCaps/>
                <w:spacing w:val="5"/>
                <w:lang w:eastAsia="en-US"/>
              </w:rPr>
              <w:t>6.9.3.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Exécution et responsabilités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_Toc231482649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18</w:t>
            </w:r>
            <w:r w:rsidRPr="00C45157">
              <w:rPr>
                <w:rFonts w:ascii="KievitPro-Regular" w:hAnsi="KievitPro-Regular"/>
                <w:webHidden/>
              </w:rPr>
              <w:fldChar w:fldCharType="end"/>
            </w:r>
          </w:hyperlink>
        </w:p>
        <w:p w14:paraId="0E0B4BFC" w14:textId="53856F95"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0" w:history="1">
            <w:r w:rsidRPr="00C45157">
              <w:rPr>
                <w:rStyle w:val="Hyperlink"/>
                <w:rFonts w:ascii="KievitPro-Regular" w:hAnsi="KievitPro-Regular" w:cs="Arial"/>
                <w:bCs/>
              </w:rPr>
              <w:t>6.9.4.</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Contenu du contrôle qualité accompagnant le mandat</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_Toc231482650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19</w:t>
            </w:r>
            <w:r w:rsidRPr="00C45157">
              <w:rPr>
                <w:rFonts w:ascii="KievitPro-Regular" w:hAnsi="KievitPro-Regular"/>
                <w:webHidden/>
              </w:rPr>
              <w:fldChar w:fldCharType="end"/>
            </w:r>
          </w:hyperlink>
        </w:p>
        <w:p w14:paraId="626ECDFF" w14:textId="54CE745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1" w:history="1">
            <w:r w:rsidRPr="00C45157">
              <w:rPr>
                <w:rStyle w:val="Hyperlink"/>
                <w:rFonts w:ascii="KievitPro-Regular" w:hAnsi="KievitPro-Regular" w:cs="Arial"/>
                <w:smallCaps/>
                <w:spacing w:val="5"/>
                <w:lang w:eastAsia="en-US"/>
              </w:rPr>
              <w:t>6.9.5.</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Responsabilité</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_Toc231482651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19</w:t>
            </w:r>
            <w:r w:rsidRPr="00C45157">
              <w:rPr>
                <w:rFonts w:ascii="KievitPro-Regular" w:hAnsi="KievitPro-Regular"/>
                <w:webHidden/>
              </w:rPr>
              <w:fldChar w:fldCharType="end"/>
            </w:r>
          </w:hyperlink>
        </w:p>
        <w:p w14:paraId="4FE1AC77" w14:textId="235AA665"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2" w:history="1">
            <w:r w:rsidRPr="00C45157">
              <w:rPr>
                <w:rStyle w:val="Hyperlink"/>
                <w:rFonts w:ascii="KievitPro-Regular" w:hAnsi="KievitPro-Regular" w:cs="Arial"/>
                <w:smallCaps/>
                <w:spacing w:val="5"/>
                <w:lang w:eastAsia="en-US"/>
              </w:rPr>
              <w:t>6.9.6.</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Acceptation de mandats complémentaires auprès de clients de révision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_Toc231482652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19</w:t>
            </w:r>
            <w:r w:rsidRPr="00C45157">
              <w:rPr>
                <w:rFonts w:ascii="KievitPro-Regular" w:hAnsi="KievitPro-Regular"/>
                <w:webHidden/>
              </w:rPr>
              <w:fldChar w:fldCharType="end"/>
            </w:r>
          </w:hyperlink>
        </w:p>
        <w:p w14:paraId="1FA24299" w14:textId="2966A5B7"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3" w:history="1">
            <w:r w:rsidRPr="00C45157">
              <w:rPr>
                <w:rStyle w:val="Hyperlink"/>
                <w:rFonts w:ascii="KievitPro-Regular" w:hAnsi="KievitPro-Regular" w:cs="Arial"/>
                <w:smallCaps/>
                <w:spacing w:val="5"/>
                <w:lang w:eastAsia="en-US"/>
              </w:rPr>
              <w:t>7.</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Compétences et information des collaborateurs</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_Toc231482653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19</w:t>
            </w:r>
            <w:r w:rsidRPr="00C45157">
              <w:rPr>
                <w:rFonts w:ascii="KievitPro-Regular" w:hAnsi="KievitPro-Regular"/>
                <w:webHidden/>
              </w:rPr>
              <w:fldChar w:fldCharType="end"/>
            </w:r>
          </w:hyperlink>
        </w:p>
        <w:p w14:paraId="2EE1BA9B" w14:textId="710D228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4" w:history="1">
            <w:r w:rsidRPr="00C45157">
              <w:rPr>
                <w:rStyle w:val="Hyperlink"/>
                <w:rFonts w:ascii="KievitPro-Regular" w:hAnsi="KievitPro-Regular" w:cs="Arial"/>
                <w:smallCaps/>
                <w:spacing w:val="5"/>
                <w:lang w:eastAsia="en-US"/>
              </w:rPr>
              <w:t>8.</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Processus de surveillance interne et d’amélioration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_Toc231482654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20</w:t>
            </w:r>
            <w:r w:rsidRPr="00C45157">
              <w:rPr>
                <w:rFonts w:ascii="KievitPro-Regular" w:hAnsi="KievitPro-Regular"/>
                <w:webHidden/>
              </w:rPr>
              <w:fldChar w:fldCharType="end"/>
            </w:r>
          </w:hyperlink>
        </w:p>
        <w:p w14:paraId="24C089AD" w14:textId="70BBC98F"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5" w:history="1">
            <w:r w:rsidRPr="00C45157">
              <w:rPr>
                <w:rStyle w:val="Hyperlink"/>
                <w:rFonts w:ascii="KievitPro-Regular" w:hAnsi="KievitPro-Regular" w:cs="Arial"/>
                <w:smallCaps/>
                <w:spacing w:val="5"/>
                <w:lang w:eastAsia="en-US"/>
              </w:rPr>
              <w:t>9.</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Documentation du système de gestion de la qualité</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_Toc231482655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21</w:t>
            </w:r>
            <w:r w:rsidRPr="00C45157">
              <w:rPr>
                <w:rFonts w:ascii="KievitPro-Regular" w:hAnsi="KievitPro-Regular"/>
                <w:webHidden/>
              </w:rPr>
              <w:fldChar w:fldCharType="end"/>
            </w:r>
          </w:hyperlink>
        </w:p>
        <w:p w14:paraId="096E82A0" w14:textId="35E04359"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6" w:history="1">
            <w:r w:rsidRPr="00C45157">
              <w:rPr>
                <w:rStyle w:val="Hyperlink"/>
                <w:rFonts w:ascii="KievitPro-Regular" w:hAnsi="KievitPro-Regular" w:cs="Arial"/>
              </w:rPr>
              <w:t>10.</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Évaluation du système de gestion de la qualité</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_Toc231482656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22</w:t>
            </w:r>
            <w:r w:rsidRPr="00C45157">
              <w:rPr>
                <w:rFonts w:ascii="KievitPro-Regular" w:hAnsi="KievitPro-Regular"/>
                <w:webHidden/>
              </w:rPr>
              <w:fldChar w:fldCharType="end"/>
            </w:r>
          </w:hyperlink>
        </w:p>
        <w:p w14:paraId="6F95E041" w14:textId="0C91E648"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7" w:history="1">
            <w:r w:rsidRPr="00C45157">
              <w:rPr>
                <w:rStyle w:val="Hyperlink"/>
                <w:rFonts w:ascii="KievitPro-Regular" w:hAnsi="KievitPro-Regular" w:cs="Arial"/>
                <w:smallCaps/>
                <w:spacing w:val="5"/>
                <w:lang w:eastAsia="en-US"/>
              </w:rPr>
              <w:t>11.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Outils de travail</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_Toc231482657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24</w:t>
            </w:r>
            <w:r w:rsidRPr="00C45157">
              <w:rPr>
                <w:rFonts w:ascii="KievitPro-Regular" w:hAnsi="KievitPro-Regular"/>
                <w:webHidden/>
              </w:rPr>
              <w:fldChar w:fldCharType="end"/>
            </w:r>
          </w:hyperlink>
        </w:p>
        <w:p w14:paraId="63C91D4A" w14:textId="00415BB4" w:rsidR="002C20A2" w:rsidRPr="00C45157" w:rsidRDefault="002C20A2" w:rsidP="00C45157">
          <w:pPr>
            <w:pStyle w:val="Verzeichnis1"/>
            <w:tabs>
              <w:tab w:val="clear" w:pos="426"/>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8" w:history="1">
            <w:r w:rsidRPr="00C45157">
              <w:rPr>
                <w:rStyle w:val="Hyperlink"/>
                <w:rFonts w:ascii="KievitPro-Regular" w:hAnsi="KievitPro-Regular" w:cs="Arial"/>
                <w:smallCaps/>
                <w:spacing w:val="5"/>
                <w:lang w:eastAsia="en-US"/>
              </w:rPr>
              <w:t>11.1.1.</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Règlement relatif à la collaboration</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_Toc231482658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24</w:t>
            </w:r>
            <w:r w:rsidRPr="00C45157">
              <w:rPr>
                <w:rFonts w:ascii="KievitPro-Regular" w:hAnsi="KievitPro-Regular"/>
                <w:webHidden/>
              </w:rPr>
              <w:fldChar w:fldCharType="end"/>
            </w:r>
          </w:hyperlink>
        </w:p>
        <w:p w14:paraId="35758D81" w14:textId="0DE5B46A" w:rsidR="002C20A2" w:rsidRPr="00C45157" w:rsidRDefault="002C20A2" w:rsidP="00C45157">
          <w:pPr>
            <w:pStyle w:val="Verzeichnis1"/>
            <w:tabs>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59" w:history="1">
            <w:r w:rsidRPr="00C45157">
              <w:rPr>
                <w:rStyle w:val="Hyperlink"/>
                <w:rFonts w:ascii="KievitPro-Regular" w:hAnsi="KievitPro-Regular" w:cs="Arial"/>
                <w:smallCaps/>
                <w:spacing w:val="5"/>
                <w:lang w:eastAsia="en-US"/>
              </w:rPr>
              <w:t>11.2.</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rPr>
              <w:t>M</w:t>
            </w:r>
            <w:r w:rsidRPr="00C45157">
              <w:rPr>
                <w:rStyle w:val="Hyperlink"/>
                <w:rFonts w:ascii="KievitPro-Regular" w:hAnsi="KievitPro-Regular" w:cs="Arial"/>
                <w:smallCaps/>
                <w:spacing w:val="5"/>
                <w:lang w:eastAsia="en-US"/>
              </w:rPr>
              <w:t>ODÈLE DE RAPPORT DE SURVEILLANCE</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_Toc231482659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26</w:t>
            </w:r>
            <w:r w:rsidRPr="00C45157">
              <w:rPr>
                <w:rFonts w:ascii="KievitPro-Regular" w:hAnsi="KievitPro-Regular"/>
                <w:webHidden/>
              </w:rPr>
              <w:fldChar w:fldCharType="end"/>
            </w:r>
          </w:hyperlink>
        </w:p>
        <w:p w14:paraId="79C25DBC" w14:textId="4DDA9445" w:rsidR="002C20A2" w:rsidRPr="00C45157" w:rsidRDefault="002C20A2" w:rsidP="00C45157">
          <w:pPr>
            <w:pStyle w:val="Verzeichnis1"/>
            <w:tabs>
              <w:tab w:val="left" w:pos="851"/>
            </w:tabs>
            <w:rPr>
              <w:rFonts w:ascii="KievitPro-Regular" w:eastAsiaTheme="minorEastAsia" w:hAnsi="KievitPro-Regular" w:cstheme="minorBidi"/>
              <w:snapToGrid/>
              <w:kern w:val="2"/>
              <w:sz w:val="24"/>
              <w:szCs w:val="24"/>
              <w:lang w:val="de-CH" w:eastAsia="de-CH"/>
              <w14:ligatures w14:val="standardContextual"/>
            </w:rPr>
          </w:pPr>
          <w:hyperlink w:anchor="_Toc231482660" w:history="1">
            <w:r w:rsidRPr="00C45157">
              <w:rPr>
                <w:rStyle w:val="Hyperlink"/>
                <w:rFonts w:ascii="KievitPro-Regular" w:hAnsi="KievitPro-Regular" w:cs="Arial"/>
                <w:smallCaps/>
                <w:spacing w:val="5"/>
                <w:lang w:eastAsia="en-US"/>
              </w:rPr>
              <w:t>11.3.</w:t>
            </w:r>
            <w:r w:rsidRPr="00C45157">
              <w:rPr>
                <w:rFonts w:ascii="KievitPro-Regular" w:eastAsiaTheme="minorEastAsia" w:hAnsi="KievitPro-Regular" w:cstheme="minorBidi"/>
                <w:snapToGrid/>
                <w:kern w:val="2"/>
                <w:sz w:val="24"/>
                <w:szCs w:val="24"/>
                <w:lang w:val="de-CH" w:eastAsia="de-CH"/>
                <w14:ligatures w14:val="standardContextual"/>
              </w:rPr>
              <w:tab/>
            </w:r>
            <w:r w:rsidRPr="00C45157">
              <w:rPr>
                <w:rStyle w:val="Hyperlink"/>
                <w:rFonts w:ascii="KievitPro-Regular" w:hAnsi="KievitPro-Regular" w:cs="Arial"/>
                <w:smallCaps/>
                <w:spacing w:val="5"/>
                <w:lang w:eastAsia="en-US"/>
              </w:rPr>
              <w:t>Manuel modèle de gestion de la qualité selon l’IGQ</w:t>
            </w:r>
            <w:r w:rsidRPr="00C45157">
              <w:rPr>
                <w:rFonts w:ascii="KievitPro-Regular" w:hAnsi="KievitPro-Regular"/>
                <w:webHidden/>
              </w:rPr>
              <w:tab/>
            </w:r>
            <w:r w:rsidRPr="00C45157">
              <w:rPr>
                <w:rFonts w:ascii="KievitPro-Regular" w:hAnsi="KievitPro-Regular"/>
                <w:webHidden/>
              </w:rPr>
              <w:fldChar w:fldCharType="begin"/>
            </w:r>
            <w:r w:rsidRPr="00C45157">
              <w:rPr>
                <w:rFonts w:ascii="KievitPro-Regular" w:hAnsi="KievitPro-Regular"/>
                <w:webHidden/>
              </w:rPr>
              <w:instrText xml:space="preserve"> PAGEREF _Toc231482660 \h </w:instrText>
            </w:r>
            <w:r w:rsidRPr="00C45157">
              <w:rPr>
                <w:rFonts w:ascii="KievitPro-Regular" w:hAnsi="KievitPro-Regular"/>
                <w:webHidden/>
              </w:rPr>
            </w:r>
            <w:r w:rsidRPr="00C45157">
              <w:rPr>
                <w:rFonts w:ascii="KievitPro-Regular" w:hAnsi="KievitPro-Regular"/>
                <w:webHidden/>
              </w:rPr>
              <w:fldChar w:fldCharType="separate"/>
            </w:r>
            <w:r w:rsidR="00AA4C8C">
              <w:rPr>
                <w:rFonts w:ascii="KievitPro-Regular" w:hAnsi="KievitPro-Regular"/>
                <w:webHidden/>
              </w:rPr>
              <w:t>29</w:t>
            </w:r>
            <w:r w:rsidRPr="00C45157">
              <w:rPr>
                <w:rFonts w:ascii="KievitPro-Regular" w:hAnsi="KievitPro-Regular"/>
                <w:webHidden/>
              </w:rPr>
              <w:fldChar w:fldCharType="end"/>
            </w:r>
          </w:hyperlink>
        </w:p>
        <w:p w14:paraId="23611A5C" w14:textId="3092E744" w:rsidR="006213EC" w:rsidRPr="00C45157" w:rsidRDefault="006213EC" w:rsidP="00C45157">
          <w:pPr>
            <w:tabs>
              <w:tab w:val="left" w:pos="851"/>
            </w:tabs>
            <w:rPr>
              <w:rFonts w:ascii="KievitPro-Regular" w:hAnsi="KievitPro-Regular"/>
            </w:rPr>
          </w:pPr>
          <w:r w:rsidRPr="00C45157">
            <w:rPr>
              <w:rFonts w:ascii="KievitPro-Regular" w:hAnsi="KievitPro-Regular"/>
              <w:b/>
              <w:bCs/>
            </w:rPr>
            <w:fldChar w:fldCharType="end"/>
          </w:r>
        </w:p>
      </w:sdtContent>
    </w:sdt>
    <w:p w14:paraId="6328BB36" w14:textId="40F8D2F8" w:rsidR="008A6A5E" w:rsidRPr="00C45157" w:rsidRDefault="008A6A5E" w:rsidP="008A6A5E">
      <w:pPr>
        <w:jc w:val="left"/>
        <w:rPr>
          <w:rFonts w:ascii="KievitPro-Regular" w:hAnsi="KievitPro-Regular"/>
        </w:rPr>
      </w:pPr>
    </w:p>
    <w:p w14:paraId="24C23CA0" w14:textId="06621103" w:rsidR="008A6A5E" w:rsidRPr="00C45157" w:rsidRDefault="008A6A5E" w:rsidP="008A6A5E">
      <w:pPr>
        <w:jc w:val="left"/>
        <w:rPr>
          <w:rFonts w:ascii="KievitPro-Regular" w:hAnsi="KievitPro-Regular"/>
        </w:rPr>
      </w:pPr>
    </w:p>
    <w:p w14:paraId="7B33579C" w14:textId="77CC273C" w:rsidR="008A6A5E" w:rsidRPr="00C45157" w:rsidRDefault="008A6A5E" w:rsidP="008A6A5E">
      <w:pPr>
        <w:jc w:val="left"/>
        <w:rPr>
          <w:rFonts w:ascii="KievitPro-Regular" w:hAnsi="KievitPro-Regular"/>
        </w:rPr>
      </w:pPr>
    </w:p>
    <w:p w14:paraId="432D317A" w14:textId="77777777" w:rsidR="009E6D77" w:rsidRPr="00C45157" w:rsidRDefault="009E6D77" w:rsidP="008A6A5E">
      <w:pPr>
        <w:jc w:val="left"/>
        <w:rPr>
          <w:rFonts w:ascii="KievitPro-Regular" w:hAnsi="KievitPro-Regular"/>
        </w:rPr>
      </w:pPr>
    </w:p>
    <w:p w14:paraId="6E0A2699" w14:textId="36CABBAE" w:rsidR="008A6A5E" w:rsidRPr="00C45157" w:rsidRDefault="008A6A5E" w:rsidP="008A6A5E">
      <w:pPr>
        <w:jc w:val="left"/>
        <w:rPr>
          <w:rFonts w:ascii="KievitPro-Regular" w:hAnsi="KievitPro-Regular"/>
        </w:rPr>
      </w:pPr>
    </w:p>
    <w:p w14:paraId="1A8EDB9A" w14:textId="32F4D4FF" w:rsidR="008A6A5E" w:rsidRPr="00C45157" w:rsidRDefault="008A6A5E" w:rsidP="008A6A5E">
      <w:pPr>
        <w:jc w:val="left"/>
        <w:rPr>
          <w:rFonts w:ascii="KievitPro-Regular" w:hAnsi="KievitPro-Regular"/>
        </w:rPr>
      </w:pPr>
    </w:p>
    <w:p w14:paraId="759C0DE1" w14:textId="2005C1D1" w:rsidR="008A6A5E" w:rsidRPr="00C45157" w:rsidRDefault="008A6A5E" w:rsidP="008A6A5E">
      <w:pPr>
        <w:jc w:val="left"/>
        <w:rPr>
          <w:rFonts w:ascii="KievitPro-Regular" w:hAnsi="KievitPro-Regular"/>
        </w:rPr>
      </w:pPr>
    </w:p>
    <w:p w14:paraId="73FE43CC" w14:textId="003F1DD6" w:rsidR="002C20A2" w:rsidRPr="00C45157" w:rsidRDefault="002C20A2" w:rsidP="008A6A5E">
      <w:pPr>
        <w:jc w:val="left"/>
        <w:rPr>
          <w:rFonts w:ascii="KievitPro-Regular" w:hAnsi="KievitPro-Regular"/>
        </w:rPr>
      </w:pPr>
    </w:p>
    <w:p w14:paraId="0D7C2149" w14:textId="77777777" w:rsidR="002C20A2" w:rsidRPr="00C45157" w:rsidRDefault="002C20A2" w:rsidP="008A6A5E">
      <w:pPr>
        <w:jc w:val="left"/>
        <w:rPr>
          <w:rFonts w:ascii="KievitPro-Regular" w:hAnsi="KievitPro-Regular"/>
        </w:rPr>
      </w:pPr>
    </w:p>
    <w:p w14:paraId="2B5ACE12" w14:textId="15AB5A03" w:rsidR="008A6A5E" w:rsidRPr="00C45157" w:rsidRDefault="00D53C30" w:rsidP="00280014">
      <w:pPr>
        <w:pStyle w:val="berschrift1"/>
        <w:keepNext w:val="0"/>
        <w:numPr>
          <w:ilvl w:val="0"/>
          <w:numId w:val="17"/>
        </w:numPr>
        <w:tabs>
          <w:tab w:val="num" w:pos="207"/>
        </w:tabs>
        <w:spacing w:before="480" w:after="240" w:line="276" w:lineRule="auto"/>
        <w:contextualSpacing/>
        <w:jc w:val="left"/>
        <w:rPr>
          <w:rFonts w:ascii="KievitPro-Regular" w:hAnsi="KievitPro-Regular" w:cs="Arial"/>
          <w:smallCaps/>
          <w:snapToGrid/>
          <w:spacing w:val="5"/>
          <w:kern w:val="0"/>
          <w:sz w:val="28"/>
          <w:szCs w:val="28"/>
          <w:lang w:eastAsia="en-US"/>
        </w:rPr>
      </w:pPr>
      <w:bookmarkStart w:id="0" w:name="_Toc142481501"/>
      <w:bookmarkStart w:id="1" w:name="_Toc231482615"/>
      <w:r w:rsidRPr="00C45157">
        <w:rPr>
          <w:rFonts w:ascii="KievitPro-Regular" w:hAnsi="KievitPro-Regular" w:cs="Arial"/>
          <w:smallCaps/>
          <w:snapToGrid/>
          <w:spacing w:val="5"/>
          <w:kern w:val="0"/>
          <w:sz w:val="28"/>
          <w:szCs w:val="28"/>
          <w:lang w:eastAsia="en-US"/>
        </w:rPr>
        <w:t>I</w:t>
      </w:r>
      <w:r w:rsidR="007163FC" w:rsidRPr="00C45157">
        <w:rPr>
          <w:rFonts w:ascii="KievitPro-Regular" w:hAnsi="KievitPro-Regular" w:cs="Arial"/>
          <w:smallCaps/>
          <w:snapToGrid/>
          <w:spacing w:val="5"/>
          <w:kern w:val="0"/>
          <w:sz w:val="28"/>
          <w:szCs w:val="28"/>
          <w:lang w:eastAsia="en-US"/>
        </w:rPr>
        <w:t>ntroduction</w:t>
      </w:r>
      <w:bookmarkEnd w:id="0"/>
      <w:bookmarkEnd w:id="1"/>
    </w:p>
    <w:p w14:paraId="2320B869" w14:textId="5FEE1A32" w:rsidR="008547EE" w:rsidRPr="00C45157" w:rsidRDefault="007163FC"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 w:name="_Toc231482616"/>
      <w:r w:rsidRPr="00C45157">
        <w:rPr>
          <w:rFonts w:ascii="KievitPro-Regular" w:hAnsi="KievitPro-Regular" w:cs="Arial"/>
          <w:smallCaps/>
          <w:snapToGrid/>
          <w:spacing w:val="5"/>
          <w:kern w:val="0"/>
          <w:sz w:val="24"/>
          <w:szCs w:val="24"/>
          <w:lang w:eastAsia="en-US"/>
        </w:rPr>
        <w:t>Généralités</w:t>
      </w:r>
      <w:bookmarkEnd w:id="2"/>
    </w:p>
    <w:p w14:paraId="548E3C9A" w14:textId="7ABDFAF1" w:rsidR="007163FC" w:rsidRPr="00C45157" w:rsidRDefault="007163FC"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 w:name="_Toc231482617"/>
      <w:r w:rsidRPr="00C45157">
        <w:rPr>
          <w:rFonts w:ascii="KievitPro-Regular" w:hAnsi="KievitPro-Regular" w:cs="Arial"/>
          <w:smallCaps/>
          <w:snapToGrid/>
          <w:spacing w:val="5"/>
          <w:kern w:val="0"/>
          <w:sz w:val="22"/>
          <w:szCs w:val="22"/>
          <w:lang w:eastAsia="en-US"/>
        </w:rPr>
        <w:t>Prescriptions professionnelles</w:t>
      </w:r>
      <w:bookmarkEnd w:id="3"/>
    </w:p>
    <w:p w14:paraId="006A48C6" w14:textId="757218EF" w:rsidR="008A6A5E" w:rsidRPr="00C45157" w:rsidRDefault="007163FC" w:rsidP="00D13467">
      <w:pPr>
        <w:spacing w:line="276" w:lineRule="auto"/>
        <w:rPr>
          <w:rFonts w:ascii="KievitPro-Regular" w:hAnsi="KievitPro-Regular"/>
          <w:sz w:val="22"/>
          <w:szCs w:val="22"/>
        </w:rPr>
      </w:pPr>
      <w:r w:rsidRPr="00C45157">
        <w:rPr>
          <w:rFonts w:ascii="KievitPro-Regular" w:hAnsi="KievitPro-Regular"/>
          <w:sz w:val="22"/>
          <w:szCs w:val="22"/>
        </w:rPr>
        <w:t>Conformément à la circulaire 1/2014 relative au système interne de gestion de la qualité dans les entreprises de révision, l’Autorité fédérale de surveillance en matière de révision (ASR) exige des entreprises de révision agréées, selon le type de prestations de révision prescrites par la loi qu’elles fournissent, que le système de gestion de la qualité légalement requis soit mis en œuvre au minimum conformément</w:t>
      </w:r>
      <w:r w:rsidR="00FE6C36" w:rsidRPr="00C45157">
        <w:rPr>
          <w:rFonts w:ascii="KievitPro-Regular" w:hAnsi="KievitPro-Regular"/>
          <w:sz w:val="22"/>
          <w:szCs w:val="22"/>
        </w:rPr>
        <w:t xml:space="preserve"> </w:t>
      </w:r>
      <w:r w:rsidRPr="00C45157">
        <w:rPr>
          <w:rFonts w:ascii="KievitPro-Regular" w:hAnsi="KievitPro-Regular"/>
          <w:sz w:val="22"/>
          <w:szCs w:val="22"/>
        </w:rPr>
        <w:t>:</w:t>
      </w:r>
    </w:p>
    <w:p w14:paraId="7C7A401A" w14:textId="4DA16B34" w:rsidR="007163FC" w:rsidRPr="00C45157" w:rsidRDefault="00FE6C36" w:rsidP="00280014">
      <w:pPr>
        <w:pStyle w:val="Listenabsatz"/>
        <w:numPr>
          <w:ilvl w:val="0"/>
          <w:numId w:val="19"/>
        </w:numPr>
        <w:spacing w:before="120" w:after="120" w:line="276" w:lineRule="auto"/>
        <w:rPr>
          <w:rFonts w:ascii="KievitPro-Regular" w:hAnsi="KievitPro-Regular" w:cs="Arial"/>
          <w:snapToGrid/>
          <w:color w:val="000000" w:themeColor="text1"/>
          <w:sz w:val="22"/>
          <w:szCs w:val="22"/>
        </w:rPr>
      </w:pPr>
      <w:r w:rsidRPr="00C45157">
        <w:rPr>
          <w:rFonts w:ascii="KievitPro-Regular" w:hAnsi="KievitPro-Regular" w:cs="Arial"/>
          <w:snapToGrid/>
          <w:color w:val="000000" w:themeColor="text1"/>
          <w:sz w:val="22"/>
          <w:szCs w:val="22"/>
        </w:rPr>
        <w:t>Aux</w:t>
      </w:r>
      <w:r w:rsidR="007163FC" w:rsidRPr="00C45157">
        <w:rPr>
          <w:rFonts w:ascii="KievitPro-Regular" w:hAnsi="KievitPro-Regular" w:cs="Arial"/>
          <w:snapToGrid/>
          <w:color w:val="000000" w:themeColor="text1"/>
          <w:sz w:val="22"/>
          <w:szCs w:val="22"/>
        </w:rPr>
        <w:t xml:space="preserve"> exigences des normes ISQM-CH 1, ISQM-CH 2 et ISA-CH 220 publiées par EXPERTsuisse ; </w:t>
      </w:r>
      <w:r w:rsidR="007163FC" w:rsidRPr="00C45157">
        <w:rPr>
          <w:rFonts w:ascii="KievitPro-Regular" w:hAnsi="KievitPro-Regular" w:cs="Arial"/>
          <w:b/>
          <w:bCs/>
          <w:snapToGrid/>
          <w:color w:val="000000" w:themeColor="text1"/>
          <w:sz w:val="22"/>
          <w:szCs w:val="22"/>
        </w:rPr>
        <w:t>ou</w:t>
      </w:r>
    </w:p>
    <w:p w14:paraId="78FA31B5" w14:textId="405015EE" w:rsidR="007163FC" w:rsidRPr="00C45157" w:rsidRDefault="00FE6C36" w:rsidP="00280014">
      <w:pPr>
        <w:pStyle w:val="Listenabsatz"/>
        <w:numPr>
          <w:ilvl w:val="0"/>
          <w:numId w:val="19"/>
        </w:numPr>
        <w:spacing w:before="120" w:after="120" w:line="276" w:lineRule="auto"/>
        <w:rPr>
          <w:rFonts w:ascii="KievitPro-Regular" w:hAnsi="KievitPro-Regular"/>
          <w:sz w:val="22"/>
          <w:szCs w:val="22"/>
        </w:rPr>
      </w:pPr>
      <w:r w:rsidRPr="00C45157">
        <w:rPr>
          <w:rFonts w:ascii="KievitPro-Regular" w:hAnsi="KievitPro-Regular" w:cs="Arial"/>
          <w:snapToGrid/>
          <w:color w:val="000000" w:themeColor="text1"/>
          <w:sz w:val="22"/>
          <w:szCs w:val="22"/>
        </w:rPr>
        <w:t>L’Instruction</w:t>
      </w:r>
      <w:r w:rsidR="007163FC" w:rsidRPr="00C45157">
        <w:rPr>
          <w:rFonts w:ascii="KievitPro-Regular" w:hAnsi="KievitPro-Regular" w:cs="Arial"/>
          <w:snapToGrid/>
          <w:color w:val="000000" w:themeColor="text1"/>
          <w:sz w:val="22"/>
          <w:szCs w:val="22"/>
        </w:rPr>
        <w:t xml:space="preserve"> sur la gestion de la qualité dans les petites et moyennes entreprises de révision (ci-après «</w:t>
      </w:r>
      <w:r w:rsidR="007163FC" w:rsidRPr="00C45157">
        <w:rPr>
          <w:rFonts w:ascii="KievitPro-Regular" w:hAnsi="KievitPro-Regular"/>
          <w:sz w:val="22"/>
          <w:szCs w:val="22"/>
        </w:rPr>
        <w:t xml:space="preserve"> </w:t>
      </w:r>
      <w:r w:rsidR="009E6D77" w:rsidRPr="00C45157">
        <w:rPr>
          <w:rFonts w:ascii="KievitPro-Regular" w:hAnsi="KievitPro-Regular"/>
          <w:sz w:val="22"/>
          <w:szCs w:val="22"/>
        </w:rPr>
        <w:t>IGQ</w:t>
      </w:r>
      <w:r w:rsidR="007163FC" w:rsidRPr="00C45157">
        <w:rPr>
          <w:rFonts w:ascii="KievitPro-Regular" w:hAnsi="KievitPro-Regular"/>
          <w:sz w:val="22"/>
          <w:szCs w:val="22"/>
        </w:rPr>
        <w:t xml:space="preserve"> ») de FIDUCIAIRE|SUISSE.</w:t>
      </w:r>
    </w:p>
    <w:p w14:paraId="3151EE28" w14:textId="77777777" w:rsidR="007163FC" w:rsidRPr="00C45157" w:rsidRDefault="007163FC" w:rsidP="00D13467">
      <w:pPr>
        <w:spacing w:line="276" w:lineRule="auto"/>
        <w:rPr>
          <w:rFonts w:ascii="KievitPro-Regular" w:hAnsi="KievitPro-Regular"/>
          <w:sz w:val="22"/>
          <w:szCs w:val="22"/>
        </w:rPr>
      </w:pPr>
      <w:r w:rsidRPr="00C45157">
        <w:rPr>
          <w:rFonts w:ascii="KievitPro-Regular" w:hAnsi="KievitPro-Regular"/>
          <w:sz w:val="22"/>
          <w:szCs w:val="22"/>
        </w:rPr>
        <w:t>Les entreprises de révision qui n’effectuent pas exclusivement des contrôles restreints doivent en principe appliquer les normes ISQM-CH 1, ISQM-CH 2 et ISA-CH 220 publiées par EXPERTsuisse.</w:t>
      </w:r>
    </w:p>
    <w:p w14:paraId="2F2A42AF" w14:textId="4C137971" w:rsidR="007163FC" w:rsidRPr="00C45157" w:rsidRDefault="007163FC" w:rsidP="00D13467">
      <w:pPr>
        <w:spacing w:line="276" w:lineRule="auto"/>
        <w:rPr>
          <w:rFonts w:ascii="KievitPro-Regular" w:hAnsi="KievitPro-Regular"/>
          <w:sz w:val="22"/>
          <w:szCs w:val="22"/>
        </w:rPr>
      </w:pPr>
      <w:r w:rsidRPr="00C45157">
        <w:rPr>
          <w:rFonts w:ascii="KievitPro-Regular" w:hAnsi="KievitPro-Regular"/>
          <w:sz w:val="22"/>
          <w:szCs w:val="22"/>
        </w:rPr>
        <w:t>Pour les entreprises de révision qui effectuent exclusivement des contrôles restreints, les Normes suisses d’audit (NA-CH) et, par conséquent, la norme ISA-CH 220 « Gestion de la qualité d’un audit d’états financiers » ne sont pas applicables.</w:t>
      </w:r>
    </w:p>
    <w:p w14:paraId="6716EFD8" w14:textId="77777777" w:rsidR="00D13467" w:rsidRPr="00C45157" w:rsidRDefault="00D13467" w:rsidP="00D13467">
      <w:pPr>
        <w:spacing w:line="276" w:lineRule="auto"/>
        <w:rPr>
          <w:rFonts w:ascii="KievitPro-Regular" w:hAnsi="KievitPro-Regular"/>
          <w:sz w:val="22"/>
          <w:szCs w:val="22"/>
        </w:rPr>
      </w:pPr>
    </w:p>
    <w:p w14:paraId="167C3AC3" w14:textId="77BE7021" w:rsidR="00D709F2" w:rsidRPr="00C45157" w:rsidRDefault="00D709F2" w:rsidP="00D13467">
      <w:pPr>
        <w:spacing w:line="276" w:lineRule="auto"/>
        <w:rPr>
          <w:rFonts w:ascii="KievitPro-Regular" w:hAnsi="KievitPro-Regular" w:cs="Arial"/>
          <w:color w:val="000000" w:themeColor="text1"/>
          <w:sz w:val="22"/>
          <w:szCs w:val="22"/>
        </w:rPr>
      </w:pPr>
      <w:r w:rsidRPr="00C45157">
        <w:rPr>
          <w:rFonts w:ascii="KievitPro-Regular" w:hAnsi="KievitPro-Regular" w:cs="Arial"/>
          <w:color w:val="000000" w:themeColor="text1"/>
          <w:sz w:val="22"/>
          <w:szCs w:val="22"/>
        </w:rPr>
        <w:t>L’IGQ n’est pas applicable aux entreprises de révision qui effectuent des contrôles ordinaires, des contrôles spéciaux ou des audits des comptes annuels d’institutions de prévoyance dans le domaine de la prévoyance professionnelle vieillesse, survivants et invalidité (art. 52c, al. 1, let. a LPP</w:t>
      </w:r>
      <w:r w:rsidRPr="00C45157">
        <w:rPr>
          <w:rStyle w:val="Funotenzeichen"/>
          <w:rFonts w:ascii="KievitPro-Regular" w:hAnsi="KievitPro-Regular" w:cs="Arial"/>
          <w:color w:val="000000" w:themeColor="text1"/>
          <w:szCs w:val="22"/>
        </w:rPr>
        <w:footnoteReference w:id="1"/>
      </w:r>
      <w:r w:rsidRPr="00C45157">
        <w:rPr>
          <w:rFonts w:ascii="KievitPro-Regular" w:hAnsi="KievitPro-Regular" w:cs="Arial"/>
          <w:color w:val="000000" w:themeColor="text1"/>
          <w:sz w:val="22"/>
          <w:szCs w:val="22"/>
        </w:rPr>
        <w:t>), d’assureurs-maladie (art. 25, al. 1, let. a et al. 2 LSAMal</w:t>
      </w:r>
      <w:r w:rsidRPr="00C45157">
        <w:rPr>
          <w:rFonts w:ascii="KievitPro-Regular" w:hAnsi="KievitPro-Regular" w:cs="Arial"/>
          <w:color w:val="000000" w:themeColor="text1"/>
          <w:sz w:val="22"/>
          <w:szCs w:val="22"/>
          <w:vertAlign w:val="superscript"/>
        </w:rPr>
        <w:t xml:space="preserve"> </w:t>
      </w:r>
      <w:r w:rsidRPr="00C45157">
        <w:rPr>
          <w:rStyle w:val="Funotenzeichen"/>
          <w:rFonts w:ascii="KievitPro-Regular" w:hAnsi="KievitPro-Regular" w:cs="Arial"/>
          <w:color w:val="000000" w:themeColor="text1"/>
          <w:szCs w:val="22"/>
        </w:rPr>
        <w:footnoteReference w:id="2"/>
      </w:r>
      <w:r w:rsidRPr="00C45157">
        <w:rPr>
          <w:rFonts w:ascii="KievitPro-Regular" w:hAnsi="KievitPro-Regular" w:cs="Arial"/>
          <w:color w:val="000000" w:themeColor="text1"/>
          <w:sz w:val="22"/>
          <w:szCs w:val="22"/>
        </w:rPr>
        <w:t>), de maisons de jeu ou d’organisateurs de jeux de grande envergure (art. 49, al. 3 LJAr</w:t>
      </w:r>
      <w:r w:rsidRPr="00C45157">
        <w:rPr>
          <w:rFonts w:ascii="KievitPro-Regular" w:hAnsi="KievitPro-Regular" w:cs="Arial"/>
          <w:color w:val="000000" w:themeColor="text1"/>
          <w:sz w:val="22"/>
          <w:szCs w:val="22"/>
          <w:vertAlign w:val="superscript"/>
        </w:rPr>
        <w:t xml:space="preserve"> </w:t>
      </w:r>
      <w:r w:rsidRPr="00C45157">
        <w:rPr>
          <w:rStyle w:val="Funotenzeichen"/>
          <w:rFonts w:ascii="KievitPro-Regular" w:hAnsi="KievitPro-Regular" w:cs="Arial"/>
          <w:color w:val="000000" w:themeColor="text1"/>
          <w:szCs w:val="22"/>
        </w:rPr>
        <w:footnoteReference w:id="3"/>
      </w:r>
      <w:r w:rsidRPr="00C45157">
        <w:rPr>
          <w:rFonts w:ascii="KievitPro-Regular" w:hAnsi="KievitPro-Regular" w:cs="Arial"/>
          <w:color w:val="000000" w:themeColor="text1"/>
          <w:sz w:val="22"/>
          <w:szCs w:val="22"/>
        </w:rPr>
        <w:t>), ni aux caisses de compensation AVS ou à leurs agences (art. 68 et 68a LAVS</w:t>
      </w:r>
      <w:r w:rsidRPr="00C45157">
        <w:rPr>
          <w:rStyle w:val="Funotenzeichen"/>
          <w:rFonts w:ascii="KievitPro-Regular" w:hAnsi="KievitPro-Regular" w:cs="Arial"/>
          <w:color w:val="000000" w:themeColor="text1"/>
          <w:szCs w:val="22"/>
        </w:rPr>
        <w:footnoteReference w:id="4"/>
      </w:r>
      <w:r w:rsidRPr="00C45157">
        <w:rPr>
          <w:rFonts w:ascii="KievitPro-Regular" w:hAnsi="KievitPro-Regular" w:cs="Arial"/>
          <w:color w:val="000000" w:themeColor="text1"/>
          <w:sz w:val="22"/>
          <w:szCs w:val="22"/>
        </w:rPr>
        <w:t>)</w:t>
      </w:r>
      <w:r w:rsidR="00D13467" w:rsidRPr="00C45157">
        <w:rPr>
          <w:rStyle w:val="Funotenzeichen"/>
          <w:rFonts w:ascii="KievitPro-Regular" w:hAnsi="KievitPro-Regular" w:cs="Arial"/>
          <w:color w:val="000000" w:themeColor="text1"/>
          <w:szCs w:val="22"/>
        </w:rPr>
        <w:footnoteReference w:id="5"/>
      </w:r>
      <w:r w:rsidRPr="00C45157">
        <w:rPr>
          <w:rFonts w:ascii="KievitPro-Regular" w:hAnsi="KievitPro-Regular" w:cs="Arial"/>
          <w:color w:val="000000" w:themeColor="text1"/>
          <w:sz w:val="22"/>
          <w:szCs w:val="22"/>
        </w:rPr>
        <w:t>.</w:t>
      </w:r>
    </w:p>
    <w:p w14:paraId="658BBE8B" w14:textId="77777777" w:rsidR="00FE6C36" w:rsidRPr="00C45157" w:rsidRDefault="00FE6C36" w:rsidP="00D13467">
      <w:pPr>
        <w:spacing w:line="276" w:lineRule="auto"/>
        <w:rPr>
          <w:rFonts w:ascii="KievitPro-Regular" w:hAnsi="KievitPro-Regular" w:cs="Arial"/>
          <w:color w:val="000000" w:themeColor="text1"/>
          <w:sz w:val="22"/>
          <w:szCs w:val="22"/>
        </w:rPr>
      </w:pPr>
    </w:p>
    <w:p w14:paraId="3D19BA41" w14:textId="53E44886" w:rsidR="00FE6C36" w:rsidRPr="00C45157" w:rsidRDefault="00D709F2" w:rsidP="00D13467">
      <w:pPr>
        <w:spacing w:line="276" w:lineRule="auto"/>
        <w:rPr>
          <w:rFonts w:ascii="KievitPro-Regular" w:hAnsi="KievitPro-Regular" w:cs="Arial"/>
          <w:color w:val="000000" w:themeColor="text1"/>
          <w:sz w:val="22"/>
          <w:szCs w:val="22"/>
        </w:rPr>
      </w:pPr>
      <w:r w:rsidRPr="00C45157">
        <w:rPr>
          <w:rFonts w:ascii="KievitPro-Regular" w:hAnsi="KievitPro-Regular" w:cs="Arial"/>
          <w:color w:val="000000" w:themeColor="text1"/>
          <w:sz w:val="22"/>
          <w:szCs w:val="22"/>
        </w:rPr>
        <w:t>L’IGQ porte sur la gestion de la qualité des prestations de révision prescrites par la loi au sens de l’art. 2, let. a, ch. 1 LSR. Les prestations de conseil fiscal ou toute autre activité de conseil exercée par des experts-comptables ne relèvent expressément pas du champ d’application de l’IGQ.</w:t>
      </w:r>
    </w:p>
    <w:p w14:paraId="69A0FA4F" w14:textId="77777777" w:rsidR="00D13467" w:rsidRPr="00C45157" w:rsidRDefault="00D13467" w:rsidP="00D13467">
      <w:pPr>
        <w:spacing w:line="276" w:lineRule="auto"/>
        <w:rPr>
          <w:rFonts w:ascii="KievitPro-Regular" w:hAnsi="KievitPro-Regular" w:cs="Arial"/>
          <w:color w:val="000000" w:themeColor="text1"/>
          <w:sz w:val="22"/>
          <w:szCs w:val="22"/>
        </w:rPr>
      </w:pPr>
    </w:p>
    <w:p w14:paraId="407DB3C0" w14:textId="77777777" w:rsidR="00D13467" w:rsidRPr="00C45157" w:rsidRDefault="00D13467" w:rsidP="00D13467">
      <w:pPr>
        <w:spacing w:line="276" w:lineRule="auto"/>
        <w:rPr>
          <w:rFonts w:ascii="KievitPro-Regular" w:hAnsi="KievitPro-Regular" w:cs="Arial"/>
          <w:color w:val="000000" w:themeColor="text1"/>
          <w:sz w:val="22"/>
          <w:szCs w:val="22"/>
        </w:rPr>
      </w:pPr>
      <w:r w:rsidRPr="00C45157">
        <w:rPr>
          <w:rFonts w:ascii="KievitPro-Regular" w:hAnsi="KievitPro-Regular" w:cs="Arial"/>
          <w:color w:val="000000" w:themeColor="text1"/>
          <w:sz w:val="22"/>
          <w:szCs w:val="22"/>
        </w:rPr>
        <w:t>L’IGQ s’applique aux entreprises de révision qui, en raison de leur taille, de leur structure organisationnelle et de la nature des prestations de révision qu’elles fournissent, peuvent être qualifiées de petites ou moyennes entreprises. Elle s’adresse en particulier aux entreprises de révision disposant de structures organisationnelles et de ressources humaines de taille modeste, pour lesquelles les exigences légales et professionnelles en matière de gestion de la qualité doivent être mises en œuvre de manière proportionnée et adaptée à la pratique.</w:t>
      </w:r>
    </w:p>
    <w:p w14:paraId="517A85A6" w14:textId="77777777" w:rsidR="00D13467" w:rsidRPr="00C45157" w:rsidRDefault="00D13467" w:rsidP="00D13467">
      <w:pPr>
        <w:spacing w:line="276" w:lineRule="auto"/>
        <w:rPr>
          <w:rFonts w:ascii="KievitPro-Regular" w:hAnsi="KievitPro-Regular"/>
          <w:sz w:val="22"/>
          <w:szCs w:val="22"/>
        </w:rPr>
      </w:pPr>
    </w:p>
    <w:p w14:paraId="3165AE88" w14:textId="77777777" w:rsidR="00D13467" w:rsidRPr="00C45157" w:rsidRDefault="00D13467" w:rsidP="00D13467">
      <w:pPr>
        <w:spacing w:line="276" w:lineRule="auto"/>
        <w:rPr>
          <w:rFonts w:ascii="KievitPro-Regular" w:hAnsi="KievitPro-Regular"/>
          <w:sz w:val="22"/>
          <w:szCs w:val="22"/>
        </w:rPr>
      </w:pPr>
      <w:r w:rsidRPr="00C45157">
        <w:rPr>
          <w:rFonts w:ascii="KievitPro-Regular" w:hAnsi="KievitPro-Regular"/>
          <w:sz w:val="22"/>
          <w:szCs w:val="22"/>
        </w:rPr>
        <w:t xml:space="preserve">Le système interne de gestion de la qualité doit être adapté à la taille de l’entreprise de révision ainsi qu’à la complexité des mandats. Dans les très petites structures, le degré de formalisation peut ainsi être réduit </w:t>
      </w:r>
      <w:r w:rsidRPr="00C45157">
        <w:rPr>
          <w:rFonts w:ascii="KievitPro-Regular" w:hAnsi="KievitPro-Regular"/>
          <w:sz w:val="22"/>
          <w:szCs w:val="22"/>
        </w:rPr>
        <w:lastRenderedPageBreak/>
        <w:t>en conséquence (gestion de la qualité adaptée à la taille et à la complexité de l’entreprise). La conception concrète du système relève de la responsabilité propre de l’entreprise de révision.</w:t>
      </w:r>
    </w:p>
    <w:p w14:paraId="3947E1CE" w14:textId="77777777" w:rsidR="00D13467" w:rsidRPr="00C45157" w:rsidRDefault="00D13467" w:rsidP="00D13467">
      <w:pPr>
        <w:spacing w:line="276" w:lineRule="auto"/>
        <w:rPr>
          <w:rFonts w:ascii="KievitPro-Regular" w:hAnsi="KievitPro-Regular"/>
          <w:sz w:val="22"/>
          <w:szCs w:val="22"/>
        </w:rPr>
      </w:pPr>
    </w:p>
    <w:p w14:paraId="24E572D2" w14:textId="77777777" w:rsidR="00D13467" w:rsidRPr="00C45157" w:rsidRDefault="00D13467" w:rsidP="00D13467">
      <w:pPr>
        <w:spacing w:line="276" w:lineRule="auto"/>
        <w:rPr>
          <w:rFonts w:ascii="KievitPro-Regular" w:hAnsi="KievitPro-Regular"/>
          <w:sz w:val="22"/>
          <w:szCs w:val="22"/>
        </w:rPr>
      </w:pPr>
      <w:r w:rsidRPr="00C45157">
        <w:rPr>
          <w:rFonts w:ascii="KievitPro-Regular" w:hAnsi="KievitPro-Regular"/>
          <w:sz w:val="22"/>
          <w:szCs w:val="22"/>
        </w:rPr>
        <w:t>La présente IGQ est obligatoire pour les membres de FIDUCIAIRE|SUISSE qui effectuent exclusivement des contrôles restreints à compter du 15 décembre 2026. Elle définit les exigences applicables à un système interne de gestion de la qualité dans l’environnement des PME, y compris les exigences correspondantes en matière de documentation. Le respect de ces exigences peut être vérifié dans le cadre du contrôle des conditions d’adhésion.</w:t>
      </w:r>
    </w:p>
    <w:p w14:paraId="1C4C382C" w14:textId="4237D83C" w:rsidR="00D13467" w:rsidRPr="00C45157" w:rsidRDefault="00D13467"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4" w:name="_Toc231482618"/>
      <w:r w:rsidRPr="00C45157">
        <w:rPr>
          <w:rFonts w:ascii="KievitPro-Regular" w:hAnsi="KievitPro-Regular" w:cs="Arial"/>
          <w:smallCaps/>
          <w:snapToGrid/>
          <w:spacing w:val="5"/>
          <w:kern w:val="0"/>
          <w:sz w:val="22"/>
          <w:szCs w:val="22"/>
          <w:lang w:eastAsia="en-US"/>
        </w:rPr>
        <w:t>Exigences légales</w:t>
      </w:r>
      <w:bookmarkEnd w:id="4"/>
    </w:p>
    <w:p w14:paraId="4E2B3CF6" w14:textId="54C110AA" w:rsidR="00D13467" w:rsidRPr="00C45157" w:rsidRDefault="00D13467" w:rsidP="001A2677">
      <w:pPr>
        <w:spacing w:before="100" w:beforeAutospacing="1" w:after="100" w:afterAutospacing="1" w:line="276" w:lineRule="auto"/>
        <w:rPr>
          <w:rFonts w:ascii="KievitPro-Regular" w:hAnsi="KievitPro-Regular"/>
          <w:snapToGrid/>
          <w:sz w:val="22"/>
          <w:szCs w:val="22"/>
          <w:lang w:eastAsia="de-CH"/>
        </w:rPr>
      </w:pPr>
      <w:r w:rsidRPr="00C45157">
        <w:rPr>
          <w:rFonts w:ascii="KievitPro-Regular" w:hAnsi="KievitPro-Regular"/>
          <w:snapToGrid/>
          <w:sz w:val="22"/>
          <w:szCs w:val="22"/>
          <w:lang w:eastAsia="de-CH"/>
        </w:rPr>
        <w:t>Les entreprises de révision qui fournissent des prestations de révision en vertu de la loi doivent, indépendamment de leur catégorie d’agrément auprès de l’Autorité fédérale de surveillance en matière de révision (ASR), disposer d’une structure de direction suffisante pour assurer la surveillance des différents mandats de révision (art. 6, al. 1, let. d LSR</w:t>
      </w:r>
      <w:r w:rsidR="00532D72" w:rsidRPr="00C45157">
        <w:rPr>
          <w:rStyle w:val="Funotenzeichen"/>
          <w:rFonts w:ascii="KievitPro-Regular" w:hAnsi="KievitPro-Regular" w:cs="Arial"/>
          <w:color w:val="000000" w:themeColor="text1"/>
          <w:szCs w:val="22"/>
        </w:rPr>
        <w:footnoteReference w:id="6"/>
      </w:r>
      <w:r w:rsidRPr="00C45157">
        <w:rPr>
          <w:rFonts w:ascii="KievitPro-Regular" w:hAnsi="KievitPro-Regular"/>
          <w:snapToGrid/>
          <w:sz w:val="22"/>
          <w:szCs w:val="22"/>
          <w:lang w:eastAsia="de-CH"/>
        </w:rPr>
        <w:t>).</w:t>
      </w:r>
    </w:p>
    <w:p w14:paraId="6BCE77D1" w14:textId="77777777" w:rsidR="00D13467" w:rsidRPr="00C45157" w:rsidRDefault="00D13467" w:rsidP="001A2677">
      <w:pPr>
        <w:spacing w:before="100" w:beforeAutospacing="1" w:after="100" w:afterAutospacing="1" w:line="276" w:lineRule="auto"/>
        <w:jc w:val="left"/>
        <w:rPr>
          <w:rFonts w:ascii="KievitPro-Regular" w:hAnsi="KievitPro-Regular"/>
          <w:snapToGrid/>
          <w:sz w:val="22"/>
          <w:szCs w:val="22"/>
          <w:lang w:eastAsia="de-CH"/>
        </w:rPr>
      </w:pPr>
      <w:r w:rsidRPr="00C45157">
        <w:rPr>
          <w:rFonts w:ascii="KievitPro-Regular" w:hAnsi="KievitPro-Regular"/>
          <w:snapToGrid/>
          <w:sz w:val="22"/>
          <w:szCs w:val="22"/>
          <w:lang w:eastAsia="de-CH"/>
        </w:rPr>
        <w:t>L’art. 9, al. 1 OSRev précise cette exigence comme suit :</w:t>
      </w:r>
    </w:p>
    <w:p w14:paraId="6AD76D95" w14:textId="77777777" w:rsidR="00D13467" w:rsidRPr="00C45157" w:rsidRDefault="00D13467" w:rsidP="001A2677">
      <w:pPr>
        <w:spacing w:before="100" w:beforeAutospacing="1" w:after="100" w:afterAutospacing="1" w:line="276" w:lineRule="auto"/>
        <w:jc w:val="left"/>
        <w:rPr>
          <w:rFonts w:ascii="KievitPro-Regular" w:hAnsi="KievitPro-Regular"/>
          <w:snapToGrid/>
          <w:sz w:val="22"/>
          <w:szCs w:val="22"/>
          <w:lang w:eastAsia="de-CH"/>
        </w:rPr>
      </w:pPr>
      <w:r w:rsidRPr="00C45157">
        <w:rPr>
          <w:rFonts w:ascii="KievitPro-Regular" w:hAnsi="KievitPro-Regular"/>
          <w:snapToGrid/>
          <w:sz w:val="22"/>
          <w:szCs w:val="22"/>
          <w:lang w:eastAsia="de-CH"/>
        </w:rPr>
        <w:t>Une entreprise de révision dispose d’une structure de direction suffisante pour assurer la surveillance des différents mandats lorsqu’elle :</w:t>
      </w:r>
    </w:p>
    <w:p w14:paraId="6593D341" w14:textId="23E25B08" w:rsidR="00D13467" w:rsidRPr="00C45157" w:rsidRDefault="00641AE0" w:rsidP="00280014">
      <w:pPr>
        <w:pStyle w:val="Listenabsatz"/>
        <w:numPr>
          <w:ilvl w:val="0"/>
          <w:numId w:val="20"/>
        </w:numPr>
        <w:spacing w:before="100" w:beforeAutospacing="1" w:after="100" w:afterAutospacing="1" w:line="276" w:lineRule="auto"/>
        <w:jc w:val="left"/>
        <w:rPr>
          <w:rFonts w:ascii="KievitPro-Regular" w:hAnsi="KievitPro-Regular"/>
          <w:snapToGrid/>
          <w:sz w:val="22"/>
          <w:szCs w:val="22"/>
          <w:lang w:eastAsia="de-CH"/>
        </w:rPr>
      </w:pPr>
      <w:r w:rsidRPr="00C45157">
        <w:rPr>
          <w:rFonts w:ascii="KievitPro-Regular" w:hAnsi="KievitPro-Regular"/>
          <w:snapToGrid/>
          <w:sz w:val="22"/>
          <w:szCs w:val="22"/>
          <w:lang w:eastAsia="de-CH"/>
        </w:rPr>
        <w:t>Dispose</w:t>
      </w:r>
      <w:r w:rsidR="00D13467" w:rsidRPr="00C45157">
        <w:rPr>
          <w:rFonts w:ascii="KievitPro-Regular" w:hAnsi="KievitPro-Regular"/>
          <w:snapToGrid/>
          <w:sz w:val="22"/>
          <w:szCs w:val="22"/>
          <w:lang w:eastAsia="de-CH"/>
        </w:rPr>
        <w:t xml:space="preserve"> d’un système interne d’assurance-qualité ; et</w:t>
      </w:r>
    </w:p>
    <w:p w14:paraId="20E79389" w14:textId="2EC43BCF" w:rsidR="00D13467" w:rsidRPr="00C45157" w:rsidRDefault="00641AE0" w:rsidP="00280014">
      <w:pPr>
        <w:pStyle w:val="Listenabsatz"/>
        <w:numPr>
          <w:ilvl w:val="0"/>
          <w:numId w:val="20"/>
        </w:numPr>
        <w:spacing w:before="100" w:beforeAutospacing="1" w:after="100" w:afterAutospacing="1" w:line="276" w:lineRule="auto"/>
        <w:jc w:val="left"/>
        <w:rPr>
          <w:rFonts w:ascii="KievitPro-Regular" w:hAnsi="KievitPro-Regular"/>
          <w:snapToGrid/>
          <w:sz w:val="22"/>
          <w:szCs w:val="22"/>
          <w:lang w:eastAsia="de-CH"/>
        </w:rPr>
      </w:pPr>
      <w:r w:rsidRPr="00C45157">
        <w:rPr>
          <w:rFonts w:ascii="KievitPro-Regular" w:hAnsi="KievitPro-Regular"/>
          <w:snapToGrid/>
          <w:sz w:val="22"/>
          <w:szCs w:val="22"/>
          <w:lang w:eastAsia="de-CH"/>
        </w:rPr>
        <w:t>Surveille</w:t>
      </w:r>
      <w:r w:rsidR="00D13467" w:rsidRPr="00C45157">
        <w:rPr>
          <w:rFonts w:ascii="KievitPro-Regular" w:hAnsi="KievitPro-Regular"/>
          <w:snapToGrid/>
          <w:sz w:val="22"/>
          <w:szCs w:val="22"/>
          <w:lang w:eastAsia="de-CH"/>
        </w:rPr>
        <w:t xml:space="preserve"> l’adéquation et l’efficacité des principes et des mesures d’assurance-qualité (art. 9, al. 1 OSRev</w:t>
      </w:r>
      <w:r w:rsidR="00532D72" w:rsidRPr="00C45157">
        <w:rPr>
          <w:rStyle w:val="Funotenzeichen"/>
          <w:rFonts w:ascii="KievitPro-Regular" w:hAnsi="KievitPro-Regular" w:cs="Arial"/>
          <w:color w:val="000000" w:themeColor="text1"/>
          <w:szCs w:val="22"/>
        </w:rPr>
        <w:footnoteReference w:id="7"/>
      </w:r>
      <w:r w:rsidR="00532D72" w:rsidRPr="00C45157">
        <w:rPr>
          <w:rFonts w:ascii="KievitPro-Regular" w:hAnsi="KievitPro-Regular" w:cs="Arial"/>
          <w:color w:val="000000" w:themeColor="text1"/>
          <w:sz w:val="22"/>
          <w:szCs w:val="22"/>
        </w:rPr>
        <w:t>)</w:t>
      </w:r>
      <w:r w:rsidR="00D13467" w:rsidRPr="00C45157">
        <w:rPr>
          <w:rFonts w:ascii="KievitPro-Regular" w:hAnsi="KievitPro-Regular"/>
          <w:snapToGrid/>
          <w:sz w:val="22"/>
          <w:szCs w:val="22"/>
          <w:lang w:eastAsia="de-CH"/>
        </w:rPr>
        <w:t>,</w:t>
      </w:r>
      <w:r w:rsidR="001A2677" w:rsidRPr="00C45157">
        <w:rPr>
          <w:rFonts w:ascii="KievitPro-Regular" w:hAnsi="KievitPro-Regular"/>
          <w:snapToGrid/>
          <w:sz w:val="22"/>
          <w:szCs w:val="22"/>
          <w:lang w:eastAsia="de-CH"/>
        </w:rPr>
        <w:t xml:space="preserve"> </w:t>
      </w:r>
      <w:r w:rsidR="00D13467" w:rsidRPr="00C45157">
        <w:rPr>
          <w:rFonts w:ascii="KievitPro-Regular" w:hAnsi="KievitPro-Regular"/>
          <w:snapToGrid/>
          <w:sz w:val="22"/>
          <w:szCs w:val="22"/>
          <w:lang w:eastAsia="de-CH"/>
        </w:rPr>
        <w:t>c’est-à-dire lorsqu’elle applique un système interne de gestion de la qualité.</w:t>
      </w:r>
    </w:p>
    <w:p w14:paraId="6F13A9BC" w14:textId="77777777" w:rsidR="00D13467" w:rsidRPr="00C45157" w:rsidRDefault="00D13467" w:rsidP="00641AE0">
      <w:pPr>
        <w:spacing w:before="100" w:beforeAutospacing="1" w:after="100" w:afterAutospacing="1" w:line="276" w:lineRule="auto"/>
        <w:rPr>
          <w:rFonts w:ascii="KievitPro-Regular" w:hAnsi="KievitPro-Regular"/>
          <w:snapToGrid/>
          <w:sz w:val="22"/>
          <w:szCs w:val="22"/>
          <w:lang w:eastAsia="de-CH"/>
        </w:rPr>
      </w:pPr>
      <w:r w:rsidRPr="00C45157">
        <w:rPr>
          <w:rFonts w:ascii="KievitPro-Regular" w:hAnsi="KievitPro-Regular"/>
          <w:snapToGrid/>
          <w:sz w:val="22"/>
          <w:szCs w:val="22"/>
          <w:lang w:eastAsia="de-CH"/>
        </w:rPr>
        <w:t>Il en résulte que les entreprises de révision qui fournissent des prestations de révision prescrites par la loi doivent disposer d’un système interne de gestion de la qualité, indépendamment de leur catégorie d’agrément.</w:t>
      </w:r>
    </w:p>
    <w:p w14:paraId="61D33F9E" w14:textId="77777777" w:rsidR="00641AE0" w:rsidRPr="00C45157" w:rsidRDefault="00641AE0" w:rsidP="00641AE0">
      <w:pPr>
        <w:spacing w:line="276" w:lineRule="auto"/>
        <w:jc w:val="left"/>
        <w:rPr>
          <w:rFonts w:ascii="KievitPro-Regular" w:hAnsi="KievitPro-Regular"/>
          <w:sz w:val="22"/>
          <w:szCs w:val="22"/>
        </w:rPr>
      </w:pPr>
      <w:r w:rsidRPr="00C45157">
        <w:rPr>
          <w:rFonts w:ascii="KievitPro-Regular" w:hAnsi="KievitPro-Regular"/>
          <w:sz w:val="22"/>
          <w:szCs w:val="22"/>
        </w:rPr>
        <w:t>Selon la Norme suisse relative au contrôle restreint (NCR), la conception concrète de ce système de gestion de la qualité adapté à la taille et à la complexité de l’entreprise relève de la responsabilité des entreprises de révision. Il convient notamment de tenir compte de l’étendue et de la complexité des mandats suivis ainsi que des circonstances propres à chaque cas d’espèce.</w:t>
      </w:r>
    </w:p>
    <w:p w14:paraId="057E02E5" w14:textId="77777777" w:rsidR="00641AE0" w:rsidRPr="00C45157" w:rsidRDefault="00641AE0" w:rsidP="00641AE0">
      <w:pPr>
        <w:spacing w:line="276" w:lineRule="auto"/>
        <w:jc w:val="left"/>
        <w:rPr>
          <w:rFonts w:ascii="KievitPro-Regular" w:hAnsi="KievitPro-Regular"/>
          <w:sz w:val="22"/>
          <w:szCs w:val="22"/>
        </w:rPr>
      </w:pPr>
    </w:p>
    <w:p w14:paraId="003C88BD" w14:textId="77777777" w:rsidR="00641AE0" w:rsidRPr="00C45157" w:rsidRDefault="00641AE0" w:rsidP="00641AE0">
      <w:pPr>
        <w:spacing w:line="276" w:lineRule="auto"/>
        <w:jc w:val="left"/>
        <w:rPr>
          <w:rFonts w:ascii="KievitPro-Regular" w:hAnsi="KievitPro-Regular"/>
          <w:sz w:val="22"/>
          <w:szCs w:val="22"/>
        </w:rPr>
      </w:pPr>
      <w:r w:rsidRPr="00C45157">
        <w:rPr>
          <w:rFonts w:ascii="KievitPro-Regular" w:hAnsi="KievitPro-Regular"/>
          <w:sz w:val="22"/>
          <w:szCs w:val="22"/>
        </w:rPr>
        <w:t>Les entreprises de révision qui appliquent les normes d’audit de l’International Auditing and Assurance Standards Board (IAASB) lors de l’audit des comptes annuels et des comptes consolidés doivent assurer la qualité de leurs prestations de révision conformément aux International Standards on Quality Management (ISQM) de l’IAASB (art. 5, al. 2 OSur-ASR).</w:t>
      </w:r>
    </w:p>
    <w:p w14:paraId="4AA41EA6" w14:textId="77777777" w:rsidR="00641AE0" w:rsidRPr="00C45157" w:rsidRDefault="00641AE0" w:rsidP="00641AE0">
      <w:pPr>
        <w:spacing w:line="276" w:lineRule="auto"/>
        <w:jc w:val="left"/>
        <w:rPr>
          <w:rFonts w:ascii="KievitPro-Regular" w:hAnsi="KievitPro-Regular"/>
          <w:sz w:val="22"/>
          <w:szCs w:val="22"/>
        </w:rPr>
      </w:pPr>
    </w:p>
    <w:p w14:paraId="2D566333" w14:textId="5F5856AC" w:rsidR="002C20A2" w:rsidRPr="00C45157" w:rsidRDefault="00641AE0" w:rsidP="00641AE0">
      <w:pPr>
        <w:spacing w:line="276" w:lineRule="auto"/>
        <w:jc w:val="left"/>
        <w:rPr>
          <w:rFonts w:ascii="KievitPro-Regular" w:hAnsi="KievitPro-Regular"/>
          <w:sz w:val="22"/>
          <w:szCs w:val="22"/>
        </w:rPr>
      </w:pPr>
      <w:r w:rsidRPr="00C45157">
        <w:rPr>
          <w:rFonts w:ascii="KievitPro-Regular" w:hAnsi="KievitPro-Regular"/>
          <w:sz w:val="22"/>
          <w:szCs w:val="22"/>
        </w:rPr>
        <w:t>Par ailleurs, certains domaines d’audit sont soumis à des prescriptions spécifiques prévues par des lois spéciales (par exemple dans les domaines de la prévoyance professionnelle, de l’assurance-maladie, des maisons de jeu ou des caisses de compensation AVS), lesquelles imposent des exigences supplémentaires aux entreprises de révision.</w:t>
      </w:r>
    </w:p>
    <w:p w14:paraId="5B01DACD" w14:textId="77777777" w:rsidR="002C20A2" w:rsidRPr="00C45157" w:rsidRDefault="002C20A2">
      <w:pPr>
        <w:jc w:val="left"/>
        <w:rPr>
          <w:rFonts w:ascii="KievitPro-Regular" w:hAnsi="KievitPro-Regular"/>
          <w:sz w:val="22"/>
          <w:szCs w:val="22"/>
        </w:rPr>
      </w:pPr>
      <w:r w:rsidRPr="00C45157">
        <w:rPr>
          <w:rFonts w:ascii="KievitPro-Regular" w:hAnsi="KievitPro-Regular"/>
          <w:sz w:val="22"/>
          <w:szCs w:val="22"/>
        </w:rPr>
        <w:br w:type="page"/>
      </w:r>
    </w:p>
    <w:p w14:paraId="6740AC1D" w14:textId="0B32DB62" w:rsidR="00D13467" w:rsidRPr="00C45157" w:rsidRDefault="00641AE0"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5" w:name="_Toc231482619"/>
      <w:r w:rsidRPr="00C45157">
        <w:rPr>
          <w:rFonts w:ascii="KievitPro-Regular" w:hAnsi="KievitPro-Regular" w:cs="Arial"/>
          <w:smallCaps/>
          <w:snapToGrid/>
          <w:spacing w:val="5"/>
          <w:kern w:val="0"/>
          <w:sz w:val="22"/>
          <w:szCs w:val="22"/>
          <w:lang w:eastAsia="en-US"/>
        </w:rPr>
        <w:lastRenderedPageBreak/>
        <w:t>Prescriptions complémentaires et précisions</w:t>
      </w:r>
      <w:bookmarkEnd w:id="5"/>
    </w:p>
    <w:p w14:paraId="1252B71B" w14:textId="77777777" w:rsidR="00641AE0" w:rsidRPr="00C45157" w:rsidRDefault="00641AE0" w:rsidP="00641AE0">
      <w:pPr>
        <w:spacing w:line="276" w:lineRule="auto"/>
        <w:rPr>
          <w:rFonts w:ascii="KievitPro-Regular" w:hAnsi="KievitPro-Regular"/>
          <w:sz w:val="22"/>
          <w:szCs w:val="22"/>
        </w:rPr>
      </w:pPr>
      <w:r w:rsidRPr="00C45157">
        <w:rPr>
          <w:rFonts w:ascii="KievitPro-Regular" w:hAnsi="KievitPro-Regular"/>
          <w:sz w:val="22"/>
          <w:szCs w:val="22"/>
        </w:rPr>
        <w:t>Outre les bases légales et professionnelles déjà mentionnées, d’autres actes normatifs précisent et complètent les exigences applicables aux entreprises de révision.</w:t>
      </w:r>
    </w:p>
    <w:p w14:paraId="7786ABA3" w14:textId="77777777" w:rsidR="00641AE0" w:rsidRPr="00C45157" w:rsidRDefault="00641AE0" w:rsidP="00641AE0">
      <w:pPr>
        <w:spacing w:line="276" w:lineRule="auto"/>
        <w:rPr>
          <w:rFonts w:ascii="KievitPro-Regular" w:hAnsi="KievitPro-Regular"/>
          <w:sz w:val="22"/>
          <w:szCs w:val="22"/>
        </w:rPr>
      </w:pPr>
    </w:p>
    <w:p w14:paraId="0A473F3C" w14:textId="77777777" w:rsidR="00641AE0" w:rsidRPr="00C45157" w:rsidRDefault="00641AE0" w:rsidP="00641AE0">
      <w:pPr>
        <w:spacing w:line="276" w:lineRule="auto"/>
        <w:rPr>
          <w:rFonts w:ascii="KievitPro-Regular" w:hAnsi="KievitPro-Regular"/>
          <w:sz w:val="22"/>
          <w:szCs w:val="22"/>
        </w:rPr>
      </w:pPr>
      <w:r w:rsidRPr="00C45157">
        <w:rPr>
          <w:rFonts w:ascii="KievitPro-Regular" w:hAnsi="KievitPro-Regular"/>
          <w:sz w:val="22"/>
          <w:szCs w:val="22"/>
        </w:rPr>
        <w:t xml:space="preserve">Au </w:t>
      </w:r>
      <w:r w:rsidRPr="00C45157">
        <w:rPr>
          <w:rFonts w:ascii="KievitPro-Regular" w:hAnsi="KievitPro-Regular"/>
          <w:b/>
          <w:bCs/>
          <w:sz w:val="22"/>
          <w:szCs w:val="22"/>
        </w:rPr>
        <w:t>niveau légal</w:t>
      </w:r>
      <w:r w:rsidRPr="00C45157">
        <w:rPr>
          <w:rFonts w:ascii="KievitPro-Regular" w:hAnsi="KievitPro-Regular"/>
          <w:sz w:val="22"/>
          <w:szCs w:val="22"/>
        </w:rPr>
        <w:t>, le Code des obligations (CO) contient notamment des prescriptions supplémentaires. Il s’agit en particulier :</w:t>
      </w:r>
    </w:p>
    <w:p w14:paraId="4B28DE07" w14:textId="77777777" w:rsidR="00641AE0" w:rsidRPr="00C45157" w:rsidRDefault="00641AE0" w:rsidP="00641AE0">
      <w:pPr>
        <w:spacing w:line="276" w:lineRule="auto"/>
        <w:rPr>
          <w:rFonts w:ascii="KievitPro-Regular" w:hAnsi="KievitPro-Regular" w:cs="Arial"/>
          <w:snapToGrid/>
          <w:color w:val="000000" w:themeColor="text1"/>
          <w:sz w:val="22"/>
          <w:szCs w:val="22"/>
        </w:rPr>
      </w:pPr>
    </w:p>
    <w:p w14:paraId="6A518BA7" w14:textId="4BA4CC20" w:rsidR="00641AE0" w:rsidRPr="00C45157" w:rsidRDefault="00553D0A" w:rsidP="00C45157">
      <w:pPr>
        <w:numPr>
          <w:ilvl w:val="0"/>
          <w:numId w:val="21"/>
        </w:numPr>
        <w:tabs>
          <w:tab w:val="clear" w:pos="360"/>
        </w:tabs>
        <w:spacing w:after="120" w:line="276" w:lineRule="auto"/>
        <w:ind w:left="357" w:hanging="357"/>
        <w:rPr>
          <w:rFonts w:ascii="KievitPro-Regular" w:hAnsi="KievitPro-Regular"/>
          <w:sz w:val="22"/>
          <w:szCs w:val="22"/>
        </w:rPr>
      </w:pPr>
      <w:r w:rsidRPr="00C45157">
        <w:rPr>
          <w:rFonts w:ascii="KievitPro-Regular" w:hAnsi="KievitPro-Regular"/>
          <w:sz w:val="22"/>
          <w:szCs w:val="22"/>
        </w:rPr>
        <w:t>Des</w:t>
      </w:r>
      <w:r w:rsidR="00641AE0" w:rsidRPr="00C45157">
        <w:rPr>
          <w:rFonts w:ascii="KievitPro-Regular" w:hAnsi="KievitPro-Regular"/>
          <w:sz w:val="22"/>
          <w:szCs w:val="22"/>
        </w:rPr>
        <w:t xml:space="preserve"> dispositions relatives à l’indépendance de l’organe de révision conformément aux art. 727 et 728 CO, ainsi </w:t>
      </w:r>
      <w:r w:rsidRPr="00C45157">
        <w:rPr>
          <w:rFonts w:ascii="KievitPro-Regular" w:hAnsi="KievitPro-Regular"/>
          <w:sz w:val="22"/>
          <w:szCs w:val="22"/>
        </w:rPr>
        <w:t>que ;</w:t>
      </w:r>
    </w:p>
    <w:p w14:paraId="556781F9" w14:textId="5245010E" w:rsidR="00641AE0" w:rsidRPr="00C45157" w:rsidRDefault="00553D0A" w:rsidP="00C45157">
      <w:pPr>
        <w:numPr>
          <w:ilvl w:val="0"/>
          <w:numId w:val="21"/>
        </w:numPr>
        <w:tabs>
          <w:tab w:val="clear" w:pos="360"/>
        </w:tabs>
        <w:spacing w:after="120" w:line="276" w:lineRule="auto"/>
        <w:ind w:left="357" w:hanging="357"/>
        <w:rPr>
          <w:rFonts w:ascii="KievitPro-Regular" w:hAnsi="KievitPro-Regular"/>
          <w:sz w:val="22"/>
          <w:szCs w:val="22"/>
        </w:rPr>
      </w:pPr>
      <w:r w:rsidRPr="00C45157">
        <w:rPr>
          <w:rFonts w:ascii="KievitPro-Regular" w:hAnsi="KievitPro-Regular"/>
          <w:sz w:val="22"/>
          <w:szCs w:val="22"/>
        </w:rPr>
        <w:t>Des</w:t>
      </w:r>
      <w:r w:rsidR="00641AE0" w:rsidRPr="00C45157">
        <w:rPr>
          <w:rFonts w:ascii="KievitPro-Regular" w:hAnsi="KievitPro-Regular"/>
          <w:sz w:val="22"/>
          <w:szCs w:val="22"/>
        </w:rPr>
        <w:t xml:space="preserve"> prescriptions relatives à la documentation conformément à l’art. 730c CO.</w:t>
      </w:r>
    </w:p>
    <w:p w14:paraId="5FCA9772" w14:textId="77777777" w:rsidR="00641AE0" w:rsidRPr="00C45157" w:rsidRDefault="00641AE0" w:rsidP="00641AE0">
      <w:pPr>
        <w:spacing w:line="276" w:lineRule="auto"/>
        <w:rPr>
          <w:rFonts w:ascii="KievitPro-Regular" w:hAnsi="KievitPro-Regular"/>
          <w:sz w:val="22"/>
          <w:szCs w:val="22"/>
        </w:rPr>
      </w:pPr>
    </w:p>
    <w:p w14:paraId="7EF21468" w14:textId="04738BE6" w:rsidR="00641AE0" w:rsidRPr="00C45157" w:rsidRDefault="00641AE0" w:rsidP="00553D0A">
      <w:pPr>
        <w:spacing w:after="240" w:line="276" w:lineRule="auto"/>
        <w:rPr>
          <w:rFonts w:ascii="KievitPro-Regular" w:hAnsi="KievitPro-Regular"/>
          <w:sz w:val="22"/>
          <w:szCs w:val="22"/>
        </w:rPr>
      </w:pPr>
      <w:r w:rsidRPr="00C45157">
        <w:rPr>
          <w:rFonts w:ascii="KievitPro-Regular" w:hAnsi="KievitPro-Regular"/>
          <w:sz w:val="22"/>
          <w:szCs w:val="22"/>
        </w:rPr>
        <w:t xml:space="preserve">Au </w:t>
      </w:r>
      <w:r w:rsidRPr="00C45157">
        <w:rPr>
          <w:rFonts w:ascii="KievitPro-Regular" w:hAnsi="KievitPro-Regular"/>
          <w:b/>
          <w:bCs/>
          <w:sz w:val="22"/>
          <w:szCs w:val="22"/>
        </w:rPr>
        <w:t>niveau professionnel</w:t>
      </w:r>
      <w:r w:rsidRPr="00C45157">
        <w:rPr>
          <w:rFonts w:ascii="KievitPro-Regular" w:hAnsi="KievitPro-Regular"/>
          <w:sz w:val="22"/>
          <w:szCs w:val="22"/>
        </w:rPr>
        <w:t>, il convient notamment de respecter les règlements et directives de FIDUCIAIRE|SUISSE. Ceux-ci comprennent :</w:t>
      </w:r>
    </w:p>
    <w:p w14:paraId="2805C9A7" w14:textId="740CDF62" w:rsidR="00641AE0" w:rsidRPr="00C45157" w:rsidRDefault="00553D0A" w:rsidP="00C45157">
      <w:pPr>
        <w:numPr>
          <w:ilvl w:val="0"/>
          <w:numId w:val="22"/>
        </w:numPr>
        <w:spacing w:after="120" w:line="276" w:lineRule="auto"/>
        <w:ind w:left="357" w:hanging="357"/>
        <w:rPr>
          <w:rFonts w:ascii="KievitPro-Regular" w:hAnsi="KievitPro-Regular"/>
          <w:sz w:val="22"/>
          <w:szCs w:val="22"/>
        </w:rPr>
      </w:pPr>
      <w:r w:rsidRPr="00C45157">
        <w:rPr>
          <w:rFonts w:ascii="KievitPro-Regular" w:hAnsi="KievitPro-Regular"/>
          <w:sz w:val="22"/>
          <w:szCs w:val="22"/>
        </w:rPr>
        <w:t>Les</w:t>
      </w:r>
      <w:r w:rsidR="00641AE0" w:rsidRPr="00C45157">
        <w:rPr>
          <w:rFonts w:ascii="KievitPro-Regular" w:hAnsi="KievitPro-Regular"/>
          <w:sz w:val="22"/>
          <w:szCs w:val="22"/>
        </w:rPr>
        <w:t xml:space="preserve"> règles professionnelles et déontologiques ;</w:t>
      </w:r>
    </w:p>
    <w:p w14:paraId="0115C67E" w14:textId="0DB93431" w:rsidR="00641AE0" w:rsidRPr="00C45157" w:rsidRDefault="00553D0A" w:rsidP="00C45157">
      <w:pPr>
        <w:numPr>
          <w:ilvl w:val="0"/>
          <w:numId w:val="22"/>
        </w:numPr>
        <w:spacing w:after="120" w:line="276" w:lineRule="auto"/>
        <w:ind w:left="357" w:hanging="357"/>
        <w:rPr>
          <w:rFonts w:ascii="KievitPro-Regular" w:hAnsi="KievitPro-Regular"/>
          <w:sz w:val="22"/>
          <w:szCs w:val="22"/>
        </w:rPr>
      </w:pPr>
      <w:r w:rsidRPr="00C45157">
        <w:rPr>
          <w:rFonts w:ascii="KievitPro-Regular" w:hAnsi="KievitPro-Regular"/>
          <w:sz w:val="22"/>
          <w:szCs w:val="22"/>
        </w:rPr>
        <w:t>Les</w:t>
      </w:r>
      <w:r w:rsidR="00641AE0" w:rsidRPr="00C45157">
        <w:rPr>
          <w:rFonts w:ascii="KievitPro-Regular" w:hAnsi="KievitPro-Regular"/>
          <w:sz w:val="22"/>
          <w:szCs w:val="22"/>
        </w:rPr>
        <w:t xml:space="preserve"> directives relatives à l’indépendance ;</w:t>
      </w:r>
    </w:p>
    <w:p w14:paraId="3B6C7371" w14:textId="3B560B5E" w:rsidR="00641AE0" w:rsidRPr="00C45157" w:rsidRDefault="00553D0A" w:rsidP="00C45157">
      <w:pPr>
        <w:numPr>
          <w:ilvl w:val="0"/>
          <w:numId w:val="22"/>
        </w:numPr>
        <w:spacing w:after="120" w:line="276" w:lineRule="auto"/>
        <w:ind w:left="357" w:hanging="357"/>
        <w:rPr>
          <w:rFonts w:ascii="KievitPro-Regular" w:hAnsi="KievitPro-Regular"/>
          <w:sz w:val="22"/>
          <w:szCs w:val="22"/>
        </w:rPr>
      </w:pPr>
      <w:r w:rsidRPr="00C45157">
        <w:rPr>
          <w:rFonts w:ascii="KievitPro-Regular" w:hAnsi="KievitPro-Regular"/>
          <w:sz w:val="22"/>
          <w:szCs w:val="22"/>
        </w:rPr>
        <w:t>Les</w:t>
      </w:r>
      <w:r w:rsidR="00641AE0" w:rsidRPr="00C45157">
        <w:rPr>
          <w:rFonts w:ascii="KievitPro-Regular" w:hAnsi="KievitPro-Regular"/>
          <w:sz w:val="22"/>
          <w:szCs w:val="22"/>
        </w:rPr>
        <w:t xml:space="preserve"> directives relatives à la formation continue.</w:t>
      </w:r>
    </w:p>
    <w:p w14:paraId="4A957B36" w14:textId="77777777" w:rsidR="00641AE0" w:rsidRPr="00C45157" w:rsidRDefault="00641AE0" w:rsidP="00641AE0">
      <w:pPr>
        <w:spacing w:line="276" w:lineRule="auto"/>
        <w:rPr>
          <w:rFonts w:ascii="KievitPro-Regular" w:hAnsi="KievitPro-Regular"/>
          <w:sz w:val="22"/>
          <w:szCs w:val="22"/>
        </w:rPr>
      </w:pPr>
      <w:r w:rsidRPr="00C45157">
        <w:rPr>
          <w:rFonts w:ascii="KievitPro-Regular" w:hAnsi="KievitPro-Regular"/>
          <w:sz w:val="22"/>
          <w:szCs w:val="22"/>
        </w:rPr>
        <w:t>Ces dispositions précisent les obligations professionnelles et contribuent à garantir un exercice de la profession uniforme et de haute qualité.</w:t>
      </w:r>
    </w:p>
    <w:p w14:paraId="231512D2" w14:textId="7A7FC19A" w:rsidR="006147ED" w:rsidRPr="00C45157" w:rsidRDefault="006147ED">
      <w:pPr>
        <w:jc w:val="left"/>
        <w:rPr>
          <w:rFonts w:ascii="KievitPro-Regular" w:hAnsi="KievitPro-Regular"/>
          <w:sz w:val="22"/>
          <w:szCs w:val="22"/>
        </w:rPr>
      </w:pPr>
      <w:r w:rsidRPr="00C45157">
        <w:rPr>
          <w:rFonts w:ascii="KievitPro-Regular" w:hAnsi="KievitPro-Regular"/>
          <w:sz w:val="22"/>
          <w:szCs w:val="22"/>
        </w:rPr>
        <w:br w:type="page"/>
      </w:r>
    </w:p>
    <w:p w14:paraId="7C3CC34D" w14:textId="657331FB" w:rsidR="00D13467" w:rsidRPr="00C45157" w:rsidRDefault="00152F04"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6" w:name="_Toc231482620"/>
      <w:r w:rsidRPr="00C45157">
        <w:rPr>
          <w:rFonts w:ascii="KievitPro-Regular" w:hAnsi="KievitPro-Regular" w:cs="Arial"/>
          <w:smallCaps/>
          <w:snapToGrid/>
          <w:spacing w:val="5"/>
          <w:kern w:val="0"/>
          <w:sz w:val="24"/>
          <w:szCs w:val="24"/>
          <w:lang w:eastAsia="en-US"/>
        </w:rPr>
        <w:lastRenderedPageBreak/>
        <w:t>Éléments d’un système de gestion de la qualité selon l’IGQ</w:t>
      </w:r>
      <w:bookmarkEnd w:id="6"/>
    </w:p>
    <w:p w14:paraId="699DB6DA" w14:textId="77777777" w:rsidR="00152F04" w:rsidRPr="00C45157" w:rsidRDefault="00152F04" w:rsidP="006147ED">
      <w:pPr>
        <w:spacing w:line="276" w:lineRule="auto"/>
        <w:rPr>
          <w:rFonts w:ascii="KievitPro-Regular" w:hAnsi="KievitPro-Regular"/>
          <w:sz w:val="22"/>
          <w:szCs w:val="22"/>
        </w:rPr>
      </w:pPr>
      <w:r w:rsidRPr="00C45157">
        <w:rPr>
          <w:rFonts w:ascii="KievitPro-Regular" w:hAnsi="KievitPro-Regular"/>
          <w:sz w:val="22"/>
          <w:szCs w:val="22"/>
        </w:rPr>
        <w:t>Dans le cadre de son évaluation des risques, l’entreprise de révision doit définir des règles et des mesures appropriées en matière de gestion de la qualité afin de garantir que :</w:t>
      </w:r>
    </w:p>
    <w:p w14:paraId="627CC92C" w14:textId="7058CA1C" w:rsidR="00152F04" w:rsidRPr="00C45157" w:rsidRDefault="00152F04" w:rsidP="006147ED">
      <w:pPr>
        <w:numPr>
          <w:ilvl w:val="0"/>
          <w:numId w:val="23"/>
        </w:numPr>
        <w:tabs>
          <w:tab w:val="clear" w:pos="360"/>
        </w:tabs>
        <w:spacing w:before="240" w:line="276" w:lineRule="auto"/>
        <w:rPr>
          <w:rFonts w:ascii="KievitPro-Regular" w:hAnsi="KievitPro-Regular"/>
          <w:sz w:val="22"/>
          <w:szCs w:val="22"/>
        </w:rPr>
      </w:pPr>
      <w:r w:rsidRPr="00C45157">
        <w:rPr>
          <w:rFonts w:ascii="KievitPro-Regular" w:hAnsi="KievitPro-Regular"/>
          <w:sz w:val="22"/>
          <w:szCs w:val="22"/>
        </w:rPr>
        <w:t>Tous les mandats d’audit sont exécutés conformément aux dispositions légales et aux obligations professionnelles ;</w:t>
      </w:r>
    </w:p>
    <w:p w14:paraId="683E801D" w14:textId="724F2A48" w:rsidR="00152F04" w:rsidRPr="00C45157" w:rsidRDefault="00152F04" w:rsidP="006147ED">
      <w:pPr>
        <w:numPr>
          <w:ilvl w:val="0"/>
          <w:numId w:val="23"/>
        </w:numPr>
        <w:tabs>
          <w:tab w:val="clear" w:pos="360"/>
        </w:tabs>
        <w:spacing w:line="276" w:lineRule="auto"/>
        <w:rPr>
          <w:rFonts w:ascii="KievitPro-Regular" w:hAnsi="KievitPro-Regular"/>
          <w:sz w:val="22"/>
          <w:szCs w:val="22"/>
        </w:rPr>
      </w:pPr>
      <w:r w:rsidRPr="00C45157">
        <w:rPr>
          <w:rFonts w:ascii="KievitPro-Regular" w:hAnsi="KievitPro-Regular"/>
          <w:sz w:val="22"/>
          <w:szCs w:val="22"/>
        </w:rPr>
        <w:t>Les rapports de révision émis sont appropriés.</w:t>
      </w:r>
    </w:p>
    <w:p w14:paraId="0FCDDEAA" w14:textId="77777777" w:rsidR="00152F04" w:rsidRPr="00C45157" w:rsidRDefault="00152F04" w:rsidP="006147ED">
      <w:pPr>
        <w:spacing w:line="276" w:lineRule="auto"/>
        <w:rPr>
          <w:rFonts w:ascii="KievitPro-Regular" w:hAnsi="KievitPro-Regular"/>
          <w:sz w:val="22"/>
          <w:szCs w:val="22"/>
        </w:rPr>
      </w:pPr>
    </w:p>
    <w:p w14:paraId="40C5BE4A" w14:textId="77777777" w:rsidR="00152F04" w:rsidRPr="00C45157" w:rsidRDefault="00152F04" w:rsidP="006147ED">
      <w:pPr>
        <w:spacing w:line="276" w:lineRule="auto"/>
        <w:rPr>
          <w:rFonts w:ascii="KievitPro-Regular" w:hAnsi="KievitPro-Regular"/>
          <w:sz w:val="22"/>
          <w:szCs w:val="22"/>
        </w:rPr>
      </w:pPr>
      <w:r w:rsidRPr="00C45157">
        <w:rPr>
          <w:rFonts w:ascii="KievitPro-Regular" w:hAnsi="KievitPro-Regular"/>
          <w:sz w:val="22"/>
          <w:szCs w:val="22"/>
        </w:rPr>
        <w:t>Elle doit en outre disposer d’une structure de direction et de surveillance adéquate garantissant une surveillance appropriée des différents mandats de révision.</w:t>
      </w:r>
    </w:p>
    <w:p w14:paraId="2B6A881D" w14:textId="77777777" w:rsidR="00152F04" w:rsidRPr="00C45157" w:rsidRDefault="00152F04" w:rsidP="006147ED">
      <w:pPr>
        <w:spacing w:line="276" w:lineRule="auto"/>
        <w:rPr>
          <w:rFonts w:ascii="KievitPro-Regular" w:hAnsi="KievitPro-Regular"/>
          <w:sz w:val="22"/>
          <w:szCs w:val="22"/>
        </w:rPr>
      </w:pPr>
    </w:p>
    <w:p w14:paraId="7D21E9FB" w14:textId="77777777" w:rsidR="00152F04" w:rsidRPr="00C45157" w:rsidRDefault="00152F04" w:rsidP="006147ED">
      <w:pPr>
        <w:spacing w:line="276" w:lineRule="auto"/>
        <w:rPr>
          <w:rFonts w:ascii="KievitPro-Regular" w:hAnsi="KievitPro-Regular"/>
          <w:sz w:val="22"/>
          <w:szCs w:val="22"/>
        </w:rPr>
      </w:pPr>
      <w:r w:rsidRPr="00C45157">
        <w:rPr>
          <w:rFonts w:ascii="KievitPro-Regular" w:hAnsi="KievitPro-Regular"/>
          <w:sz w:val="22"/>
          <w:szCs w:val="22"/>
        </w:rPr>
        <w:t>Un système de gestion de la qualité au sein d’une entreprise de révision selon l’IGQ se compose essentiellement des éléments suivants :</w:t>
      </w:r>
    </w:p>
    <w:p w14:paraId="2D710A03" w14:textId="6499E6FC" w:rsidR="0052374B" w:rsidRPr="00C45157" w:rsidRDefault="0052374B" w:rsidP="008A6A5E">
      <w:pPr>
        <w:spacing w:line="360" w:lineRule="auto"/>
        <w:rPr>
          <w:rFonts w:ascii="KievitPro-Regular" w:hAnsi="KievitPro-Regular"/>
          <w:sz w:val="22"/>
          <w:szCs w:val="22"/>
        </w:rPr>
      </w:pPr>
      <w:r w:rsidRPr="00C45157">
        <w:rPr>
          <w:rFonts w:ascii="KievitPro-Regular" w:hAnsi="KievitPro-Regular"/>
          <w:noProof/>
          <w:sz w:val="22"/>
          <w:szCs w:val="22"/>
        </w:rPr>
        <w:drawing>
          <wp:inline distT="0" distB="0" distL="0" distR="0" wp14:anchorId="7F3F3FD6" wp14:editId="665555CA">
            <wp:extent cx="5981022" cy="4279392"/>
            <wp:effectExtent l="0" t="0" r="1270" b="6985"/>
            <wp:docPr id="162083353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3594" cy="4288387"/>
                    </a:xfrm>
                    <a:prstGeom prst="rect">
                      <a:avLst/>
                    </a:prstGeom>
                    <a:noFill/>
                  </pic:spPr>
                </pic:pic>
              </a:graphicData>
            </a:graphic>
          </wp:inline>
        </w:drawing>
      </w:r>
    </w:p>
    <w:p w14:paraId="024C1AA2" w14:textId="77777777" w:rsidR="00152F04" w:rsidRPr="00C45157" w:rsidRDefault="00152F04" w:rsidP="00152F04">
      <w:pPr>
        <w:spacing w:line="276" w:lineRule="auto"/>
        <w:rPr>
          <w:rFonts w:ascii="KievitPro-Regular" w:hAnsi="KievitPro-Regular" w:cs="Arial"/>
          <w:sz w:val="22"/>
          <w:szCs w:val="22"/>
        </w:rPr>
      </w:pPr>
    </w:p>
    <w:p w14:paraId="49834F78" w14:textId="3AFCC1BB" w:rsidR="00152F04" w:rsidRPr="00C45157" w:rsidRDefault="00152F04" w:rsidP="00152F04">
      <w:pPr>
        <w:spacing w:line="276" w:lineRule="auto"/>
        <w:rPr>
          <w:rFonts w:ascii="KievitPro-Regular" w:hAnsi="KievitPro-Regular" w:cs="Arial"/>
          <w:sz w:val="22"/>
          <w:szCs w:val="22"/>
        </w:rPr>
      </w:pPr>
      <w:r w:rsidRPr="00C45157">
        <w:rPr>
          <w:rFonts w:ascii="KievitPro-Regular" w:hAnsi="KievitPro-Regular" w:cs="Arial"/>
          <w:sz w:val="22"/>
          <w:szCs w:val="22"/>
        </w:rPr>
        <w:t>Le présent document place les prescriptions de l’IGQ dans le contexte des dispositions professionnelles et légales applicables en Suisse.</w:t>
      </w:r>
    </w:p>
    <w:p w14:paraId="3E69F785" w14:textId="77777777" w:rsidR="00152F04" w:rsidRPr="00C45157" w:rsidRDefault="00152F04" w:rsidP="00152F04">
      <w:pPr>
        <w:spacing w:line="276" w:lineRule="auto"/>
        <w:rPr>
          <w:rFonts w:ascii="KievitPro-Regular" w:hAnsi="KievitPro-Regular" w:cs="Arial"/>
          <w:sz w:val="22"/>
          <w:szCs w:val="22"/>
        </w:rPr>
      </w:pPr>
    </w:p>
    <w:p w14:paraId="4D8C7DB8" w14:textId="25BA4F34" w:rsidR="00152F04" w:rsidRPr="00C45157" w:rsidRDefault="00152F04" w:rsidP="00152F04">
      <w:pPr>
        <w:spacing w:line="276" w:lineRule="auto"/>
        <w:rPr>
          <w:rFonts w:ascii="KievitPro-Regular" w:hAnsi="KievitPro-Regular" w:cs="Arial"/>
          <w:sz w:val="22"/>
          <w:szCs w:val="22"/>
        </w:rPr>
      </w:pPr>
      <w:r w:rsidRPr="00C45157">
        <w:rPr>
          <w:rFonts w:ascii="KievitPro-Regular" w:hAnsi="KievitPro-Regular" w:cs="Arial"/>
          <w:sz w:val="22"/>
          <w:szCs w:val="22"/>
        </w:rPr>
        <w:t>L’IGQ renvoie en outre au Manuel de gestion de la qualité de FIDUCIAIRE|SUISSE, qui met à disposition des aides pratiques et des listes de contrôle destinées à faciliter la mise en œuvre des exigences dans l’environnement des PME. L’utilisation de ces outils n’est toutefois pas obligatoire.</w:t>
      </w:r>
    </w:p>
    <w:p w14:paraId="3071500E" w14:textId="0618F7FD" w:rsidR="0052374B" w:rsidRPr="00C45157" w:rsidRDefault="0052374B">
      <w:pPr>
        <w:jc w:val="left"/>
        <w:rPr>
          <w:rFonts w:ascii="KievitPro-Regular" w:hAnsi="KievitPro-Regular" w:cs="Arial"/>
          <w:sz w:val="22"/>
          <w:szCs w:val="22"/>
        </w:rPr>
      </w:pPr>
      <w:r w:rsidRPr="00C45157">
        <w:rPr>
          <w:rFonts w:ascii="KievitPro-Regular" w:hAnsi="KievitPro-Regular" w:cs="Arial"/>
          <w:sz w:val="22"/>
          <w:szCs w:val="22"/>
        </w:rPr>
        <w:br w:type="page"/>
      </w:r>
    </w:p>
    <w:p w14:paraId="2F9D9E77" w14:textId="414E0BAF" w:rsidR="00D53C30" w:rsidRPr="00C45157" w:rsidRDefault="00152F04"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7" w:name="_Toc231482621"/>
      <w:bookmarkStart w:id="8" w:name="_Toc142481503"/>
      <w:r w:rsidRPr="00C45157">
        <w:rPr>
          <w:rFonts w:ascii="KievitPro-Regular" w:hAnsi="KievitPro-Regular" w:cs="Arial"/>
          <w:smallCaps/>
          <w:snapToGrid/>
          <w:spacing w:val="5"/>
          <w:kern w:val="0"/>
          <w:sz w:val="28"/>
          <w:szCs w:val="28"/>
          <w:lang w:eastAsia="en-US"/>
        </w:rPr>
        <w:lastRenderedPageBreak/>
        <w:t>Processus d’évaluation des risques de l’entreprise</w:t>
      </w:r>
      <w:bookmarkEnd w:id="7"/>
    </w:p>
    <w:p w14:paraId="4503A351" w14:textId="52606EE5" w:rsidR="008A6A5E" w:rsidRPr="00C45157" w:rsidRDefault="00152F04"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9" w:name="_Toc231482622"/>
      <w:r w:rsidRPr="00C45157">
        <w:rPr>
          <w:rFonts w:ascii="KievitPro-Regular" w:hAnsi="KievitPro-Regular" w:cs="Arial"/>
          <w:smallCaps/>
          <w:snapToGrid/>
          <w:spacing w:val="5"/>
          <w:kern w:val="0"/>
          <w:sz w:val="24"/>
          <w:szCs w:val="24"/>
          <w:lang w:eastAsia="en-US"/>
        </w:rPr>
        <w:t>Généralités</w:t>
      </w:r>
      <w:bookmarkEnd w:id="9"/>
      <w:r w:rsidRPr="00C45157">
        <w:rPr>
          <w:rFonts w:ascii="KievitPro-Regular" w:hAnsi="KievitPro-Regular" w:cs="Arial"/>
          <w:smallCaps/>
          <w:snapToGrid/>
          <w:spacing w:val="5"/>
          <w:kern w:val="0"/>
          <w:sz w:val="24"/>
          <w:szCs w:val="24"/>
          <w:lang w:eastAsia="en-US"/>
        </w:rPr>
        <w:t xml:space="preserve"> </w:t>
      </w:r>
      <w:bookmarkEnd w:id="8"/>
    </w:p>
    <w:p w14:paraId="6A31BF61" w14:textId="77777777" w:rsidR="000808C6" w:rsidRPr="00C45157" w:rsidRDefault="000808C6" w:rsidP="000808C6">
      <w:pPr>
        <w:spacing w:line="276" w:lineRule="auto"/>
        <w:rPr>
          <w:rFonts w:ascii="KievitPro-Regular" w:hAnsi="KievitPro-Regular"/>
          <w:sz w:val="22"/>
          <w:szCs w:val="22"/>
        </w:rPr>
      </w:pPr>
      <w:r w:rsidRPr="00C45157">
        <w:rPr>
          <w:rFonts w:ascii="KievitPro-Regular" w:hAnsi="KievitPro-Regular"/>
          <w:sz w:val="22"/>
          <w:szCs w:val="22"/>
        </w:rPr>
        <w:t>Ensuite, les risques susceptibles de compromettre la qualité sont identifiés et évalués dans le cadre de l’évaluation des risques. Sur cette base, des mesures appropriées doivent être définies afin de faire face à ces risques et d’atteindre les objectifs de qualité.</w:t>
      </w:r>
    </w:p>
    <w:p w14:paraId="1187CB40" w14:textId="77777777" w:rsidR="000808C6" w:rsidRPr="00C45157" w:rsidRDefault="000808C6" w:rsidP="000808C6">
      <w:pPr>
        <w:spacing w:line="276" w:lineRule="auto"/>
        <w:rPr>
          <w:rFonts w:ascii="KievitPro-Regular" w:hAnsi="KievitPro-Regular"/>
          <w:sz w:val="22"/>
          <w:szCs w:val="22"/>
        </w:rPr>
      </w:pPr>
    </w:p>
    <w:p w14:paraId="77C136C6" w14:textId="218D1604" w:rsidR="00152F04" w:rsidRPr="00C45157" w:rsidRDefault="000808C6" w:rsidP="000808C6">
      <w:pPr>
        <w:spacing w:line="276" w:lineRule="auto"/>
        <w:rPr>
          <w:rFonts w:ascii="KievitPro-Regular" w:hAnsi="KievitPro-Regular"/>
          <w:sz w:val="22"/>
          <w:szCs w:val="22"/>
        </w:rPr>
      </w:pPr>
      <w:r w:rsidRPr="00C45157">
        <w:rPr>
          <w:rFonts w:ascii="KievitPro-Regular" w:hAnsi="KievitPro-Regular"/>
          <w:sz w:val="22"/>
          <w:szCs w:val="22"/>
        </w:rPr>
        <w:t>L’organisation générale de l’entreprise de révision comprend notamment la prise en compte systématique des risques pertinents pour la qualité ainsi que des règles garantissant une surveillance appropriée des prestations de révision, la disponibilité des compétences professionnelles requises et le maintien de l’indépendance. Cela comprend notamment des règles relatives à l’organisation des équipes de révision, à la formation continue, aux processus décisionnels liés à l’acceptation et à la poursuite des mandats, aux consultations ainsi qu’au respect des principes d’indépendance et des règles professionnelles.</w:t>
      </w:r>
    </w:p>
    <w:p w14:paraId="56A157FB" w14:textId="77777777" w:rsidR="000808C6" w:rsidRPr="00C45157" w:rsidRDefault="000808C6" w:rsidP="000808C6">
      <w:pPr>
        <w:spacing w:line="276" w:lineRule="auto"/>
        <w:rPr>
          <w:rFonts w:ascii="KievitPro-Regular" w:hAnsi="KievitPro-Regular"/>
          <w:sz w:val="22"/>
          <w:szCs w:val="22"/>
        </w:rPr>
      </w:pPr>
    </w:p>
    <w:p w14:paraId="206ED2AD" w14:textId="77777777" w:rsidR="000808C6" w:rsidRPr="00C45157" w:rsidRDefault="000808C6" w:rsidP="000808C6">
      <w:pPr>
        <w:spacing w:line="276" w:lineRule="auto"/>
        <w:rPr>
          <w:rFonts w:ascii="KievitPro-Regular" w:hAnsi="KievitPro-Regular"/>
          <w:sz w:val="22"/>
          <w:szCs w:val="22"/>
        </w:rPr>
      </w:pPr>
      <w:r w:rsidRPr="00C45157">
        <w:rPr>
          <w:rFonts w:ascii="KievitPro-Regular" w:hAnsi="KievitPro-Regular"/>
          <w:sz w:val="22"/>
          <w:szCs w:val="22"/>
        </w:rPr>
        <w:t>Les risques susceptibles de compromettre la qualité sont propres à chaque entreprise et dépendent notamment de la taille, de la complexité et de la structure de l’entreprise de révision, en particulier de la structure des mandats, des secteurs d’activité concernés, du modèle d’affaires et des processus internes.</w:t>
      </w:r>
    </w:p>
    <w:p w14:paraId="5694F4AA" w14:textId="77777777" w:rsidR="000808C6" w:rsidRPr="00C45157" w:rsidRDefault="000808C6" w:rsidP="000808C6">
      <w:pPr>
        <w:spacing w:line="276" w:lineRule="auto"/>
        <w:rPr>
          <w:rFonts w:ascii="KievitPro-Regular" w:hAnsi="KievitPro-Regular"/>
          <w:sz w:val="22"/>
          <w:szCs w:val="22"/>
        </w:rPr>
      </w:pPr>
    </w:p>
    <w:p w14:paraId="2B7AF1FB" w14:textId="77777777" w:rsidR="000808C6" w:rsidRPr="00C45157" w:rsidRDefault="000808C6" w:rsidP="000808C6">
      <w:pPr>
        <w:spacing w:after="240" w:line="276" w:lineRule="auto"/>
        <w:rPr>
          <w:rFonts w:ascii="KievitPro-Regular" w:hAnsi="KievitPro-Regular"/>
          <w:sz w:val="22"/>
          <w:szCs w:val="22"/>
        </w:rPr>
      </w:pPr>
      <w:r w:rsidRPr="00C45157">
        <w:rPr>
          <w:rFonts w:ascii="KievitPro-Regular" w:hAnsi="KievitPro-Regular"/>
          <w:sz w:val="22"/>
          <w:szCs w:val="22"/>
        </w:rPr>
        <w:t>Dans l’environnement des PME, l’IGQ prévoit que certaines mesures fondamentales doivent être mises en œuvre de manière obligatoire. Celles-ci concernent notamment :</w:t>
      </w:r>
    </w:p>
    <w:p w14:paraId="2BB2E334" w14:textId="50C0EE95" w:rsidR="000808C6" w:rsidRPr="00C45157" w:rsidRDefault="00A16ECF" w:rsidP="00280014">
      <w:pPr>
        <w:pStyle w:val="Listenabsatz"/>
        <w:numPr>
          <w:ilvl w:val="0"/>
          <w:numId w:val="24"/>
        </w:numPr>
        <w:spacing w:line="276" w:lineRule="auto"/>
        <w:rPr>
          <w:rFonts w:ascii="KievitPro-Regular" w:hAnsi="KievitPro-Regular"/>
          <w:sz w:val="22"/>
          <w:szCs w:val="22"/>
        </w:rPr>
      </w:pPr>
      <w:r w:rsidRPr="00C45157">
        <w:rPr>
          <w:rFonts w:ascii="KievitPro-Regular" w:hAnsi="KievitPro-Regular"/>
          <w:sz w:val="22"/>
          <w:szCs w:val="22"/>
        </w:rPr>
        <w:t>Le</w:t>
      </w:r>
      <w:r w:rsidR="000808C6" w:rsidRPr="00C45157">
        <w:rPr>
          <w:rFonts w:ascii="KievitPro-Regular" w:hAnsi="KievitPro-Regular"/>
          <w:sz w:val="22"/>
          <w:szCs w:val="22"/>
        </w:rPr>
        <w:t xml:space="preserve"> respect des exigences déontologiques et la surveillance de leur respect ;</w:t>
      </w:r>
    </w:p>
    <w:p w14:paraId="08C31A62" w14:textId="19484DB9" w:rsidR="000808C6" w:rsidRPr="00C45157" w:rsidRDefault="00A16ECF" w:rsidP="00280014">
      <w:pPr>
        <w:pStyle w:val="Listenabsatz"/>
        <w:numPr>
          <w:ilvl w:val="0"/>
          <w:numId w:val="24"/>
        </w:numPr>
        <w:spacing w:line="276" w:lineRule="auto"/>
        <w:rPr>
          <w:rFonts w:ascii="KievitPro-Regular" w:hAnsi="KievitPro-Regular"/>
          <w:sz w:val="22"/>
          <w:szCs w:val="22"/>
        </w:rPr>
      </w:pPr>
      <w:r w:rsidRPr="00C45157">
        <w:rPr>
          <w:rFonts w:ascii="KievitPro-Regular" w:hAnsi="KievitPro-Regular"/>
          <w:sz w:val="22"/>
          <w:szCs w:val="22"/>
        </w:rPr>
        <w:t>La</w:t>
      </w:r>
      <w:r w:rsidR="000808C6" w:rsidRPr="00C45157">
        <w:rPr>
          <w:rFonts w:ascii="KievitPro-Regular" w:hAnsi="KievitPro-Regular"/>
          <w:sz w:val="22"/>
          <w:szCs w:val="22"/>
        </w:rPr>
        <w:t xml:space="preserve"> garantie de l’indépendance du personnel spécialisé ;</w:t>
      </w:r>
    </w:p>
    <w:p w14:paraId="3FD7E8EF" w14:textId="2B13675A" w:rsidR="000808C6" w:rsidRPr="00C45157" w:rsidRDefault="00A16ECF" w:rsidP="00280014">
      <w:pPr>
        <w:pStyle w:val="Listenabsatz"/>
        <w:numPr>
          <w:ilvl w:val="0"/>
          <w:numId w:val="24"/>
        </w:numPr>
        <w:spacing w:line="276" w:lineRule="auto"/>
        <w:rPr>
          <w:rFonts w:ascii="KievitPro-Regular" w:hAnsi="KievitPro-Regular"/>
          <w:sz w:val="22"/>
          <w:szCs w:val="22"/>
        </w:rPr>
      </w:pPr>
      <w:r w:rsidRPr="00C45157">
        <w:rPr>
          <w:rFonts w:ascii="KievitPro-Regular" w:hAnsi="KievitPro-Regular"/>
          <w:sz w:val="22"/>
          <w:szCs w:val="22"/>
        </w:rPr>
        <w:t>Le</w:t>
      </w:r>
      <w:r w:rsidR="000808C6" w:rsidRPr="00C45157">
        <w:rPr>
          <w:rFonts w:ascii="KievitPro-Regular" w:hAnsi="KievitPro-Regular"/>
          <w:sz w:val="22"/>
          <w:szCs w:val="22"/>
        </w:rPr>
        <w:t xml:space="preserve"> traitement des plaintes et des signalements relatifs à d’éventuelles violations des normes professionnelles ;</w:t>
      </w:r>
    </w:p>
    <w:p w14:paraId="590FEFAA" w14:textId="5B0B12F3" w:rsidR="000808C6" w:rsidRPr="00C45157" w:rsidRDefault="00A16ECF" w:rsidP="00280014">
      <w:pPr>
        <w:pStyle w:val="Listenabsatz"/>
        <w:numPr>
          <w:ilvl w:val="0"/>
          <w:numId w:val="24"/>
        </w:numPr>
        <w:spacing w:line="276" w:lineRule="auto"/>
        <w:rPr>
          <w:rFonts w:ascii="KievitPro-Regular" w:hAnsi="KievitPro-Regular"/>
          <w:sz w:val="22"/>
          <w:szCs w:val="22"/>
        </w:rPr>
      </w:pPr>
      <w:r w:rsidRPr="00C45157">
        <w:rPr>
          <w:rFonts w:ascii="KievitPro-Regular" w:hAnsi="KievitPro-Regular"/>
          <w:sz w:val="22"/>
          <w:szCs w:val="22"/>
        </w:rPr>
        <w:t>La</w:t>
      </w:r>
      <w:r w:rsidR="000808C6" w:rsidRPr="00C45157">
        <w:rPr>
          <w:rFonts w:ascii="KievitPro-Regular" w:hAnsi="KievitPro-Regular"/>
          <w:sz w:val="22"/>
          <w:szCs w:val="22"/>
        </w:rPr>
        <w:t xml:space="preserve"> prise en compte des informations obtenues ultérieurement dans le cadre de mandats ou de missions en cours ;</w:t>
      </w:r>
    </w:p>
    <w:p w14:paraId="536A3A9A" w14:textId="628B80C0" w:rsidR="000808C6" w:rsidRPr="00C45157" w:rsidRDefault="00A16ECF" w:rsidP="00280014">
      <w:pPr>
        <w:pStyle w:val="Listenabsatz"/>
        <w:numPr>
          <w:ilvl w:val="0"/>
          <w:numId w:val="24"/>
        </w:numPr>
        <w:spacing w:line="276" w:lineRule="auto"/>
        <w:rPr>
          <w:rFonts w:ascii="KievitPro-Regular" w:hAnsi="KievitPro-Regular"/>
          <w:sz w:val="22"/>
          <w:szCs w:val="22"/>
        </w:rPr>
      </w:pPr>
      <w:r w:rsidRPr="00C45157">
        <w:rPr>
          <w:rFonts w:ascii="KievitPro-Regular" w:hAnsi="KievitPro-Regular"/>
          <w:sz w:val="22"/>
          <w:szCs w:val="22"/>
        </w:rPr>
        <w:t>La</w:t>
      </w:r>
      <w:r w:rsidR="000808C6" w:rsidRPr="00C45157">
        <w:rPr>
          <w:rFonts w:ascii="KievitPro-Regular" w:hAnsi="KievitPro-Regular"/>
          <w:sz w:val="22"/>
          <w:szCs w:val="22"/>
        </w:rPr>
        <w:t xml:space="preserve"> définition des situations dans lesquelles un contrôle qualité de la mission est requis.</w:t>
      </w:r>
    </w:p>
    <w:p w14:paraId="2D570ABA" w14:textId="77777777" w:rsidR="000808C6" w:rsidRPr="00C45157" w:rsidRDefault="000808C6" w:rsidP="000808C6">
      <w:pPr>
        <w:spacing w:line="276" w:lineRule="auto"/>
        <w:rPr>
          <w:rFonts w:ascii="KievitPro-Regular" w:hAnsi="KievitPro-Regular"/>
          <w:sz w:val="22"/>
          <w:szCs w:val="22"/>
        </w:rPr>
      </w:pPr>
    </w:p>
    <w:p w14:paraId="7F4340CE" w14:textId="77777777" w:rsidR="000808C6" w:rsidRPr="00C45157" w:rsidRDefault="000808C6" w:rsidP="000808C6">
      <w:pPr>
        <w:spacing w:line="276" w:lineRule="auto"/>
        <w:rPr>
          <w:rFonts w:ascii="KievitPro-Regular" w:hAnsi="KievitPro-Regular"/>
          <w:sz w:val="22"/>
          <w:szCs w:val="22"/>
        </w:rPr>
      </w:pPr>
      <w:r w:rsidRPr="00C45157">
        <w:rPr>
          <w:rFonts w:ascii="KievitPro-Regular" w:hAnsi="KievitPro-Regular"/>
          <w:sz w:val="22"/>
          <w:szCs w:val="22"/>
        </w:rPr>
        <w:t>L’objectif du système interne de gestion de la qualité est de garantir une fourniture correcte et d’une qualité appropriée des prestations de révision, dans le respect des dispositions légales et des principes professionnels.</w:t>
      </w:r>
    </w:p>
    <w:p w14:paraId="521A2ABA" w14:textId="77777777" w:rsidR="000808C6" w:rsidRPr="00C45157" w:rsidRDefault="000808C6" w:rsidP="000808C6">
      <w:pPr>
        <w:spacing w:line="276" w:lineRule="auto"/>
        <w:rPr>
          <w:rFonts w:ascii="KievitPro-Regular" w:hAnsi="KievitPro-Regular"/>
          <w:sz w:val="22"/>
          <w:szCs w:val="22"/>
        </w:rPr>
      </w:pPr>
    </w:p>
    <w:p w14:paraId="06AD0E12" w14:textId="50E60034" w:rsidR="000808C6" w:rsidRPr="00C45157" w:rsidRDefault="000808C6" w:rsidP="000808C6">
      <w:pPr>
        <w:spacing w:line="276" w:lineRule="auto"/>
        <w:rPr>
          <w:rFonts w:ascii="KievitPro-Regular" w:hAnsi="KievitPro-Regular"/>
          <w:sz w:val="22"/>
          <w:szCs w:val="22"/>
        </w:rPr>
      </w:pPr>
      <w:r w:rsidRPr="00C45157">
        <w:rPr>
          <w:rFonts w:ascii="KievitPro-Regular" w:hAnsi="KievitPro-Regular"/>
          <w:sz w:val="22"/>
          <w:szCs w:val="22"/>
        </w:rPr>
        <w:t>En principe, seuls les mandats pour lesquels l’entreprise de révision dispose des ressources humaines et des compétences professionnelles nécessaires pour satisfaire aux exigences applicables, et pour lesquels l’indépendance est garantie, doivent être acceptés.</w:t>
      </w:r>
    </w:p>
    <w:p w14:paraId="296D34BE" w14:textId="77777777" w:rsidR="000808C6" w:rsidRPr="00C45157" w:rsidRDefault="000808C6" w:rsidP="00A16ECF">
      <w:pPr>
        <w:spacing w:line="276" w:lineRule="auto"/>
        <w:rPr>
          <w:rFonts w:ascii="KievitPro-Regular" w:hAnsi="KievitPro-Regular"/>
          <w:sz w:val="22"/>
          <w:szCs w:val="22"/>
        </w:rPr>
      </w:pPr>
    </w:p>
    <w:p w14:paraId="71202E2E" w14:textId="77777777" w:rsidR="00A16ECF" w:rsidRPr="00C45157" w:rsidRDefault="00A16ECF" w:rsidP="00A16ECF">
      <w:pPr>
        <w:spacing w:line="276" w:lineRule="auto"/>
        <w:rPr>
          <w:rFonts w:ascii="KievitPro-Regular" w:hAnsi="KievitPro-Regular"/>
          <w:sz w:val="22"/>
          <w:szCs w:val="22"/>
        </w:rPr>
      </w:pPr>
      <w:r w:rsidRPr="00C45157">
        <w:rPr>
          <w:rFonts w:ascii="KievitPro-Regular" w:hAnsi="KievitPro-Regular"/>
          <w:sz w:val="22"/>
          <w:szCs w:val="22"/>
        </w:rPr>
        <w:t>Le système de gestion de la qualité doit être conçu de manière à ce que notamment :</w:t>
      </w:r>
    </w:p>
    <w:p w14:paraId="7A98A0AE" w14:textId="68AC8201"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Des objectifs de qualité soient définis ;</w:t>
      </w:r>
    </w:p>
    <w:p w14:paraId="4C592AB9" w14:textId="69CBC56F"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Les risques pertinents pour la qualité soient identifiés et évalués ;</w:t>
      </w:r>
    </w:p>
    <w:p w14:paraId="13C8CA42" w14:textId="56629F18"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Les responsabilités soient clairement définies ;</w:t>
      </w:r>
    </w:p>
    <w:p w14:paraId="190411A8" w14:textId="27632365"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Les prestations de révision soient pilotées de manière traçable ;</w:t>
      </w:r>
    </w:p>
    <w:p w14:paraId="4C261F0A" w14:textId="54B7CD38"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Le respect des prescriptions soit surveillé ;</w:t>
      </w:r>
    </w:p>
    <w:p w14:paraId="6D81A7A2" w14:textId="42019F3F" w:rsidR="00A16ECF" w:rsidRPr="00C45157" w:rsidRDefault="00A16ECF" w:rsidP="00280014">
      <w:pPr>
        <w:numPr>
          <w:ilvl w:val="0"/>
          <w:numId w:val="26"/>
        </w:numPr>
        <w:tabs>
          <w:tab w:val="clear" w:pos="360"/>
        </w:tabs>
        <w:spacing w:line="276" w:lineRule="auto"/>
        <w:rPr>
          <w:rFonts w:ascii="KievitPro-Regular" w:hAnsi="KievitPro-Regular"/>
          <w:sz w:val="22"/>
          <w:szCs w:val="22"/>
        </w:rPr>
      </w:pPr>
      <w:r w:rsidRPr="00C45157">
        <w:rPr>
          <w:rFonts w:ascii="KievitPro-Regular" w:hAnsi="KievitPro-Regular"/>
          <w:sz w:val="22"/>
          <w:szCs w:val="22"/>
        </w:rPr>
        <w:t>L’atteinte des objectifs soit vérifiée régulièrement ;</w:t>
      </w:r>
    </w:p>
    <w:p w14:paraId="2208EC5D" w14:textId="69285BC1" w:rsidR="00A16ECF" w:rsidRPr="00C45157" w:rsidRDefault="00A16ECF" w:rsidP="00280014">
      <w:pPr>
        <w:numPr>
          <w:ilvl w:val="0"/>
          <w:numId w:val="26"/>
        </w:numPr>
        <w:spacing w:line="276" w:lineRule="auto"/>
        <w:rPr>
          <w:rFonts w:ascii="KievitPro-Regular" w:hAnsi="KievitPro-Regular"/>
          <w:sz w:val="22"/>
          <w:szCs w:val="22"/>
        </w:rPr>
      </w:pPr>
      <w:r w:rsidRPr="00C45157">
        <w:rPr>
          <w:rFonts w:ascii="KievitPro-Regular" w:hAnsi="KievitPro-Regular"/>
          <w:sz w:val="22"/>
          <w:szCs w:val="22"/>
        </w:rPr>
        <w:t>Les possibilités d’amélioration soient identifiées et mises en œuvre au moins une fois par année.</w:t>
      </w:r>
    </w:p>
    <w:p w14:paraId="1A043645" w14:textId="2A0F6413" w:rsidR="002C20A2" w:rsidRPr="00C45157" w:rsidRDefault="002C20A2">
      <w:pPr>
        <w:jc w:val="left"/>
        <w:rPr>
          <w:rFonts w:ascii="KievitPro-Regular" w:hAnsi="KievitPro-Regular"/>
          <w:sz w:val="22"/>
          <w:szCs w:val="22"/>
        </w:rPr>
      </w:pPr>
      <w:r w:rsidRPr="00C45157">
        <w:rPr>
          <w:rFonts w:ascii="KievitPro-Regular" w:hAnsi="KievitPro-Regular"/>
          <w:sz w:val="22"/>
          <w:szCs w:val="22"/>
        </w:rPr>
        <w:br w:type="page"/>
      </w:r>
    </w:p>
    <w:p w14:paraId="4B605EA9" w14:textId="77777777" w:rsidR="00A16ECF" w:rsidRPr="00C45157" w:rsidRDefault="00A16ECF" w:rsidP="00A16ECF">
      <w:pPr>
        <w:spacing w:line="276" w:lineRule="auto"/>
        <w:rPr>
          <w:rFonts w:ascii="KievitPro-Regular" w:hAnsi="KievitPro-Regular"/>
          <w:sz w:val="22"/>
          <w:szCs w:val="22"/>
        </w:rPr>
      </w:pPr>
      <w:r w:rsidRPr="00C45157">
        <w:rPr>
          <w:rFonts w:ascii="KievitPro-Regular" w:hAnsi="KievitPro-Regular"/>
          <w:sz w:val="22"/>
          <w:szCs w:val="22"/>
        </w:rPr>
        <w:lastRenderedPageBreak/>
        <w:t>Ces exigences sont considérées comme remplies lorsque notamment :</w:t>
      </w:r>
    </w:p>
    <w:p w14:paraId="4B1C600C" w14:textId="72FAE6F1" w:rsidR="00A16ECF" w:rsidRPr="00C45157" w:rsidRDefault="00A16ECF" w:rsidP="00280014">
      <w:pPr>
        <w:numPr>
          <w:ilvl w:val="0"/>
          <w:numId w:val="25"/>
        </w:numPr>
        <w:spacing w:line="276" w:lineRule="auto"/>
        <w:rPr>
          <w:rFonts w:ascii="KievitPro-Regular" w:hAnsi="KievitPro-Regular"/>
          <w:sz w:val="22"/>
          <w:szCs w:val="22"/>
        </w:rPr>
      </w:pPr>
      <w:r w:rsidRPr="00C45157">
        <w:rPr>
          <w:rFonts w:ascii="KievitPro-Regular" w:hAnsi="KievitPro-Regular"/>
          <w:sz w:val="22"/>
          <w:szCs w:val="22"/>
        </w:rPr>
        <w:t>L’évaluation des risques (adaptée à la taille et à la complexité de l’entreprise) est documentée ;</w:t>
      </w:r>
    </w:p>
    <w:p w14:paraId="1A9D805B" w14:textId="5F6187CB" w:rsidR="00A16ECF" w:rsidRPr="00C45157" w:rsidRDefault="00A16ECF" w:rsidP="00280014">
      <w:pPr>
        <w:numPr>
          <w:ilvl w:val="0"/>
          <w:numId w:val="25"/>
        </w:numPr>
        <w:spacing w:line="276" w:lineRule="auto"/>
        <w:rPr>
          <w:rFonts w:ascii="KievitPro-Regular" w:hAnsi="KievitPro-Regular"/>
          <w:sz w:val="22"/>
          <w:szCs w:val="22"/>
        </w:rPr>
      </w:pPr>
      <w:r w:rsidRPr="00C45157">
        <w:rPr>
          <w:rFonts w:ascii="KievitPro-Regular" w:hAnsi="KievitPro-Regular"/>
          <w:sz w:val="22"/>
          <w:szCs w:val="22"/>
        </w:rPr>
        <w:t>Les principaux processus de révision sont définis ;</w:t>
      </w:r>
    </w:p>
    <w:p w14:paraId="2751EE4A" w14:textId="0822C4F2" w:rsidR="00A16ECF" w:rsidRPr="00C45157" w:rsidRDefault="00A16ECF" w:rsidP="00280014">
      <w:pPr>
        <w:numPr>
          <w:ilvl w:val="0"/>
          <w:numId w:val="25"/>
        </w:numPr>
        <w:spacing w:line="276" w:lineRule="auto"/>
        <w:rPr>
          <w:rFonts w:ascii="KievitPro-Regular" w:hAnsi="KievitPro-Regular"/>
          <w:sz w:val="22"/>
          <w:szCs w:val="22"/>
        </w:rPr>
      </w:pPr>
      <w:r w:rsidRPr="00C45157">
        <w:rPr>
          <w:rFonts w:ascii="KievitPro-Regular" w:hAnsi="KievitPro-Regular"/>
          <w:sz w:val="22"/>
          <w:szCs w:val="22"/>
        </w:rPr>
        <w:t>Les responsabilités et les structures décisionnelles sont clairement établies ;</w:t>
      </w:r>
    </w:p>
    <w:p w14:paraId="0D2F4E73" w14:textId="0B3EC51D" w:rsidR="00A16ECF" w:rsidRPr="00C45157" w:rsidRDefault="00A16ECF" w:rsidP="00280014">
      <w:pPr>
        <w:numPr>
          <w:ilvl w:val="0"/>
          <w:numId w:val="25"/>
        </w:numPr>
        <w:spacing w:line="276" w:lineRule="auto"/>
        <w:rPr>
          <w:rFonts w:ascii="KievitPro-Regular" w:hAnsi="KievitPro-Regular"/>
          <w:sz w:val="22"/>
          <w:szCs w:val="22"/>
        </w:rPr>
      </w:pPr>
      <w:r w:rsidRPr="00C45157">
        <w:rPr>
          <w:rFonts w:ascii="KievitPro-Regular" w:hAnsi="KievitPro-Regular"/>
          <w:sz w:val="22"/>
          <w:szCs w:val="22"/>
        </w:rPr>
        <w:t>Une affectation et une planification appropriées du personnel sont assurées ;</w:t>
      </w:r>
    </w:p>
    <w:p w14:paraId="6AE142C7" w14:textId="214150ED" w:rsidR="00A16ECF" w:rsidRPr="00C45157" w:rsidRDefault="00A16ECF" w:rsidP="00280014">
      <w:pPr>
        <w:numPr>
          <w:ilvl w:val="0"/>
          <w:numId w:val="25"/>
        </w:numPr>
        <w:spacing w:line="276" w:lineRule="auto"/>
        <w:rPr>
          <w:rFonts w:ascii="KievitPro-Regular" w:hAnsi="KievitPro-Regular"/>
          <w:sz w:val="22"/>
          <w:szCs w:val="22"/>
        </w:rPr>
      </w:pPr>
      <w:r w:rsidRPr="00C45157">
        <w:rPr>
          <w:rFonts w:ascii="KievitPro-Regular" w:hAnsi="KievitPro-Regular"/>
          <w:sz w:val="22"/>
          <w:szCs w:val="22"/>
        </w:rPr>
        <w:t>Les travaux de révision font l’objet d’une surveillance suffisante et les résultats sont évalués au moins une fois par année.</w:t>
      </w:r>
    </w:p>
    <w:p w14:paraId="72600D61" w14:textId="77777777" w:rsidR="00A16ECF" w:rsidRPr="00C45157" w:rsidRDefault="00A16ECF"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0" w:name="_Toc231482623"/>
      <w:r w:rsidRPr="00C45157">
        <w:rPr>
          <w:rFonts w:ascii="KievitPro-Regular" w:hAnsi="KievitPro-Regular" w:cs="Arial"/>
          <w:smallCaps/>
          <w:snapToGrid/>
          <w:spacing w:val="5"/>
          <w:kern w:val="0"/>
          <w:sz w:val="24"/>
          <w:szCs w:val="24"/>
          <w:lang w:eastAsia="en-US"/>
        </w:rPr>
        <w:t>Responsabilités</w:t>
      </w:r>
      <w:bookmarkEnd w:id="10"/>
    </w:p>
    <w:p w14:paraId="69EE2657" w14:textId="77777777" w:rsidR="00A16ECF" w:rsidRPr="00C45157" w:rsidRDefault="00A16ECF" w:rsidP="00A16ECF">
      <w:pPr>
        <w:spacing w:line="276" w:lineRule="auto"/>
        <w:rPr>
          <w:rFonts w:ascii="KievitPro-Regular" w:hAnsi="KievitPro-Regular"/>
          <w:sz w:val="22"/>
          <w:szCs w:val="22"/>
        </w:rPr>
      </w:pPr>
      <w:r w:rsidRPr="00C45157">
        <w:rPr>
          <w:rFonts w:ascii="KievitPro-Regular" w:hAnsi="KievitPro-Regular"/>
          <w:sz w:val="22"/>
          <w:szCs w:val="22"/>
        </w:rPr>
        <w:t>La décision concernant les règles et mesures à mettre en place dans chaque cas relève de la responsabilité de la direction de l’entreprise de révision et s’oriente vers l’objectif du système de gestion de la qualité, à savoir la fourniture régulière et conforme des prestations de révision.</w:t>
      </w:r>
    </w:p>
    <w:p w14:paraId="7041CB38" w14:textId="77777777" w:rsidR="00A16ECF" w:rsidRPr="00C45157" w:rsidRDefault="00A16ECF" w:rsidP="00A16ECF">
      <w:pPr>
        <w:spacing w:line="276" w:lineRule="auto"/>
        <w:rPr>
          <w:rFonts w:ascii="KievitPro-Regular" w:hAnsi="KievitPro-Regular"/>
          <w:sz w:val="22"/>
          <w:szCs w:val="22"/>
        </w:rPr>
      </w:pPr>
      <w:r w:rsidRPr="00C45157">
        <w:rPr>
          <w:rFonts w:ascii="KievitPro-Regular" w:hAnsi="KievitPro-Regular"/>
          <w:sz w:val="22"/>
          <w:szCs w:val="22"/>
        </w:rPr>
        <w:t>Dans une entreprise de révision PME, la responsabilité opérationnelle du système de gestion de la qualité peut être déléguée à une personne disposant d’une connaissance suffisante de l’entreprise, de ses mandats et de son portefeuille de mandats pour être en mesure de réaliser l’évaluation des risques de manière autonome. Cette personne devrait en outre disposer de l’expérience et des compétences professionnelles nécessaires ainsi que de l’agrément correspondant délivré par l’Autorité fédérale de surveillance en matière de révision (ASR).</w:t>
      </w:r>
    </w:p>
    <w:p w14:paraId="0B200940" w14:textId="77777777" w:rsidR="000808C6" w:rsidRPr="00C45157" w:rsidRDefault="000808C6" w:rsidP="000808C6">
      <w:pPr>
        <w:spacing w:line="360" w:lineRule="auto"/>
        <w:rPr>
          <w:rFonts w:ascii="KievitPro-Regular" w:hAnsi="KievitPro-Regular"/>
          <w:sz w:val="22"/>
          <w:highlight w:val="yellow"/>
        </w:rPr>
      </w:pPr>
    </w:p>
    <w:p w14:paraId="0773080F" w14:textId="4943D9B2" w:rsidR="00133D1B" w:rsidRPr="00C45157" w:rsidRDefault="00133D1B">
      <w:pPr>
        <w:jc w:val="left"/>
        <w:rPr>
          <w:rFonts w:ascii="KievitPro-Regular" w:hAnsi="KievitPro-Regular"/>
          <w:sz w:val="22"/>
        </w:rPr>
      </w:pPr>
      <w:r w:rsidRPr="00C45157">
        <w:rPr>
          <w:rFonts w:ascii="KievitPro-Regular" w:hAnsi="KievitPro-Regular"/>
          <w:sz w:val="22"/>
        </w:rPr>
        <w:br w:type="page"/>
      </w:r>
    </w:p>
    <w:p w14:paraId="4E85B1BE" w14:textId="77777777" w:rsidR="00A16ECF" w:rsidRPr="00C45157" w:rsidRDefault="00A16ECF"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11" w:name="_Toc231482624"/>
      <w:r w:rsidRPr="00C45157">
        <w:rPr>
          <w:rFonts w:ascii="KievitPro-Regular" w:hAnsi="KievitPro-Regular" w:cs="Arial"/>
          <w:smallCaps/>
          <w:snapToGrid/>
          <w:spacing w:val="5"/>
          <w:kern w:val="0"/>
          <w:sz w:val="28"/>
          <w:szCs w:val="28"/>
          <w:lang w:eastAsia="en-US"/>
        </w:rPr>
        <w:lastRenderedPageBreak/>
        <w:t>Surveillance et direction</w:t>
      </w:r>
      <w:bookmarkEnd w:id="11"/>
    </w:p>
    <w:p w14:paraId="7A00A721"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 mise en œuvre efficace du système de gestion de la qualité présuppose une culture de la qualité développée au sein de l’entreprise de révision. Celle-ci doit être assurée par des structures de direction claires, une action cohérente de la direction ainsi que par des prescriptions et une communication sans ambiguïté.</w:t>
      </w:r>
    </w:p>
    <w:p w14:paraId="0F34E86E" w14:textId="77777777" w:rsidR="00A16ECF" w:rsidRPr="00C45157" w:rsidRDefault="00A16ECF" w:rsidP="00A16ECF">
      <w:pPr>
        <w:tabs>
          <w:tab w:val="left" w:pos="540"/>
        </w:tabs>
        <w:spacing w:line="276" w:lineRule="auto"/>
        <w:rPr>
          <w:rFonts w:ascii="KievitPro-Regular" w:hAnsi="KievitPro-Regular" w:cs="Arial"/>
          <w:sz w:val="22"/>
          <w:szCs w:val="22"/>
        </w:rPr>
      </w:pPr>
    </w:p>
    <w:p w14:paraId="0618866B"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L’exigence fondamentale est que la qualité des prestations de révision prime les considérations économiques. La direction doit veiller à ce que des ressources humaines et des compétences professionnelles suffisantes soient affectées à chaque mandat.</w:t>
      </w:r>
    </w:p>
    <w:p w14:paraId="7E943673" w14:textId="77777777" w:rsidR="00A16ECF" w:rsidRPr="00C45157" w:rsidRDefault="00A16ECF" w:rsidP="00A16ECF">
      <w:pPr>
        <w:tabs>
          <w:tab w:val="left" w:pos="540"/>
        </w:tabs>
        <w:spacing w:line="276" w:lineRule="auto"/>
        <w:rPr>
          <w:rFonts w:ascii="KievitPro-Regular" w:hAnsi="KievitPro-Regular" w:cs="Arial"/>
          <w:sz w:val="22"/>
          <w:szCs w:val="22"/>
        </w:rPr>
      </w:pPr>
    </w:p>
    <w:p w14:paraId="75E959DC"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 culture de la qualité doit notamment être encouragée au moyen de mesures appropriées telles que des formations, des réunions internes, des principes directeurs ainsi qu’une communication interne régulière. Il convient en outre de veiller à ce que les aspects liés à la qualité soient pris en compte de manière appropriée dans l’évaluation des collaborateurs, en particulier du personnel spécialisé et des cadres.</w:t>
      </w:r>
    </w:p>
    <w:p w14:paraId="7DD7AC40" w14:textId="77777777" w:rsidR="002568E8" w:rsidRPr="00C45157" w:rsidRDefault="002568E8" w:rsidP="00A16ECF">
      <w:pPr>
        <w:tabs>
          <w:tab w:val="left" w:pos="540"/>
        </w:tabs>
        <w:spacing w:line="276" w:lineRule="auto"/>
        <w:rPr>
          <w:rFonts w:ascii="KievitPro-Regular" w:hAnsi="KievitPro-Regular" w:cs="Arial"/>
          <w:sz w:val="22"/>
          <w:szCs w:val="22"/>
        </w:rPr>
      </w:pPr>
    </w:p>
    <w:p w14:paraId="066DAA9E"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 responsabilité du système interne de gestion de la qualité doit être attribuée à une personne qualifiée sur le plan professionnel. Celle-ci doit disposer des compétences et des pouvoirs nécessaires pour ordonner des mesures d’amélioration de la gestion de la qualité et surveiller leur mise en œuvre. Elle est en outre habilitée et tenue de prendre des mesures appropriées en cas de déficiences importantes en matière de qualité, y compris l’empêchement de l’émission du rapport.</w:t>
      </w:r>
    </w:p>
    <w:p w14:paraId="6FEBBC9C" w14:textId="77777777" w:rsidR="00A16ECF" w:rsidRPr="00C45157" w:rsidRDefault="00A16ECF" w:rsidP="00A16ECF">
      <w:pPr>
        <w:tabs>
          <w:tab w:val="left" w:pos="540"/>
        </w:tabs>
        <w:spacing w:line="276" w:lineRule="auto"/>
        <w:rPr>
          <w:rFonts w:ascii="KievitPro-Regular" w:hAnsi="KievitPro-Regular" w:cs="Arial"/>
          <w:sz w:val="22"/>
          <w:szCs w:val="22"/>
        </w:rPr>
      </w:pPr>
    </w:p>
    <w:p w14:paraId="383719BC"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Les membres de la profession doivent exécuter les mandats qui leur sont confiés avec la diligence requise, en toute indépendance et objectivité, ainsi que dans le respect des règles professionnelles et déontologiques applicables. Les activités incompatibles avec la dignité de la profession doivent être évitées.</w:t>
      </w:r>
    </w:p>
    <w:p w14:paraId="0A264EF5" w14:textId="77777777" w:rsidR="00A16ECF" w:rsidRPr="00C45157" w:rsidRDefault="00A16ECF" w:rsidP="00A16ECF">
      <w:pPr>
        <w:tabs>
          <w:tab w:val="left" w:pos="540"/>
        </w:tabs>
        <w:spacing w:line="276" w:lineRule="auto"/>
        <w:rPr>
          <w:rFonts w:ascii="KievitPro-Regular" w:hAnsi="KievitPro-Regular" w:cs="Arial"/>
          <w:sz w:val="22"/>
          <w:szCs w:val="22"/>
        </w:rPr>
      </w:pPr>
    </w:p>
    <w:p w14:paraId="34E30CD3"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 garantie de la qualité professionnelle suppose que les connaissances professionnelles soient mises à jour en permanence. L’entreprise de révision doit dès lors assurer la formation initiale et continue de ses collaborateurs dans la mesure requise.</w:t>
      </w:r>
    </w:p>
    <w:p w14:paraId="44A01309" w14:textId="77777777" w:rsidR="00A16ECF" w:rsidRPr="00C45157" w:rsidRDefault="00A16ECF" w:rsidP="00A16ECF">
      <w:pPr>
        <w:tabs>
          <w:tab w:val="left" w:pos="540"/>
        </w:tabs>
        <w:spacing w:line="276" w:lineRule="auto"/>
        <w:rPr>
          <w:rFonts w:ascii="KievitPro-Regular" w:hAnsi="KievitPro-Regular" w:cs="Arial"/>
          <w:sz w:val="22"/>
          <w:szCs w:val="22"/>
        </w:rPr>
      </w:pPr>
    </w:p>
    <w:p w14:paraId="056FD818"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Avant l’acceptation d’un mandat, il convient obligatoirement de vérifier si les exigences d’indépendance et d’objectivité sont remplies et s’il existe des conflits d’intérêts. En présence de conflits d’intérêts pertinents, le mandat doit être refusé. Les éléments essentiels du mandat doivent en règle générale être consignés par écrit afin de garantir la clarté quant à l’étendue et à l’objectif de la prestation ainsi qu’à la portée du rapport.</w:t>
      </w:r>
    </w:p>
    <w:p w14:paraId="47143AC2" w14:textId="77777777" w:rsidR="00A16ECF" w:rsidRPr="00C45157" w:rsidRDefault="00A16ECF" w:rsidP="00A16ECF">
      <w:pPr>
        <w:tabs>
          <w:tab w:val="left" w:pos="540"/>
        </w:tabs>
        <w:spacing w:line="276" w:lineRule="auto"/>
        <w:rPr>
          <w:rFonts w:ascii="KievitPro-Regular" w:hAnsi="KievitPro-Regular" w:cs="Arial"/>
          <w:sz w:val="22"/>
          <w:szCs w:val="22"/>
        </w:rPr>
      </w:pPr>
    </w:p>
    <w:p w14:paraId="2EC1B13D" w14:textId="77777777" w:rsidR="00A16ECF" w:rsidRPr="00C45157" w:rsidRDefault="00A16ECF" w:rsidP="00A16ECF">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Dès l’établissement de l’offre, les informations nécessaires à l’évaluation du mandat doivent être obtenues auprès du mandant potentiel.</w:t>
      </w:r>
    </w:p>
    <w:p w14:paraId="3676B671" w14:textId="77777777" w:rsidR="00A16ECF" w:rsidRPr="00C45157" w:rsidRDefault="00A16ECF" w:rsidP="00A16ECF">
      <w:pPr>
        <w:tabs>
          <w:tab w:val="left" w:pos="540"/>
        </w:tabs>
        <w:spacing w:line="276" w:lineRule="auto"/>
        <w:rPr>
          <w:rFonts w:ascii="KievitPro-Regular" w:hAnsi="KievitPro-Regular" w:cs="Arial"/>
          <w:sz w:val="22"/>
          <w:szCs w:val="22"/>
        </w:rPr>
      </w:pPr>
    </w:p>
    <w:p w14:paraId="35A445D7" w14:textId="63EE186E" w:rsidR="00D03E9E" w:rsidRPr="00C45157" w:rsidRDefault="00A16ECF" w:rsidP="0052374B">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L’acceptation de mandats de révision présuppose une coordination appropriée avec la plus haute direction du mandant. Un contact direct avec la plus haute direction doit être assuré.</w:t>
      </w:r>
      <w:r w:rsidR="00D03E9E" w:rsidRPr="00C45157">
        <w:rPr>
          <w:rFonts w:ascii="KievitPro-Regular" w:hAnsi="KievitPro-Regular" w:cs="Arial"/>
          <w:sz w:val="22"/>
          <w:szCs w:val="22"/>
        </w:rPr>
        <w:br w:type="page"/>
      </w:r>
    </w:p>
    <w:p w14:paraId="0231FBC8" w14:textId="77777777" w:rsidR="00D03E9E" w:rsidRPr="00C45157" w:rsidRDefault="00D03E9E"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12" w:name="_Toc231482625"/>
      <w:r w:rsidRPr="00C45157">
        <w:rPr>
          <w:rFonts w:ascii="KievitPro-Regular" w:hAnsi="KievitPro-Regular" w:cs="Arial"/>
          <w:smallCaps/>
          <w:snapToGrid/>
          <w:spacing w:val="5"/>
          <w:kern w:val="0"/>
          <w:sz w:val="28"/>
          <w:szCs w:val="28"/>
          <w:lang w:eastAsia="en-US"/>
        </w:rPr>
        <w:lastRenderedPageBreak/>
        <w:t>Exigences découlant de la loi et des principes professionnels</w:t>
      </w:r>
      <w:bookmarkEnd w:id="12"/>
    </w:p>
    <w:p w14:paraId="5294CE52" w14:textId="08C6512C" w:rsidR="00D03E9E" w:rsidRPr="00C45157" w:rsidRDefault="00D03E9E"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3" w:name="_Toc231482626"/>
      <w:r w:rsidRPr="00C45157">
        <w:rPr>
          <w:rFonts w:ascii="KievitPro-Regular" w:hAnsi="KievitPro-Regular" w:cs="Arial"/>
          <w:smallCaps/>
          <w:snapToGrid/>
          <w:spacing w:val="5"/>
          <w:kern w:val="0"/>
          <w:sz w:val="24"/>
          <w:szCs w:val="24"/>
          <w:lang w:eastAsia="en-US"/>
        </w:rPr>
        <w:t>Généralités</w:t>
      </w:r>
      <w:bookmarkEnd w:id="13"/>
    </w:p>
    <w:p w14:paraId="17053866" w14:textId="77777777" w:rsidR="00D03E9E" w:rsidRPr="00C45157" w:rsidRDefault="00D03E9E" w:rsidP="00D03E9E">
      <w:pPr>
        <w:spacing w:before="100" w:beforeAutospacing="1" w:line="276" w:lineRule="auto"/>
        <w:rPr>
          <w:rFonts w:ascii="KievitPro-Regular" w:hAnsi="KievitPro-Regular"/>
          <w:snapToGrid/>
          <w:sz w:val="22"/>
          <w:szCs w:val="22"/>
          <w:lang w:eastAsia="de-CH"/>
        </w:rPr>
      </w:pPr>
      <w:r w:rsidRPr="00C45157">
        <w:rPr>
          <w:rFonts w:ascii="KievitPro-Regular" w:hAnsi="KievitPro-Regular"/>
          <w:snapToGrid/>
          <w:sz w:val="22"/>
          <w:szCs w:val="22"/>
          <w:lang w:eastAsia="de-CH"/>
        </w:rPr>
        <w:t>Les entreprises de révision doivent en tout temps respecter les dispositions légales, ordonnances et autres actes normatifs applicables ainsi que les règles professionnelles et déontologiques en vigueur. Les réviseurs responsables disposent d’un agrément de l’Autorité fédérale de surveillance en matière de révision (ASR) et s’engagent personnellement à respecter ces prescriptions ainsi que les directives professionnelles.</w:t>
      </w:r>
    </w:p>
    <w:p w14:paraId="37EBAB1A"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3E515BB9" w14:textId="77777777" w:rsidR="00D03E9E" w:rsidRPr="00C45157" w:rsidRDefault="00D03E9E" w:rsidP="00D03E9E">
      <w:pPr>
        <w:spacing w:line="276" w:lineRule="auto"/>
        <w:rPr>
          <w:rFonts w:ascii="KievitPro-Regular" w:hAnsi="KievitPro-Regular"/>
          <w:snapToGrid/>
          <w:sz w:val="22"/>
          <w:szCs w:val="22"/>
          <w:lang w:eastAsia="de-CH"/>
        </w:rPr>
      </w:pPr>
      <w:r w:rsidRPr="00C45157">
        <w:rPr>
          <w:rFonts w:ascii="KievitPro-Regular" w:hAnsi="KievitPro-Regular"/>
          <w:snapToGrid/>
          <w:sz w:val="22"/>
          <w:szCs w:val="22"/>
          <w:lang w:eastAsia="de-CH"/>
        </w:rPr>
        <w:t>L’entreprise de révision dispose d’une organisation appropriée garantissant une fourniture régulière et conforme des prestations de révision. L’organisation doit être clairement structurée et documentée sous une forme appropriée (p. ex. organigramme). Les compétences et les responsabilités doivent être définies de manière claire.</w:t>
      </w:r>
    </w:p>
    <w:p w14:paraId="4DEA30EC" w14:textId="77777777" w:rsidR="00A16ECF" w:rsidRPr="00C45157" w:rsidRDefault="00A16ECF" w:rsidP="00D03E9E">
      <w:pPr>
        <w:tabs>
          <w:tab w:val="left" w:pos="540"/>
        </w:tabs>
        <w:spacing w:line="276" w:lineRule="auto"/>
        <w:rPr>
          <w:rFonts w:ascii="KievitPro-Regular" w:hAnsi="KievitPro-Regular" w:cs="Arial"/>
          <w:snapToGrid/>
          <w:sz w:val="22"/>
          <w:szCs w:val="22"/>
        </w:rPr>
      </w:pPr>
    </w:p>
    <w:p w14:paraId="207F5002" w14:textId="0635A69D"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personnel spécialisé doit être affecté de manière à ce que les tâches légales puissent être exécutées avec les compétences professionnelles et la diligence requises. La qualification des collaborateurs doit être garantie et adaptée en permanence aux exigences des mandats suivis.</w:t>
      </w:r>
    </w:p>
    <w:p w14:paraId="28A25FD1" w14:textId="0D59C724" w:rsidR="00D03E9E" w:rsidRPr="00C45157" w:rsidRDefault="00D03E9E"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4" w:name="_Toc231482627"/>
      <w:r w:rsidRPr="00C45157">
        <w:rPr>
          <w:rFonts w:ascii="KievitPro-Regular" w:hAnsi="KievitPro-Regular" w:cs="Arial"/>
          <w:smallCaps/>
          <w:snapToGrid/>
          <w:spacing w:val="5"/>
          <w:kern w:val="0"/>
          <w:sz w:val="24"/>
          <w:szCs w:val="24"/>
          <w:lang w:eastAsia="en-US"/>
        </w:rPr>
        <w:t>Indépendance</w:t>
      </w:r>
      <w:bookmarkEnd w:id="14"/>
    </w:p>
    <w:p w14:paraId="545926AB"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maintien de l’indépendance interne et externe de l’entreprise de révision ainsi que de tous les collaborateurs participant à la révision doit être garanti en tout temps. Cette exigence s’applique tant à l’entreprise qu’au personnel spécialisé et à toutes les personnes exerçant des fonctions de direction ou de décision.</w:t>
      </w:r>
    </w:p>
    <w:p w14:paraId="7539D30B"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7B2D4D0D"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Tous les collaborateurs, les membres de l’organe suprême de direction ou d’administration ainsi que les personnes exerçant des fonctions décisionnelles doivent signer chaque année une déclaration écrite d’indépendance. Cette déclaration doit être accompagnée d’une liste actualisée des mandats de révision. Le respect des prescriptions en matière d’indépendance doit en outre être vérifié et documenté de manière systématique lors de l’acceptation et de la poursuite des mandats. Les risques identifiés ou les conflits d’intérêts potentiels doivent être évalués et des mesures appropriées doivent être prises.</w:t>
      </w:r>
    </w:p>
    <w:p w14:paraId="42F67DC2"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13F1F13F"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collaborateurs n’exerçant pas de fonction de révision doivent confirmer chaque année par écrit qu’ils n’exercent aucune fonction inadmissible auprès d’un client soumis à révision (notamment des fonctions de membre du conseil d’administration ou des fonctions décisionnelles). Ces confirmations doivent être documentées et conservées.</w:t>
      </w:r>
    </w:p>
    <w:p w14:paraId="0454E8C8"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43C0CBBD"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direction veille à ce qu’un contrôle interne de l’indépendance soit effectué au moins une fois par année. À cette occasion, l’ensemble des mandats est examiné sous l’angle des risques potentiels en matière d’indépendance, les éventuels conflits sont évalués et les mesures nécessaires sont définies et documentées.</w:t>
      </w:r>
    </w:p>
    <w:p w14:paraId="7C9C7310"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5654E0EF" w14:textId="508BDA18" w:rsidR="009E6D77"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responsabilité du mandat doit être attribuée de manière claire et consignée dans les dossiers du mandat. La séparation du personnel requise dans le cadre du contrôle restreint doit être respectée et garantie au moyen de mesures organisationnelles appropriées.</w:t>
      </w:r>
    </w:p>
    <w:p w14:paraId="203AA1CA" w14:textId="77777777" w:rsidR="009E6D77" w:rsidRPr="00C45157" w:rsidRDefault="009E6D77">
      <w:pPr>
        <w:jc w:val="left"/>
        <w:rPr>
          <w:rFonts w:ascii="KievitPro-Regular" w:hAnsi="KievitPro-Regular" w:cs="Arial"/>
          <w:snapToGrid/>
          <w:sz w:val="22"/>
          <w:szCs w:val="22"/>
        </w:rPr>
      </w:pPr>
      <w:r w:rsidRPr="00C45157">
        <w:rPr>
          <w:rFonts w:ascii="KievitPro-Regular" w:hAnsi="KievitPro-Regular" w:cs="Arial"/>
          <w:snapToGrid/>
          <w:sz w:val="22"/>
          <w:szCs w:val="22"/>
        </w:rPr>
        <w:br w:type="page"/>
      </w:r>
    </w:p>
    <w:p w14:paraId="412592E9" w14:textId="1F828F75" w:rsidR="00D03E9E" w:rsidRPr="00C45157" w:rsidRDefault="00D03E9E"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5" w:name="_Toc231482628"/>
      <w:r w:rsidRPr="00C45157">
        <w:rPr>
          <w:rFonts w:ascii="KievitPro-Regular" w:hAnsi="KievitPro-Regular" w:cs="Arial"/>
          <w:smallCaps/>
          <w:snapToGrid/>
          <w:spacing w:val="5"/>
          <w:kern w:val="0"/>
          <w:sz w:val="24"/>
          <w:szCs w:val="24"/>
          <w:lang w:eastAsia="en-US"/>
        </w:rPr>
        <w:lastRenderedPageBreak/>
        <w:t>Formation continue</w:t>
      </w:r>
      <w:bookmarkEnd w:id="15"/>
    </w:p>
    <w:p w14:paraId="41FB2EFC"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veille à ce que tous les collaborateurs disposent des connaissances professionnelles nécessaires pour exercer leurs tâches avec la diligence requise. La formation initiale et continue doit être planifiée, mise en œuvre et documentée de manière systématique.</w:t>
      </w:r>
    </w:p>
    <w:p w14:paraId="178A53CA"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5C465FF9"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formation continue doit être adaptée à la complexité des mandats suivis ainsi qu’aux normes d’audit et de présentation des comptes applicables. Il convient de veiller à ce que les connaissances professionnelles soient mises à jour en permanence.</w:t>
      </w:r>
    </w:p>
    <w:p w14:paraId="6170B89F"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12DCB8EA"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met en place un système interne de saisie et de contrôle de la formation continue. Les justificatifs correspondants (attestations de cours, relevés de formation continue) doivent être intégralement documentés et vérifiés au moins une fois par année dans le cadre d’un processus de contrôle structuré.</w:t>
      </w:r>
    </w:p>
    <w:p w14:paraId="6A5D980A"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38AE9A3D"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vérification est effectuée selon le principe du double contrôle. À cette occasion, le relevé de formation continue doit être examiné, le contrôle de la formation continue doit être visé et documenté. Le suivi des besoins en formation continue s’effectue notamment dans le cadre des entretiens avec les collaborateurs ainsi que, si nécessaire, en cours d’année.</w:t>
      </w:r>
    </w:p>
    <w:p w14:paraId="1639B561"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1D5FD69A"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Dans le cadre du système interne de gestion de la qualité, il convient de veiller à ce que le respect des exigences en matière de formation continue soit régulièrement vérifié et documenté.</w:t>
      </w:r>
    </w:p>
    <w:p w14:paraId="77D7130B" w14:textId="7BBA7779" w:rsidR="00D03E9E" w:rsidRPr="00C45157" w:rsidRDefault="00D03E9E">
      <w:pPr>
        <w:jc w:val="left"/>
        <w:rPr>
          <w:rFonts w:ascii="KievitPro-Regular" w:hAnsi="KievitPro-Regular" w:cs="Arial"/>
          <w:snapToGrid/>
          <w:sz w:val="22"/>
          <w:szCs w:val="22"/>
        </w:rPr>
      </w:pPr>
      <w:r w:rsidRPr="00C45157">
        <w:rPr>
          <w:rFonts w:ascii="KievitPro-Regular" w:hAnsi="KievitPro-Regular" w:cs="Arial"/>
          <w:snapToGrid/>
          <w:sz w:val="22"/>
          <w:szCs w:val="22"/>
        </w:rPr>
        <w:br w:type="page"/>
      </w:r>
    </w:p>
    <w:p w14:paraId="3B8644CF" w14:textId="49B788D9" w:rsidR="00D03E9E" w:rsidRPr="00C45157" w:rsidRDefault="00D03E9E"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16" w:name="_Toc231482629"/>
      <w:r w:rsidRPr="00C45157">
        <w:rPr>
          <w:rFonts w:ascii="KievitPro-Regular" w:hAnsi="KievitPro-Regular" w:cs="Arial"/>
          <w:smallCaps/>
          <w:snapToGrid/>
          <w:spacing w:val="5"/>
          <w:kern w:val="0"/>
          <w:sz w:val="28"/>
          <w:szCs w:val="28"/>
          <w:lang w:eastAsia="en-US"/>
        </w:rPr>
        <w:lastRenderedPageBreak/>
        <w:t>Acceptation, poursuite et cessation des mandats</w:t>
      </w:r>
      <w:bookmarkEnd w:id="16"/>
    </w:p>
    <w:p w14:paraId="27912A7D" w14:textId="4561ADE4" w:rsidR="00D03E9E" w:rsidRPr="00C45157" w:rsidRDefault="00D03E9E" w:rsidP="00280014">
      <w:pPr>
        <w:pStyle w:val="berschrift1"/>
        <w:keepNext w:val="0"/>
        <w:numPr>
          <w:ilvl w:val="1"/>
          <w:numId w:val="17"/>
        </w:numPr>
        <w:spacing w:before="480" w:after="240" w:line="276" w:lineRule="auto"/>
        <w:contextualSpacing/>
        <w:jc w:val="left"/>
        <w:rPr>
          <w:rFonts w:ascii="KievitPro-Regular" w:hAnsi="KievitPro-Regular" w:cs="Arial"/>
          <w:snapToGrid/>
          <w:sz w:val="24"/>
          <w:szCs w:val="24"/>
        </w:rPr>
      </w:pPr>
      <w:bookmarkStart w:id="17" w:name="_Toc231482630"/>
      <w:r w:rsidRPr="00C45157">
        <w:rPr>
          <w:rFonts w:ascii="KievitPro-Regular" w:hAnsi="KievitPro-Regular" w:cs="Arial"/>
          <w:smallCaps/>
          <w:snapToGrid/>
          <w:spacing w:val="5"/>
          <w:kern w:val="0"/>
          <w:sz w:val="24"/>
          <w:szCs w:val="24"/>
          <w:lang w:eastAsia="en-US"/>
        </w:rPr>
        <w:t>Généralités</w:t>
      </w:r>
      <w:bookmarkEnd w:id="17"/>
    </w:p>
    <w:p w14:paraId="7EE297C1"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Lors de l’exécution de mandats d’audit individuels, il convient de veiller à ce que la prestation soit fournie conformément aux exigences professionnelles et légales. Cela comprend notamment une planification appropriée de l’audit ainsi que la revue des dossiers de travail par le responsable du mandat.</w:t>
      </w:r>
    </w:p>
    <w:p w14:paraId="233B07F5"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55E4B6FB"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dossiers de travail doivent être établis de manière à permettre une compréhension complète et traçable de l’audit réalisé ainsi que des constatations et conclusions d’audit formulées. L’entreprise de révision doit définir des normes internes uniformes pour la réalisation des audits et la documentation, afin de garantir un déroulement structuré des travaux d’audit, indépendant des personnes qui les exécutent.</w:t>
      </w:r>
    </w:p>
    <w:p w14:paraId="4CFB2BAF" w14:textId="77777777" w:rsidR="00D03E9E" w:rsidRPr="00C45157" w:rsidRDefault="00D03E9E" w:rsidP="00D03E9E">
      <w:pPr>
        <w:tabs>
          <w:tab w:val="left" w:pos="540"/>
        </w:tabs>
        <w:spacing w:line="276" w:lineRule="auto"/>
        <w:rPr>
          <w:rFonts w:ascii="KievitPro-Regular" w:hAnsi="KievitPro-Regular" w:cs="Arial"/>
          <w:snapToGrid/>
          <w:sz w:val="22"/>
          <w:szCs w:val="22"/>
        </w:rPr>
      </w:pPr>
    </w:p>
    <w:p w14:paraId="424C9C5E" w14:textId="77777777" w:rsidR="00D03E9E" w:rsidRPr="00C45157" w:rsidRDefault="00D03E9E" w:rsidP="00D03E9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En présence de risques accrus, il convient de veiller à ce que les dossiers de travail soient en outre examinés par une autre personne disposant des qualifications professionnelles requises au sein de l’entreprise de révision.</w:t>
      </w:r>
    </w:p>
    <w:p w14:paraId="12974F3B" w14:textId="77777777" w:rsidR="007C690B" w:rsidRPr="00C45157" w:rsidRDefault="007C690B"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8" w:name="_Toc231482631"/>
      <w:r w:rsidRPr="00C45157">
        <w:rPr>
          <w:rFonts w:ascii="KievitPro-Regular" w:hAnsi="KievitPro-Regular" w:cs="Arial"/>
          <w:smallCaps/>
          <w:snapToGrid/>
          <w:spacing w:val="5"/>
          <w:kern w:val="0"/>
          <w:sz w:val="24"/>
          <w:szCs w:val="24"/>
          <w:lang w:eastAsia="en-US"/>
        </w:rPr>
        <w:t>Acceptation et poursuite des mandats</w:t>
      </w:r>
      <w:bookmarkEnd w:id="18"/>
    </w:p>
    <w:p w14:paraId="659E8E4B" w14:textId="77777777" w:rsidR="007C690B" w:rsidRPr="00C45157" w:rsidRDefault="007C690B" w:rsidP="007C690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mandats ne peuvent être acceptés ou poursuivis que si les compétences professionnelles requises, des ressources humaines et temporelles suffisantes ainsi que la possibilité d’une exécution régulière et conforme du mandat sont garanties. Il convient en outre de veiller à ce que les exigences en matière d’indépendance soient respectées en tout temps.</w:t>
      </w:r>
    </w:p>
    <w:p w14:paraId="0EC5CE5B" w14:textId="77777777" w:rsidR="007C690B" w:rsidRPr="00C45157" w:rsidRDefault="007C690B" w:rsidP="007C690B">
      <w:pPr>
        <w:tabs>
          <w:tab w:val="left" w:pos="540"/>
        </w:tabs>
        <w:spacing w:line="276" w:lineRule="auto"/>
        <w:rPr>
          <w:rFonts w:ascii="KievitPro-Regular" w:hAnsi="KievitPro-Regular" w:cs="Arial"/>
          <w:snapToGrid/>
          <w:sz w:val="22"/>
          <w:szCs w:val="22"/>
        </w:rPr>
      </w:pPr>
    </w:p>
    <w:p w14:paraId="558A3D3E" w14:textId="77777777" w:rsidR="007C690B" w:rsidRPr="00C45157" w:rsidRDefault="007C690B" w:rsidP="007C690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Dans le cadre de l’acceptation et de la poursuite des mandats, l’intégrité de la direction du mandant doit impérativement être évaluée. Un mandat ne peut être accepté ou poursuivi que si cette évaluation est positive.</w:t>
      </w:r>
    </w:p>
    <w:p w14:paraId="335C589A" w14:textId="77777777" w:rsidR="007C690B" w:rsidRPr="00C45157" w:rsidRDefault="007C690B" w:rsidP="007C690B">
      <w:pPr>
        <w:tabs>
          <w:tab w:val="left" w:pos="540"/>
        </w:tabs>
        <w:spacing w:line="276" w:lineRule="auto"/>
        <w:rPr>
          <w:rFonts w:ascii="KievitPro-Regular" w:hAnsi="KievitPro-Regular" w:cs="Arial"/>
          <w:snapToGrid/>
          <w:sz w:val="22"/>
          <w:szCs w:val="22"/>
        </w:rPr>
      </w:pPr>
    </w:p>
    <w:p w14:paraId="78BFE70E" w14:textId="77777777" w:rsidR="007C690B" w:rsidRPr="00C45157" w:rsidRDefault="007C690B" w:rsidP="007C690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responsable du domaine Audit est chargé de l’acceptation des mandats. À cet effet, il se concerte avec le réviseur responsable ou le responsable du client. Celui-ci veille à ce que toutes les informations et tous les documents nécessaires à la prise de décision soient disponibles et les documente dans la liste de contrôle relative à l’acceptation des mandats.</w:t>
      </w:r>
    </w:p>
    <w:p w14:paraId="750FFF7D" w14:textId="77777777" w:rsidR="007C690B" w:rsidRPr="00C45157" w:rsidRDefault="007C690B" w:rsidP="007C690B">
      <w:pPr>
        <w:tabs>
          <w:tab w:val="left" w:pos="540"/>
        </w:tabs>
        <w:spacing w:line="276" w:lineRule="auto"/>
        <w:rPr>
          <w:rFonts w:ascii="KievitPro-Regular" w:hAnsi="KievitPro-Regular" w:cs="Arial"/>
          <w:snapToGrid/>
          <w:sz w:val="22"/>
          <w:szCs w:val="22"/>
        </w:rPr>
      </w:pPr>
    </w:p>
    <w:p w14:paraId="01C964E9" w14:textId="77777777" w:rsidR="007C690B" w:rsidRPr="00C45157" w:rsidRDefault="007C690B" w:rsidP="007C690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vérification des conditions de poursuite d’un mandat est effectuée au moins une fois par année ainsi qu’à l’occasion de l’élection ou de la réélection de l’organe de révision par l’assemblée générale du mandant. Les résultats et les conclusions doivent être intégralement documentés dans la liste de contrôle relative à la poursuite des mandats.</w:t>
      </w:r>
    </w:p>
    <w:p w14:paraId="2630F3EC" w14:textId="77777777" w:rsidR="007C690B" w:rsidRPr="00C45157" w:rsidRDefault="007C690B" w:rsidP="007C690B">
      <w:pPr>
        <w:tabs>
          <w:tab w:val="left" w:pos="540"/>
        </w:tabs>
        <w:spacing w:line="276" w:lineRule="auto"/>
        <w:rPr>
          <w:rFonts w:ascii="KievitPro-Regular" w:hAnsi="KievitPro-Regular" w:cs="Arial"/>
          <w:snapToGrid/>
          <w:sz w:val="22"/>
          <w:szCs w:val="22"/>
        </w:rPr>
      </w:pPr>
    </w:p>
    <w:p w14:paraId="5A3FBD52" w14:textId="3F0A5DD5" w:rsidR="007C690B" w:rsidRDefault="007C690B" w:rsidP="007C690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modifications du mandat demandées par le client doivent être examinées et documentées avant leur mise en œuvre. Si ces modifications sont acceptées, une confirmation de mandat adaptée ou une nouvelle confirmation de mandat doit être établie avant le début des travaux de révision.</w:t>
      </w:r>
    </w:p>
    <w:p w14:paraId="36827EB8" w14:textId="77777777" w:rsidR="00C45157" w:rsidRDefault="00C45157" w:rsidP="007C690B">
      <w:pPr>
        <w:tabs>
          <w:tab w:val="left" w:pos="540"/>
        </w:tabs>
        <w:spacing w:line="276" w:lineRule="auto"/>
        <w:rPr>
          <w:rFonts w:ascii="KievitPro-Regular" w:hAnsi="KievitPro-Regular" w:cs="Arial"/>
          <w:snapToGrid/>
          <w:sz w:val="22"/>
          <w:szCs w:val="22"/>
        </w:rPr>
      </w:pPr>
    </w:p>
    <w:p w14:paraId="761F6E44" w14:textId="77777777" w:rsidR="00C45157" w:rsidRDefault="00C45157" w:rsidP="007C690B">
      <w:pPr>
        <w:tabs>
          <w:tab w:val="left" w:pos="540"/>
        </w:tabs>
        <w:spacing w:line="276" w:lineRule="auto"/>
        <w:rPr>
          <w:rFonts w:ascii="KievitPro-Regular" w:hAnsi="KievitPro-Regular" w:cs="Arial"/>
          <w:snapToGrid/>
          <w:sz w:val="22"/>
          <w:szCs w:val="22"/>
        </w:rPr>
      </w:pPr>
    </w:p>
    <w:p w14:paraId="2D7211E9" w14:textId="77777777" w:rsidR="00C45157" w:rsidRDefault="00C45157" w:rsidP="007C690B">
      <w:pPr>
        <w:tabs>
          <w:tab w:val="left" w:pos="540"/>
        </w:tabs>
        <w:spacing w:line="276" w:lineRule="auto"/>
        <w:rPr>
          <w:rFonts w:ascii="KievitPro-Regular" w:hAnsi="KievitPro-Regular" w:cs="Arial"/>
          <w:snapToGrid/>
          <w:sz w:val="22"/>
          <w:szCs w:val="22"/>
        </w:rPr>
      </w:pPr>
    </w:p>
    <w:p w14:paraId="1FBCA1BB" w14:textId="77777777" w:rsidR="00C45157" w:rsidRDefault="00C45157" w:rsidP="007C690B">
      <w:pPr>
        <w:tabs>
          <w:tab w:val="left" w:pos="540"/>
        </w:tabs>
        <w:spacing w:line="276" w:lineRule="auto"/>
        <w:rPr>
          <w:rFonts w:ascii="KievitPro-Regular" w:hAnsi="KievitPro-Regular" w:cs="Arial"/>
          <w:snapToGrid/>
          <w:sz w:val="22"/>
          <w:szCs w:val="22"/>
        </w:rPr>
      </w:pPr>
    </w:p>
    <w:p w14:paraId="6DDA3308" w14:textId="77777777" w:rsidR="00C45157" w:rsidRPr="00C45157" w:rsidRDefault="00C45157" w:rsidP="007C690B">
      <w:pPr>
        <w:tabs>
          <w:tab w:val="left" w:pos="540"/>
        </w:tabs>
        <w:spacing w:line="276" w:lineRule="auto"/>
        <w:rPr>
          <w:rFonts w:ascii="KievitPro-Regular" w:hAnsi="KievitPro-Regular" w:cs="Arial"/>
          <w:snapToGrid/>
          <w:sz w:val="22"/>
          <w:szCs w:val="22"/>
        </w:rPr>
      </w:pPr>
    </w:p>
    <w:p w14:paraId="7005DCF7" w14:textId="04335CA0" w:rsidR="00951D5B" w:rsidRPr="00C45157" w:rsidRDefault="00951D5B"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19" w:name="_Toc231482632"/>
      <w:r w:rsidRPr="00C45157">
        <w:rPr>
          <w:rFonts w:ascii="KievitPro-Regular" w:hAnsi="KievitPro-Regular" w:cs="Arial"/>
          <w:smallCaps/>
          <w:snapToGrid/>
          <w:spacing w:val="5"/>
          <w:kern w:val="0"/>
          <w:sz w:val="24"/>
          <w:szCs w:val="24"/>
          <w:lang w:eastAsia="en-US"/>
        </w:rPr>
        <w:lastRenderedPageBreak/>
        <w:t>Cessation du mandat</w:t>
      </w:r>
      <w:bookmarkEnd w:id="19"/>
    </w:p>
    <w:p w14:paraId="23B0AD1B"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Un mandat doit prendre fin lorsque les conditions nécessaires à une exécution conforme du mandat ne sont plus remplies, notamment lorsque les compétences professionnelles, les ressources ou l’indépendance ne sont plus garanties.</w:t>
      </w:r>
    </w:p>
    <w:p w14:paraId="1B7EBDF4" w14:textId="77777777" w:rsidR="00951D5B" w:rsidRPr="00C45157" w:rsidRDefault="00951D5B" w:rsidP="00951D5B">
      <w:pPr>
        <w:tabs>
          <w:tab w:val="left" w:pos="540"/>
        </w:tabs>
        <w:spacing w:line="276" w:lineRule="auto"/>
        <w:rPr>
          <w:rFonts w:ascii="KievitPro-Regular" w:hAnsi="KievitPro-Regular" w:cs="Arial"/>
          <w:snapToGrid/>
          <w:sz w:val="22"/>
          <w:szCs w:val="22"/>
        </w:rPr>
      </w:pPr>
    </w:p>
    <w:p w14:paraId="4BEDBD39"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motifs de la cessation du mandat doivent être documentés. Il convient en outre de veiller à ce que les informations pertinentes soient communiquées de manière appropriée au sein de l’entreprise de révision et à ce que les éventuelles obligations d'annonce découlant du droit professionnel soient respectées.</w:t>
      </w:r>
    </w:p>
    <w:p w14:paraId="39570844" w14:textId="77777777" w:rsidR="00951D5B" w:rsidRPr="00C45157" w:rsidRDefault="00951D5B" w:rsidP="007C690B">
      <w:pPr>
        <w:tabs>
          <w:tab w:val="left" w:pos="540"/>
        </w:tabs>
        <w:spacing w:line="276" w:lineRule="auto"/>
        <w:rPr>
          <w:rFonts w:ascii="KievitPro-Regular" w:hAnsi="KievitPro-Regular" w:cs="Arial"/>
          <w:snapToGrid/>
          <w:sz w:val="22"/>
          <w:szCs w:val="22"/>
        </w:rPr>
      </w:pPr>
    </w:p>
    <w:p w14:paraId="2EA064E9" w14:textId="77777777" w:rsidR="00951D5B" w:rsidRPr="00C45157" w:rsidRDefault="00951D5B" w:rsidP="007C690B">
      <w:pPr>
        <w:tabs>
          <w:tab w:val="left" w:pos="540"/>
        </w:tabs>
        <w:spacing w:line="276" w:lineRule="auto"/>
        <w:rPr>
          <w:rFonts w:ascii="KievitPro-Regular" w:hAnsi="KievitPro-Regular" w:cs="Arial"/>
          <w:snapToGrid/>
          <w:sz w:val="22"/>
          <w:szCs w:val="22"/>
        </w:rPr>
      </w:pPr>
    </w:p>
    <w:p w14:paraId="2FAB3464" w14:textId="5605A99B" w:rsidR="00951D5B" w:rsidRPr="00C45157" w:rsidRDefault="00951D5B">
      <w:pPr>
        <w:jc w:val="left"/>
        <w:rPr>
          <w:rFonts w:ascii="KievitPro-Regular" w:hAnsi="KievitPro-Regular" w:cs="Arial"/>
          <w:snapToGrid/>
          <w:sz w:val="22"/>
          <w:szCs w:val="22"/>
        </w:rPr>
      </w:pPr>
      <w:r w:rsidRPr="00C45157">
        <w:rPr>
          <w:rFonts w:ascii="KievitPro-Regular" w:hAnsi="KievitPro-Regular" w:cs="Arial"/>
          <w:snapToGrid/>
          <w:sz w:val="22"/>
          <w:szCs w:val="22"/>
        </w:rPr>
        <w:br w:type="page"/>
      </w:r>
    </w:p>
    <w:p w14:paraId="324891E0" w14:textId="5F4C36B7" w:rsidR="00951D5B" w:rsidRPr="00C45157" w:rsidRDefault="00951D5B"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20" w:name="_Toc231482633"/>
      <w:r w:rsidRPr="00C45157">
        <w:rPr>
          <w:rFonts w:ascii="KievitPro-Regular" w:hAnsi="KievitPro-Regular" w:cs="Arial"/>
          <w:smallCaps/>
          <w:snapToGrid/>
          <w:spacing w:val="5"/>
          <w:kern w:val="0"/>
          <w:sz w:val="28"/>
          <w:szCs w:val="28"/>
          <w:lang w:eastAsia="en-US"/>
        </w:rPr>
        <w:lastRenderedPageBreak/>
        <w:t>Exécution des mandats</w:t>
      </w:r>
      <w:bookmarkEnd w:id="20"/>
    </w:p>
    <w:p w14:paraId="5F6D84F0" w14:textId="3400C71B" w:rsidR="00951D5B" w:rsidRPr="00C45157" w:rsidRDefault="00951D5B"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1" w:name="_Toc231482634"/>
      <w:r w:rsidRPr="00C45157">
        <w:rPr>
          <w:rFonts w:ascii="KievitPro-Regular" w:hAnsi="KievitPro-Regular" w:cs="Arial"/>
          <w:smallCaps/>
          <w:snapToGrid/>
          <w:spacing w:val="5"/>
          <w:kern w:val="0"/>
          <w:sz w:val="24"/>
          <w:szCs w:val="24"/>
          <w:lang w:eastAsia="en-US"/>
        </w:rPr>
        <w:t>Planification des mandats</w:t>
      </w:r>
      <w:bookmarkEnd w:id="21"/>
    </w:p>
    <w:p w14:paraId="4175A7D7"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veille à ce que l’ensemble des mandats soient planifiés et surveillés de manière à garantir leur exécution conforme aux principes professionnels et dans les délais impartis. Il convient notamment de veiller au respect des délais légaux et contractuels.</w:t>
      </w:r>
    </w:p>
    <w:p w14:paraId="39FE2B38" w14:textId="77777777" w:rsidR="00951D5B" w:rsidRPr="00C45157" w:rsidRDefault="00951D5B" w:rsidP="00951D5B">
      <w:pPr>
        <w:tabs>
          <w:tab w:val="left" w:pos="540"/>
        </w:tabs>
        <w:spacing w:line="276" w:lineRule="auto"/>
        <w:rPr>
          <w:rFonts w:ascii="KievitPro-Regular" w:hAnsi="KievitPro-Regular" w:cs="Arial"/>
          <w:snapToGrid/>
          <w:sz w:val="22"/>
          <w:szCs w:val="22"/>
        </w:rPr>
      </w:pPr>
    </w:p>
    <w:p w14:paraId="59B4A916"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Dans le cadre de la planification des mandats, un réviseur responsable doit être désigné pour chaque mandat. Celui-ci doit disposer de l’agrément de l’ASR requis, des compétences professionnelles, de l’expérience et des pouvoirs nécessaires pour exercer sa fonction de manière conforme. Ses tâches et responsabilités doivent être clairement définies. L’identité et la fonction du réviseur responsable doivent être communiquées aux personnes compétentes du côté du mandant ainsi qu’aux instances chargées de la surveillance.</w:t>
      </w:r>
    </w:p>
    <w:p w14:paraId="589C704B" w14:textId="77777777" w:rsidR="00951D5B" w:rsidRPr="00C45157" w:rsidRDefault="00951D5B" w:rsidP="00951D5B">
      <w:pPr>
        <w:tabs>
          <w:tab w:val="left" w:pos="540"/>
        </w:tabs>
        <w:spacing w:line="276" w:lineRule="auto"/>
        <w:rPr>
          <w:rFonts w:ascii="KievitPro-Regular" w:hAnsi="KievitPro-Regular" w:cs="Arial"/>
          <w:snapToGrid/>
          <w:sz w:val="22"/>
          <w:szCs w:val="22"/>
        </w:rPr>
      </w:pPr>
    </w:p>
    <w:p w14:paraId="02C7A3DC"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doit tenir une liste des mandats complète et à jour. Celle-ci sert notamment à la surveillance des mandats et doit dès lors contenir toutes les informations essentielles au pilotage et au contrôle de l’exécution des mandats (par exemple : indications relatives à la catégorie de risque, au réviseur responsable, à la date du rapport, au type de révision, à d’éventuelles situations de perte de capital ou de surendettement, ainsi qu’au besoin d’un contrôle qualité accompagnant le mandat). La liste des mandats doit être tenue à jour en permanence et complétée si nécessaire. La responsabilité opérationnelle du respect des délais ainsi que de l’introduction de mesures appropriées en cas de retard incombe au responsable du mandat concerné.</w:t>
      </w:r>
    </w:p>
    <w:p w14:paraId="29A432CF" w14:textId="77777777" w:rsidR="00951D5B" w:rsidRPr="00C45157" w:rsidRDefault="00951D5B" w:rsidP="00951D5B">
      <w:pPr>
        <w:tabs>
          <w:tab w:val="left" w:pos="540"/>
        </w:tabs>
        <w:spacing w:line="276" w:lineRule="auto"/>
        <w:rPr>
          <w:rFonts w:ascii="KievitPro-Regular" w:hAnsi="KievitPro-Regular" w:cs="Arial"/>
          <w:snapToGrid/>
          <w:sz w:val="22"/>
          <w:szCs w:val="22"/>
        </w:rPr>
      </w:pPr>
    </w:p>
    <w:p w14:paraId="3FE5F3DB" w14:textId="77777777" w:rsidR="00951D5B" w:rsidRPr="00C45157" w:rsidRDefault="00951D5B" w:rsidP="00951D5B">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Au début de la saison de révision, il convient de s’assurer que tous les mandats sont planifiés de manière appropriée et que les ressources nécessaires sont disponibles. À cet effet, la liste des mandats doit être examinée et visée par le réviseur responsable ainsi que par le responsable du domaine Révision.</w:t>
      </w:r>
    </w:p>
    <w:p w14:paraId="34F9414C" w14:textId="417D6764" w:rsidR="00951D5B" w:rsidRPr="00C45157" w:rsidRDefault="00E87B97"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2" w:name="_Toc231482635"/>
      <w:r w:rsidRPr="00C45157">
        <w:rPr>
          <w:rFonts w:ascii="KievitPro-Regular" w:hAnsi="KievitPro-Regular" w:cs="Arial"/>
          <w:smallCaps/>
          <w:snapToGrid/>
          <w:spacing w:val="5"/>
          <w:kern w:val="0"/>
          <w:sz w:val="24"/>
          <w:szCs w:val="24"/>
          <w:lang w:eastAsia="en-US"/>
        </w:rPr>
        <w:t>Instructions professionnelles / organisationnelles et outils</w:t>
      </w:r>
      <w:bookmarkEnd w:id="22"/>
    </w:p>
    <w:p w14:paraId="7218F1A5"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veille à ce que les instructions professionnelles et organisationnelles ainsi que les outils de contrôle qualité soient appliqués par l’ensemble des collaborateurs. Il convient de veiller à ce que les instruments de contrôle qualité existants soient connus de tous les collaborateurs concernés, revêtent un caractère obligatoire et soient accessibles en tout temps.</w:t>
      </w:r>
    </w:p>
    <w:p w14:paraId="41FB433F"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5F4FAEE9"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En cas de collaboration avec des tiers dans le cadre de prestations de révision (par exemple sous forme de coopérations ou de partenariats), les exigences applicables à cette collaboration doivent être définies par écrit. Le respect de ces prescriptions doit être régulièrement vérifié et documenté.</w:t>
      </w:r>
    </w:p>
    <w:p w14:paraId="0EF6177C"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11EFA6AC"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tient à jour une liste des documents et outils déterminants pour le contrôle qualité. Cette liste doit garantir à tout moment une vue d’ensemble des bases pertinentes et sert ainsi également au pilotage et à la surveillance internes. Le responsable du domaine Révision est chargé de sa mise à jour. Les modifications doivent être communiquées aux collaborateurs en temps utile.</w:t>
      </w:r>
    </w:p>
    <w:p w14:paraId="31D9D7EC"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0D3D3E7F"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direction veille à ce que l’application des instruments professionnels et organisationnels soit activement exigée et mise en pratique au quotidien.</w:t>
      </w:r>
    </w:p>
    <w:p w14:paraId="019345BD"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661EB809" w14:textId="09E70E99"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lastRenderedPageBreak/>
        <w:t>Les collaborateurs doivent en outre disposer, en tant que bases de travail contraignantes, des sources d’information externes pertinentes (notamment les lois, ordonnances, directives et prescriptions professionnelles). L’appartenance à des associations professionnelles doit garantir l’accès aux informations professionnelles actuelles (par exemple nouveautés et communications professionnelles). L’entreprise de révision définit quelles sources d’information externes sont considérées comme fiables et faisant autorité.</w:t>
      </w:r>
    </w:p>
    <w:p w14:paraId="39F97809" w14:textId="2AFFAFBC" w:rsidR="00E87B97" w:rsidRPr="00C45157" w:rsidRDefault="00E87B97"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3" w:name="_Toc231482636"/>
      <w:r w:rsidRPr="00C45157">
        <w:rPr>
          <w:rFonts w:ascii="KievitPro-Regular" w:hAnsi="KievitPro-Regular" w:cs="Arial"/>
          <w:smallCaps/>
          <w:snapToGrid/>
          <w:spacing w:val="5"/>
          <w:kern w:val="0"/>
          <w:sz w:val="24"/>
          <w:szCs w:val="24"/>
          <w:lang w:eastAsia="en-US"/>
        </w:rPr>
        <w:t>Exécution des mandats de révision</w:t>
      </w:r>
      <w:bookmarkEnd w:id="23"/>
    </w:p>
    <w:p w14:paraId="2251BF7F"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effectue les contrôles selon la Norme suisse relative au contrôle restreint (NCR). L’exécution des contrôles doit être planifiée, réalisée, documentée et faire l’objet d’un rapport de manière systématique dans toutes les phases. Il convient de veiller à ce que les différentes étapes de travail soient documentées de manière traçable. Un contrôle qualité accompagnant le mandat doit être mis en œuvre lorsque l’évaluation des risques ou les prescriptions internes l’exigent.</w:t>
      </w:r>
    </w:p>
    <w:p w14:paraId="00589068"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352C382A"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L’exécution des mandats de révision comprend les quatre phases suivantes :</w:t>
      </w:r>
    </w:p>
    <w:p w14:paraId="7C73729A" w14:textId="77777777" w:rsidR="00E87B97" w:rsidRPr="00C45157" w:rsidRDefault="00E87B97" w:rsidP="00280014">
      <w:pPr>
        <w:numPr>
          <w:ilvl w:val="0"/>
          <w:numId w:val="27"/>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Évaluation des risques et détermination du seuil de signification ;</w:t>
      </w:r>
    </w:p>
    <w:p w14:paraId="74008BDB" w14:textId="77777777" w:rsidR="00E87B97" w:rsidRPr="00C45157" w:rsidRDefault="00E87B97" w:rsidP="00280014">
      <w:pPr>
        <w:numPr>
          <w:ilvl w:val="0"/>
          <w:numId w:val="27"/>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Planification de l’audit ;</w:t>
      </w:r>
    </w:p>
    <w:p w14:paraId="540251F5" w14:textId="77777777" w:rsidR="00E87B97" w:rsidRPr="00C45157" w:rsidRDefault="00E87B97" w:rsidP="00280014">
      <w:pPr>
        <w:numPr>
          <w:ilvl w:val="0"/>
          <w:numId w:val="27"/>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Exécution des procédures d’audit et documentation ;</w:t>
      </w:r>
    </w:p>
    <w:p w14:paraId="780F1884" w14:textId="77777777" w:rsidR="00E87B97" w:rsidRPr="00C45157" w:rsidRDefault="00E87B97" w:rsidP="00280014">
      <w:pPr>
        <w:numPr>
          <w:ilvl w:val="0"/>
          <w:numId w:val="27"/>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Établissement du rapport.</w:t>
      </w:r>
    </w:p>
    <w:p w14:paraId="4A02821C"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762C6B19" w14:textId="79A1A9F8"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planification de l’audit est établie par le réviseur responsable. Elle comprend notamment l’évaluation des risques, l’analyse des comptes annuels, la détermination du seuil de signification, l’évaluation du volume des données, la définition des principaux domaines d’audit ainsi que la définition de la stratégie d’audit. En outre, une catégorie de risque doit être attribuée à chaque mandat et il convient de déterminer si un contrôle qualité accompagnant le mandat est nécessaire.</w:t>
      </w:r>
    </w:p>
    <w:p w14:paraId="6AF03EA8"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211594B2"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Lorsque des travaux d’audit sont délégués à des collaborateurs spécialisés, il convient de veiller à ce qu’ils disposent des compétences requises et soient affectés en fonction de leur expérience. Les collaborateurs doivent être informés, dans le cadre d’une séance de lancement de l’équipe, des objectifs, de l’étendue du contrôle ainsi que des principaux risques d’audit.</w:t>
      </w:r>
    </w:p>
    <w:p w14:paraId="384B1F14"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53F638D2"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Pour les mandats présentant un risque accru, des mesures appropriées de contrôle qualité doivent être définies. En particulier, les rapports comportant des réserves, des remarques ou des compléments doivent être soumis au responsable qualité compétent pour évaluation avant leur établissement définitif et être approuvés par celui-ci.</w:t>
      </w:r>
    </w:p>
    <w:p w14:paraId="15655848"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27EEA70F"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d’audit est idéalement établie au moyen d’un logiciel de révision. L’application systématique de ces prescriptions ainsi que des outils de travail internes doit garantir une exécution uniforme et d’une qualité appropriée de l’ensemble des mandats de révision.</w:t>
      </w:r>
    </w:p>
    <w:p w14:paraId="3E85BD22" w14:textId="77777777" w:rsidR="00C45157" w:rsidRDefault="00C45157">
      <w:pPr>
        <w:jc w:val="left"/>
        <w:rPr>
          <w:rFonts w:ascii="KievitPro-Regular" w:hAnsi="KievitPro-Regular" w:cs="Arial"/>
          <w:b/>
          <w:smallCaps/>
          <w:snapToGrid/>
          <w:spacing w:val="5"/>
          <w:sz w:val="24"/>
          <w:szCs w:val="24"/>
          <w:lang w:eastAsia="en-US"/>
        </w:rPr>
      </w:pPr>
      <w:bookmarkStart w:id="24" w:name="_Toc231482637"/>
      <w:r>
        <w:rPr>
          <w:rFonts w:ascii="KievitPro-Regular" w:hAnsi="KievitPro-Regular" w:cs="Arial"/>
          <w:smallCaps/>
          <w:snapToGrid/>
          <w:spacing w:val="5"/>
          <w:sz w:val="24"/>
          <w:szCs w:val="24"/>
          <w:lang w:eastAsia="en-US"/>
        </w:rPr>
        <w:br w:type="page"/>
      </w:r>
    </w:p>
    <w:p w14:paraId="39CD8B19" w14:textId="37E7466E" w:rsidR="00E87B97" w:rsidRPr="00C45157" w:rsidRDefault="00E87B97"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r w:rsidRPr="00C45157">
        <w:rPr>
          <w:rFonts w:ascii="KievitPro-Regular" w:hAnsi="KievitPro-Regular" w:cs="Arial"/>
          <w:smallCaps/>
          <w:snapToGrid/>
          <w:spacing w:val="5"/>
          <w:kern w:val="0"/>
          <w:sz w:val="24"/>
          <w:szCs w:val="24"/>
          <w:lang w:eastAsia="en-US"/>
        </w:rPr>
        <w:lastRenderedPageBreak/>
        <w:t>Surveillance et revue</w:t>
      </w:r>
      <w:bookmarkEnd w:id="24"/>
    </w:p>
    <w:p w14:paraId="721553D7"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travaux d’audit doivent faire l’objet d’une surveillance continue et être complétés au fur et à mesure par les nouveaux éléments portés à la connaissance de l’équipe de révision. L’esprit critique doit être maintenu de manière conséquente tout au long du processus d’audit. Il comprend une attitude de remise en question, une attention portée aux éventuelles anomalies ainsi qu’une appréciation critique des éléments probants recueillis et influence de manière déterminante la qualité de l’ensemble de l’audit.</w:t>
      </w:r>
    </w:p>
    <w:p w14:paraId="373E58A4"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revue des dossiers de travail est effectuée par le réviseur responsable et vise à garantir que la planification de l’audit est mise en œuvre de manière complète et appropriée. Il convient notamment de veiller à ce que les travaux réalisés par des collaborateurs moins expérimentés soient revus par des personnes expérimentées. Avant la clôture de l’audit, les principales conclusions doivent être consignées par écrit.</w:t>
      </w:r>
    </w:p>
    <w:p w14:paraId="7A757BF4"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6DDB5707"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réviseur responsable surveille les travaux d’audit de manière continue et prend, si nécessaire, les mesures appropriées. Dans le cadre de la revue, il convient notamment de tenir compte des domaines nécessitant des jugements critiques, des risques significatifs ainsi que d’autres éléments importants. Cette revue doit être effectuée de manière à permettre la clarification de toute question en suspens avant la remise du rapport de révision.</w:t>
      </w:r>
    </w:p>
    <w:p w14:paraId="4408D447"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12A6A460"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L’étendue ainsi que le moment de la revue des dossiers de travail doivent être documentés. Le contrôle doit garantir l’exhaustivité de la documentation d’audit. Une revue complète de l’ensemble de la documentation n’est pas obligatoire, mais peut être effectuée à l’appréciation du réviseur responsable.</w:t>
      </w:r>
    </w:p>
    <w:p w14:paraId="093E0615"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1DFCC208"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Avant la remise du rapport de révision, le réviseur responsable doit évaluer l’ensemble des principales constatations d’audit. Il doit s’assurer que des éléments probants suffisants et appropriés étayent les conclusions tirées. L’évaluation finale doit être documentée et visée dans un mémo de synthèse.</w:t>
      </w:r>
    </w:p>
    <w:p w14:paraId="4EA839CF" w14:textId="77777777" w:rsidR="00E87B97" w:rsidRPr="00C45157" w:rsidRDefault="00E87B97" w:rsidP="00E87B97">
      <w:pPr>
        <w:tabs>
          <w:tab w:val="left" w:pos="540"/>
        </w:tabs>
        <w:spacing w:line="276" w:lineRule="auto"/>
        <w:rPr>
          <w:rFonts w:ascii="KievitPro-Regular" w:hAnsi="KievitPro-Regular" w:cs="Arial"/>
          <w:snapToGrid/>
          <w:sz w:val="22"/>
          <w:szCs w:val="22"/>
        </w:rPr>
      </w:pPr>
    </w:p>
    <w:p w14:paraId="04AC6781" w14:textId="77777777" w:rsidR="00E87B97" w:rsidRPr="00C45157" w:rsidRDefault="00E87B97" w:rsidP="00E87B97">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réviseur responsable veille en outre à ce que les collaborateurs bénéficient d’un encadrement, d’une surveillance et d’un soutien appropriés. Un travail d’équipe structuré ainsi qu’un développement professionnel continu contribuent à garantir que les tâches attribuées soient correctement comprises et exécutées.</w:t>
      </w:r>
    </w:p>
    <w:p w14:paraId="68F37F33" w14:textId="77777777" w:rsidR="00AF309D" w:rsidRPr="00C45157" w:rsidRDefault="00AF309D" w:rsidP="00C45157">
      <w:pPr>
        <w:pStyle w:val="berschrift1"/>
        <w:keepNext w:val="0"/>
        <w:numPr>
          <w:ilvl w:val="1"/>
          <w:numId w:val="17"/>
        </w:numPr>
        <w:spacing w:before="400" w:after="240" w:line="276" w:lineRule="auto"/>
        <w:ind w:left="788" w:hanging="431"/>
        <w:contextualSpacing/>
        <w:jc w:val="left"/>
        <w:rPr>
          <w:rFonts w:ascii="KievitPro-Regular" w:hAnsi="KievitPro-Regular" w:cs="Arial"/>
          <w:smallCaps/>
          <w:snapToGrid/>
          <w:spacing w:val="5"/>
          <w:kern w:val="0"/>
          <w:sz w:val="24"/>
          <w:szCs w:val="24"/>
          <w:lang w:eastAsia="en-US"/>
        </w:rPr>
      </w:pPr>
      <w:bookmarkStart w:id="25" w:name="_Toc229745736"/>
      <w:bookmarkStart w:id="26" w:name="_Toc231482638"/>
      <w:r w:rsidRPr="00C45157">
        <w:rPr>
          <w:rFonts w:ascii="KievitPro-Regular" w:hAnsi="KievitPro-Regular" w:cs="Arial"/>
          <w:smallCaps/>
          <w:snapToGrid/>
          <w:spacing w:val="5"/>
          <w:kern w:val="0"/>
          <w:sz w:val="24"/>
          <w:szCs w:val="24"/>
          <w:lang w:eastAsia="en-US"/>
        </w:rPr>
        <w:t>Consultation</w:t>
      </w:r>
      <w:bookmarkEnd w:id="25"/>
      <w:bookmarkEnd w:id="26"/>
    </w:p>
    <w:p w14:paraId="59289289" w14:textId="77777777" w:rsidR="00AF309D" w:rsidRPr="00C45157" w:rsidRDefault="00AF309D" w:rsidP="00AF309D">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Lors de l’acceptation d’un mandat, de la planification de l’audit ou de l’exécution de mandats de révision, une consultation appropriée doit impérativement être effectuée, documentée et mise en œuvre lorsque des situations difficiles ou controversées se présentent. L’échange d’avis professionnels vise à garantir la qualité de l’audit ainsi qu’une application appropriée du pouvoir d’appréciation professionnel.</w:t>
      </w:r>
    </w:p>
    <w:p w14:paraId="048A82B1" w14:textId="77777777" w:rsidR="00AF309D" w:rsidRPr="00C45157" w:rsidRDefault="00AF309D" w:rsidP="00AF309D">
      <w:pPr>
        <w:tabs>
          <w:tab w:val="left" w:pos="540"/>
        </w:tabs>
        <w:spacing w:line="276" w:lineRule="auto"/>
        <w:rPr>
          <w:rFonts w:ascii="KievitPro-Regular" w:hAnsi="KievitPro-Regular" w:cs="Arial"/>
          <w:sz w:val="22"/>
          <w:szCs w:val="22"/>
        </w:rPr>
      </w:pPr>
    </w:p>
    <w:p w14:paraId="50C46983" w14:textId="77777777" w:rsidR="00AF309D" w:rsidRPr="00C45157" w:rsidRDefault="00AF309D" w:rsidP="00AF309D">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Lorsque des questions complexes ou litigieuses sont identifiées dans le cadre de l’audit, les connaissances spécialisées disponibles au sein de l’entreprise de révision doivent être sollicitées de manière ciblée. Si nécessaire, il convient également de recourir à des conseils spécialisés externes émanant de personnes disposant d’une expertise particulière. Il convient de veiller à ce que toutes les informations pertinentes soient mises intégralement à la disposition des personnes consultées afin de permettre une évaluation fondée.</w:t>
      </w:r>
    </w:p>
    <w:p w14:paraId="1A109CAF" w14:textId="77777777" w:rsidR="00AF309D" w:rsidRPr="00C45157" w:rsidRDefault="00AF309D" w:rsidP="00AF309D">
      <w:pPr>
        <w:tabs>
          <w:tab w:val="left" w:pos="540"/>
        </w:tabs>
        <w:spacing w:line="276" w:lineRule="auto"/>
        <w:rPr>
          <w:rFonts w:ascii="KievitPro-Regular" w:hAnsi="KievitPro-Regular" w:cs="Arial"/>
          <w:sz w:val="22"/>
          <w:szCs w:val="22"/>
        </w:rPr>
      </w:pPr>
    </w:p>
    <w:p w14:paraId="0A57B41A" w14:textId="77777777" w:rsidR="00AF309D" w:rsidRPr="00C45157" w:rsidRDefault="00AF309D" w:rsidP="00AF309D">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 xml:space="preserve">En cas de divergences d’opinion entre l’équipe de révision et les personnes consultées ou entre le responsable du domaine Révision et les responsables qualité, des mesures appropriées doivent être prises afin de </w:t>
      </w:r>
      <w:r w:rsidRPr="00C45157">
        <w:rPr>
          <w:rFonts w:ascii="KievitPro-Regular" w:hAnsi="KievitPro-Regular" w:cs="Arial"/>
          <w:sz w:val="22"/>
          <w:szCs w:val="22"/>
        </w:rPr>
        <w:lastRenderedPageBreak/>
        <w:t>clarifier la situation. Celles-ci peuvent notamment comprendre l’obtention d’avis spécialisés complémentaires, la consultation d’autres entreprises, d’organisations professionnelles ou d’autorités de surveillance.</w:t>
      </w:r>
    </w:p>
    <w:p w14:paraId="61A50AB5" w14:textId="77777777" w:rsidR="00AF309D" w:rsidRPr="00C45157" w:rsidRDefault="00AF309D" w:rsidP="00AF309D">
      <w:pPr>
        <w:tabs>
          <w:tab w:val="left" w:pos="540"/>
        </w:tabs>
        <w:spacing w:line="276" w:lineRule="auto"/>
        <w:rPr>
          <w:rFonts w:ascii="KievitPro-Regular" w:hAnsi="KievitPro-Regular" w:cs="Arial"/>
          <w:sz w:val="22"/>
          <w:szCs w:val="22"/>
        </w:rPr>
      </w:pPr>
    </w:p>
    <w:p w14:paraId="1398A39D" w14:textId="77777777" w:rsidR="00AF309D" w:rsidRPr="00C45157" w:rsidRDefault="00AF309D" w:rsidP="00AF309D">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Les résultats de la consultation, y compris sa nature, son étendue ainsi que les conclusions qui en découlent, doivent être documentés de manière complète, traçable et en temps utile dans les dossiers d’audit, puis mis en œuvre. La documentation doit garantir que les appréciations formulées et les bases ayant conduit aux décisions prises puissent être retracées en tout temps.</w:t>
      </w:r>
    </w:p>
    <w:p w14:paraId="61C97A0D" w14:textId="77777777" w:rsidR="00AF309D" w:rsidRPr="00C45157" w:rsidRDefault="00AF309D" w:rsidP="00AF309D">
      <w:pPr>
        <w:tabs>
          <w:tab w:val="left" w:pos="540"/>
        </w:tabs>
        <w:spacing w:line="276" w:lineRule="auto"/>
        <w:rPr>
          <w:rFonts w:ascii="KievitPro-Regular" w:hAnsi="KievitPro-Regular" w:cs="Arial"/>
          <w:sz w:val="22"/>
          <w:szCs w:val="22"/>
        </w:rPr>
      </w:pPr>
    </w:p>
    <w:p w14:paraId="1B30F719" w14:textId="095C3186" w:rsidR="00AF309D" w:rsidRPr="00C45157" w:rsidRDefault="00AF309D" w:rsidP="00AF309D">
      <w:pPr>
        <w:tabs>
          <w:tab w:val="left" w:pos="540"/>
        </w:tabs>
        <w:spacing w:line="276" w:lineRule="auto"/>
        <w:rPr>
          <w:rFonts w:ascii="KievitPro-Regular" w:hAnsi="KievitPro-Regular" w:cs="Arial"/>
          <w:sz w:val="22"/>
          <w:szCs w:val="22"/>
        </w:rPr>
      </w:pPr>
      <w:r w:rsidRPr="00C45157">
        <w:rPr>
          <w:rFonts w:ascii="KievitPro-Regular" w:hAnsi="KievitPro-Regular" w:cs="Arial"/>
          <w:sz w:val="22"/>
          <w:szCs w:val="22"/>
        </w:rPr>
        <w:t>L’appréciation de la nécessité d’une consultation externe relève du pouvoir d’appréciation professionnel du réviseur responsable ou de l’expert-réviseur.</w:t>
      </w:r>
    </w:p>
    <w:p w14:paraId="7A04F640" w14:textId="77777777" w:rsidR="00733415" w:rsidRPr="00C45157" w:rsidRDefault="00733415" w:rsidP="00C45157">
      <w:pPr>
        <w:pStyle w:val="berschrift1"/>
        <w:keepNext w:val="0"/>
        <w:numPr>
          <w:ilvl w:val="1"/>
          <w:numId w:val="17"/>
        </w:numPr>
        <w:spacing w:before="400" w:after="240" w:line="276" w:lineRule="auto"/>
        <w:ind w:left="788" w:hanging="431"/>
        <w:contextualSpacing/>
        <w:jc w:val="left"/>
        <w:rPr>
          <w:rFonts w:ascii="KievitPro-Regular" w:hAnsi="KievitPro-Regular" w:cs="Arial"/>
          <w:smallCaps/>
          <w:snapToGrid/>
          <w:spacing w:val="5"/>
          <w:kern w:val="0"/>
          <w:sz w:val="24"/>
          <w:szCs w:val="24"/>
          <w:lang w:eastAsia="en-US"/>
        </w:rPr>
      </w:pPr>
      <w:bookmarkStart w:id="27" w:name="_Toc231482639"/>
      <w:r w:rsidRPr="00C45157">
        <w:rPr>
          <w:rFonts w:ascii="KievitPro-Regular" w:hAnsi="KievitPro-Regular" w:cs="Arial"/>
          <w:smallCaps/>
          <w:snapToGrid/>
          <w:spacing w:val="5"/>
          <w:kern w:val="0"/>
          <w:sz w:val="24"/>
          <w:szCs w:val="24"/>
          <w:lang w:eastAsia="en-US"/>
        </w:rPr>
        <w:t>Divergences d’opinion</w:t>
      </w:r>
      <w:bookmarkEnd w:id="27"/>
    </w:p>
    <w:p w14:paraId="2B67DD1A"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Des règles et procédures contraignantes sont définies pour le traitement des divergences d’opinion au sein de l’entreprise de révision. Celles-ci s’appliquent notamment aux divergences survenant au sein de l’équipe de révision, dans le cadre de consultations ainsi qu’entre le responsable du mandat et la personne chargée du contrôle qualité accompagnant le mandat.</w:t>
      </w:r>
    </w:p>
    <w:p w14:paraId="619239C5" w14:textId="77777777" w:rsidR="00733415" w:rsidRPr="00C45157" w:rsidRDefault="00733415" w:rsidP="00733415">
      <w:pPr>
        <w:tabs>
          <w:tab w:val="left" w:pos="540"/>
        </w:tabs>
        <w:spacing w:line="276" w:lineRule="auto"/>
        <w:rPr>
          <w:rFonts w:ascii="KievitPro-Regular" w:hAnsi="KievitPro-Regular" w:cs="Arial"/>
          <w:snapToGrid/>
          <w:sz w:val="24"/>
          <w:szCs w:val="24"/>
        </w:rPr>
      </w:pPr>
    </w:p>
    <w:p w14:paraId="4A99FEFE"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En cas de divergences d’opinion, celles-ci doivent dans un premier temps être évaluées et clarifiées par le responsable du domaine Révision. Si aucune solution consensuelle ne peut être trouvée, la direction doit être associée au processus. Les décisions finales ainsi que les conclusions qui en découlent doivent être intégralement documentées et mises en œuvre de manière conséquente. Les actes de révision concernés ne peuvent être poursuivis ni datés avant que la situation n’ait été définitivement clarifiée et qu’une décision n’ait été prise.</w:t>
      </w:r>
    </w:p>
    <w:p w14:paraId="243AFA73" w14:textId="35CBBDEC" w:rsidR="00733415" w:rsidRPr="00C45157" w:rsidRDefault="00733415"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8" w:name="_Toc231482640"/>
      <w:r w:rsidRPr="00C45157">
        <w:rPr>
          <w:rFonts w:ascii="KievitPro-Regular" w:hAnsi="KievitPro-Regular" w:cs="Arial"/>
          <w:smallCaps/>
          <w:snapToGrid/>
          <w:spacing w:val="5"/>
          <w:kern w:val="0"/>
          <w:sz w:val="24"/>
          <w:szCs w:val="24"/>
          <w:lang w:eastAsia="en-US"/>
        </w:rPr>
        <w:t>Documentation du mandat</w:t>
      </w:r>
      <w:bookmarkEnd w:id="28"/>
    </w:p>
    <w:p w14:paraId="05A6C5C1"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Les travaux de révision doivent être documentés de manière systématique, complète et uniforme, de sorte que la traçabilité de l’ensemble des procédures d’audit soit garantie en tout temps. La documentation doit être établie en temps utile et de manière ordonnée.</w:t>
      </w:r>
    </w:p>
    <w:p w14:paraId="5A9AB9B9" w14:textId="77777777" w:rsidR="00733415" w:rsidRPr="00C45157" w:rsidRDefault="00733415" w:rsidP="00733415">
      <w:pPr>
        <w:tabs>
          <w:tab w:val="left" w:pos="540"/>
        </w:tabs>
        <w:spacing w:line="276" w:lineRule="auto"/>
        <w:rPr>
          <w:rFonts w:ascii="KievitPro-Regular" w:hAnsi="KievitPro-Regular" w:cs="Arial"/>
          <w:snapToGrid/>
          <w:sz w:val="24"/>
          <w:szCs w:val="24"/>
        </w:rPr>
      </w:pPr>
    </w:p>
    <w:p w14:paraId="69FD2486"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Les dossiers définitifs du mandat doivent être clôturés dans un délai approprié après l’achèvement des travaux de révision. Sauf dispositions légales contraires, ce délai est en règle générale de 60 jours au maximum à compter de la date du rapport de révision.</w:t>
      </w:r>
    </w:p>
    <w:p w14:paraId="6596F00B" w14:textId="77777777" w:rsidR="00733415" w:rsidRPr="00C45157" w:rsidRDefault="00733415" w:rsidP="00733415">
      <w:pPr>
        <w:tabs>
          <w:tab w:val="left" w:pos="540"/>
        </w:tabs>
        <w:spacing w:line="276" w:lineRule="auto"/>
        <w:rPr>
          <w:rFonts w:ascii="KievitPro-Regular" w:hAnsi="KievitPro-Regular" w:cs="Arial"/>
          <w:snapToGrid/>
          <w:sz w:val="24"/>
          <w:szCs w:val="24"/>
        </w:rPr>
      </w:pPr>
    </w:p>
    <w:p w14:paraId="2F6F175A"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La documentation du mandat doit être conservée pendant le délai légal de conservation de 10 ans. Durant cette période, il convient de veiller à ce que les dossiers soient complets, accessibles et protégés. En cas d’archivage électronique, leur disponibilité technique et organisationnelle doit être garantie de manière durable.</w:t>
      </w:r>
    </w:p>
    <w:p w14:paraId="5D2AC64E" w14:textId="77777777" w:rsidR="00733415" w:rsidRPr="00C45157" w:rsidRDefault="00733415" w:rsidP="00733415">
      <w:pPr>
        <w:tabs>
          <w:tab w:val="left" w:pos="540"/>
        </w:tabs>
        <w:spacing w:line="276" w:lineRule="auto"/>
        <w:rPr>
          <w:rFonts w:ascii="KievitPro-Regular" w:hAnsi="KievitPro-Regular" w:cs="Arial"/>
          <w:snapToGrid/>
          <w:sz w:val="24"/>
          <w:szCs w:val="24"/>
        </w:rPr>
      </w:pPr>
    </w:p>
    <w:p w14:paraId="53DF9609" w14:textId="77777777" w:rsidR="00733415" w:rsidRPr="00C45157" w:rsidRDefault="00733415" w:rsidP="00733415">
      <w:pPr>
        <w:tabs>
          <w:tab w:val="left" w:pos="540"/>
        </w:tabs>
        <w:spacing w:line="276" w:lineRule="auto"/>
        <w:rPr>
          <w:rFonts w:ascii="KievitPro-Regular" w:hAnsi="KievitPro-Regular" w:cs="Arial"/>
          <w:snapToGrid/>
          <w:sz w:val="24"/>
          <w:szCs w:val="24"/>
        </w:rPr>
      </w:pPr>
      <w:r w:rsidRPr="00C45157">
        <w:rPr>
          <w:rFonts w:ascii="KievitPro-Regular" w:hAnsi="KievitPro-Regular" w:cs="Arial"/>
          <w:snapToGrid/>
          <w:sz w:val="24"/>
          <w:szCs w:val="24"/>
        </w:rPr>
        <w:t>Sous réserve de restrictions légales ou réglementaires, la documentation du mandat est considérée comme la propriété de l’entreprise de révision. La remise d’extraits au mandant n’est autorisée que dans la mesure où l’indépendance, l’objectivité et le secret professionnel n’en sont pas affectés.</w:t>
      </w:r>
    </w:p>
    <w:p w14:paraId="57B45D3D" w14:textId="2D4E34CD" w:rsidR="00733415" w:rsidRPr="00C45157" w:rsidRDefault="00733415"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29" w:name="_Toc231482641"/>
      <w:r w:rsidRPr="00C45157">
        <w:rPr>
          <w:rFonts w:ascii="KievitPro-Regular" w:hAnsi="KievitPro-Regular" w:cs="Arial"/>
          <w:smallCaps/>
          <w:snapToGrid/>
          <w:spacing w:val="5"/>
          <w:kern w:val="0"/>
          <w:sz w:val="24"/>
          <w:szCs w:val="24"/>
          <w:lang w:eastAsia="en-US"/>
        </w:rPr>
        <w:lastRenderedPageBreak/>
        <w:t>Séparation organisationnelle en cas de mandats doubles et fourniture d’autres prestations</w:t>
      </w:r>
      <w:bookmarkEnd w:id="29"/>
    </w:p>
    <w:p w14:paraId="3D69E366" w14:textId="2C4C6767" w:rsidR="00733415" w:rsidRPr="00C45157" w:rsidRDefault="00733415"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0" w:name="_Toc231482642"/>
      <w:r w:rsidRPr="00C45157">
        <w:rPr>
          <w:rFonts w:ascii="KievitPro-Regular" w:hAnsi="KievitPro-Regular" w:cs="Arial"/>
          <w:smallCaps/>
          <w:snapToGrid/>
          <w:spacing w:val="5"/>
          <w:kern w:val="0"/>
          <w:sz w:val="22"/>
          <w:szCs w:val="22"/>
          <w:lang w:eastAsia="en-US"/>
        </w:rPr>
        <w:t>Généralités</w:t>
      </w:r>
      <w:bookmarkEnd w:id="30"/>
    </w:p>
    <w:p w14:paraId="22458BA9" w14:textId="77777777" w:rsidR="00733415" w:rsidRPr="00C45157" w:rsidRDefault="00733415" w:rsidP="00733415">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Dans le cadre du contrôle restreint, les exigences légales en matière d’indépendance conformément à l’art. 729 CO s’appliquent. L’organe de révision doit être indépendant et former son jugement d’audit de manière objective. L’indépendance ne doit être compromise ni dans les faits ni en apparence.</w:t>
      </w:r>
    </w:p>
    <w:p w14:paraId="3C601725" w14:textId="77777777" w:rsidR="00733415" w:rsidRPr="00C45157" w:rsidRDefault="00733415" w:rsidP="00733415">
      <w:pPr>
        <w:tabs>
          <w:tab w:val="left" w:pos="540"/>
        </w:tabs>
        <w:spacing w:line="276" w:lineRule="auto"/>
        <w:rPr>
          <w:rFonts w:ascii="KievitPro-Regular" w:hAnsi="KievitPro-Regular" w:cs="Arial"/>
          <w:snapToGrid/>
          <w:sz w:val="22"/>
          <w:szCs w:val="22"/>
        </w:rPr>
      </w:pPr>
    </w:p>
    <w:p w14:paraId="610B906F" w14:textId="77777777" w:rsidR="00733415" w:rsidRPr="00C45157" w:rsidRDefault="00733415" w:rsidP="00733415">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participation à la tenue de la comptabilité ainsi que la fourniture d’autres prestations en faveur de la société contrôlée sont autorisées. Dans de tels cas, il convient de veiller à ce qu’aucun risque d’autorévision ne soit créé. À cet effet, des mesures organisationnelles et personnelles appropriées doivent être mises en œuvre afin de garantir un contrôle fiable et indépendant.</w:t>
      </w:r>
    </w:p>
    <w:p w14:paraId="21EAF1D1" w14:textId="30A2D471" w:rsidR="00733415" w:rsidRPr="00C45157" w:rsidRDefault="00434971"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1" w:name="_Toc231482643"/>
      <w:r w:rsidRPr="00C45157">
        <w:rPr>
          <w:rFonts w:ascii="KievitPro-Regular" w:hAnsi="KievitPro-Regular" w:cs="Arial"/>
          <w:smallCaps/>
          <w:snapToGrid/>
          <w:spacing w:val="5"/>
          <w:kern w:val="0"/>
          <w:sz w:val="22"/>
          <w:szCs w:val="22"/>
          <w:lang w:eastAsia="en-US"/>
        </w:rPr>
        <w:t>Mesures organisationnelles et personnelles</w:t>
      </w:r>
      <w:bookmarkEnd w:id="31"/>
    </w:p>
    <w:p w14:paraId="7602A626" w14:textId="77777777" w:rsidR="00434971" w:rsidRPr="00C45157" w:rsidRDefault="00434971" w:rsidP="00434971">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séparation organisationnelle entre les fonctions de révision et de tenue de la comptabilité doit être garantie par la structure organisationnelle (organigramme). Les différents domaines d’activité doivent être clairement délimités les uns par rapport aux autres.</w:t>
      </w:r>
    </w:p>
    <w:p w14:paraId="10662EFE" w14:textId="77777777" w:rsidR="00434971" w:rsidRPr="00C45157" w:rsidRDefault="00434971" w:rsidP="00434971">
      <w:pPr>
        <w:tabs>
          <w:tab w:val="left" w:pos="540"/>
        </w:tabs>
        <w:spacing w:line="276" w:lineRule="auto"/>
        <w:rPr>
          <w:rFonts w:ascii="KievitPro-Regular" w:hAnsi="KievitPro-Regular" w:cs="Arial"/>
          <w:snapToGrid/>
          <w:sz w:val="22"/>
          <w:szCs w:val="22"/>
        </w:rPr>
      </w:pPr>
    </w:p>
    <w:p w14:paraId="5EACE93A" w14:textId="77777777" w:rsidR="00434971" w:rsidRPr="00C45157" w:rsidRDefault="00434971" w:rsidP="00434971">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L’absence de tout lien de subordination entre les différents domaines doit être expressément garantie :</w:t>
      </w:r>
    </w:p>
    <w:p w14:paraId="29FB199A" w14:textId="77777777" w:rsidR="00434971" w:rsidRPr="00C45157" w:rsidRDefault="00434971" w:rsidP="00434971">
      <w:pPr>
        <w:tabs>
          <w:tab w:val="left" w:pos="540"/>
        </w:tabs>
        <w:spacing w:line="276" w:lineRule="auto"/>
        <w:rPr>
          <w:rFonts w:ascii="KievitPro-Regular" w:hAnsi="KievitPro-Regular" w:cs="Arial"/>
          <w:snapToGrid/>
          <w:sz w:val="22"/>
          <w:szCs w:val="22"/>
        </w:rPr>
      </w:pPr>
    </w:p>
    <w:p w14:paraId="2A7C45CA" w14:textId="451C46D9" w:rsidR="00434971" w:rsidRPr="00C45157" w:rsidRDefault="009A7C41" w:rsidP="00280014">
      <w:pPr>
        <w:pStyle w:val="Listenabsatz"/>
        <w:numPr>
          <w:ilvl w:val="0"/>
          <w:numId w:val="28"/>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w:t>
      </w:r>
      <w:r w:rsidR="00434971" w:rsidRPr="00C45157">
        <w:rPr>
          <w:rFonts w:ascii="KievitPro-Regular" w:hAnsi="KievitPro-Regular" w:cs="Arial"/>
          <w:snapToGrid/>
          <w:sz w:val="22"/>
          <w:szCs w:val="22"/>
        </w:rPr>
        <w:t xml:space="preserve"> collaborateurs du département Révision ne sont soumis à aucune instruction du département Comptabilité dans leurs décisions en matière de révision ;</w:t>
      </w:r>
    </w:p>
    <w:p w14:paraId="7C8E298D" w14:textId="15A19234" w:rsidR="00434971" w:rsidRPr="00C45157" w:rsidRDefault="009A7C41" w:rsidP="00280014">
      <w:pPr>
        <w:pStyle w:val="Listenabsatz"/>
        <w:numPr>
          <w:ilvl w:val="0"/>
          <w:numId w:val="28"/>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w:t>
      </w:r>
      <w:r w:rsidR="00434971" w:rsidRPr="00C45157">
        <w:rPr>
          <w:rFonts w:ascii="KievitPro-Regular" w:hAnsi="KievitPro-Regular" w:cs="Arial"/>
          <w:snapToGrid/>
          <w:sz w:val="22"/>
          <w:szCs w:val="22"/>
        </w:rPr>
        <w:t xml:space="preserve"> collaborateurs du département Comptabilité ne sont soumis à aucune instruction du département Révision dans leurs décisions comptables et sont exclusivement subordonnés au mandant.</w:t>
      </w:r>
    </w:p>
    <w:p w14:paraId="4B048A90" w14:textId="77777777" w:rsidR="00434971" w:rsidRPr="00C45157" w:rsidRDefault="00434971" w:rsidP="00434971">
      <w:pPr>
        <w:tabs>
          <w:tab w:val="left" w:pos="540"/>
        </w:tabs>
        <w:spacing w:line="276" w:lineRule="auto"/>
        <w:rPr>
          <w:rFonts w:ascii="KievitPro-Regular" w:hAnsi="KievitPro-Regular" w:cs="Arial"/>
          <w:snapToGrid/>
          <w:sz w:val="22"/>
          <w:szCs w:val="22"/>
        </w:rPr>
      </w:pPr>
    </w:p>
    <w:p w14:paraId="74DCF7E3" w14:textId="211202DD" w:rsidR="00434971" w:rsidRPr="00C45157" w:rsidRDefault="00434971" w:rsidP="00434971">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Cette indépendance à l’égard des instructions doit être formalisée dans un règlement interne contraignant, approuvé par les instances compétentes.</w:t>
      </w:r>
    </w:p>
    <w:p w14:paraId="11ADAC66" w14:textId="77777777" w:rsidR="00434971" w:rsidRPr="00C45157" w:rsidRDefault="00434971" w:rsidP="00434971">
      <w:pPr>
        <w:tabs>
          <w:tab w:val="left" w:pos="540"/>
        </w:tabs>
        <w:spacing w:line="276" w:lineRule="auto"/>
        <w:rPr>
          <w:rFonts w:ascii="KievitPro-Regular" w:hAnsi="KievitPro-Regular" w:cs="Arial"/>
          <w:snapToGrid/>
          <w:sz w:val="22"/>
          <w:szCs w:val="22"/>
        </w:rPr>
      </w:pPr>
    </w:p>
    <w:p w14:paraId="5C1EAE6F" w14:textId="77777777" w:rsidR="00434971" w:rsidRPr="00C45157" w:rsidRDefault="00434971" w:rsidP="00434971">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direction veille à ce que l’indépendance au niveau des mandats soit vérifiée au moins une fois par année. À cette occasion, le respect de la séparation organisationnelle ainsi que de l’indépendance à l’égard des instructions doit notamment être expressément confirmé et documenté.</w:t>
      </w:r>
    </w:p>
    <w:p w14:paraId="0F28CF05" w14:textId="77777777" w:rsidR="009051A9" w:rsidRPr="00C45157" w:rsidRDefault="009051A9"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2" w:name="_Toc231482644"/>
      <w:r w:rsidRPr="00C45157">
        <w:rPr>
          <w:rFonts w:ascii="KievitPro-Regular" w:hAnsi="KievitPro-Regular" w:cs="Arial"/>
          <w:smallCaps/>
          <w:snapToGrid/>
          <w:spacing w:val="5"/>
          <w:kern w:val="0"/>
          <w:sz w:val="22"/>
          <w:szCs w:val="22"/>
          <w:lang w:eastAsia="en-US"/>
        </w:rPr>
        <w:t>Mise en œuvre en cas de mandats doubles</w:t>
      </w:r>
      <w:bookmarkEnd w:id="32"/>
    </w:p>
    <w:p w14:paraId="2B9AAAF0"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Pour les mandats comprenant à la fois des prestations de tenue de la comptabilité et de révision (mandats doubles), il convient de veiller à ce que les comptes annuels provisoires soient établis sans participation de la fonction de révision. Les comptes annuels ne peuvent être remis à l’organe de révision qu’après leur approbation par le conseil d’administration.</w:t>
      </w:r>
    </w:p>
    <w:p w14:paraId="679C94E6" w14:textId="53444DB5" w:rsidR="009051A9" w:rsidRPr="00C45157" w:rsidRDefault="009051A9"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3" w:name="_Toc231482645"/>
      <w:r w:rsidRPr="00C45157">
        <w:rPr>
          <w:rFonts w:ascii="KievitPro-Regular" w:hAnsi="KievitPro-Regular" w:cs="Arial"/>
          <w:smallCaps/>
          <w:snapToGrid/>
          <w:spacing w:val="5"/>
          <w:kern w:val="0"/>
          <w:sz w:val="22"/>
          <w:szCs w:val="22"/>
          <w:lang w:eastAsia="en-US"/>
        </w:rPr>
        <w:t>Documentation et séparation des dossiers</w:t>
      </w:r>
      <w:bookmarkEnd w:id="33"/>
    </w:p>
    <w:p w14:paraId="7D0921FA"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documents établis dans le cadre de la tenue de la comptabilité et utilisés pour la révision doivent être archivés séparément dans le domaine Révision et être identifiés en conséquence.</w:t>
      </w:r>
    </w:p>
    <w:p w14:paraId="62697FA2"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de révision doit être conservée de manière strictement séparée des documents comptables. L’accès aux dossiers de révision doit être limité aux personnes autorisées.</w:t>
      </w:r>
    </w:p>
    <w:p w14:paraId="1A1EE9E5" w14:textId="77777777" w:rsidR="009051A9" w:rsidRPr="00C45157" w:rsidRDefault="009051A9" w:rsidP="00280014">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4" w:name="_Toc231482646"/>
      <w:r w:rsidRPr="00C45157">
        <w:rPr>
          <w:rFonts w:ascii="KievitPro-Regular" w:hAnsi="KievitPro-Regular" w:cs="Arial"/>
          <w:smallCaps/>
          <w:snapToGrid/>
          <w:spacing w:val="5"/>
          <w:kern w:val="0"/>
          <w:sz w:val="22"/>
          <w:szCs w:val="22"/>
          <w:lang w:eastAsia="en-US"/>
        </w:rPr>
        <w:lastRenderedPageBreak/>
        <w:t>Contrôle qualité accompagnant le mandat</w:t>
      </w:r>
      <w:bookmarkEnd w:id="34"/>
    </w:p>
    <w:p w14:paraId="2EFFC4CB" w14:textId="0E891977" w:rsidR="009051A9" w:rsidRPr="00C45157" w:rsidRDefault="009051A9"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5" w:name="_Toc231482647"/>
      <w:r w:rsidRPr="00C45157">
        <w:rPr>
          <w:rFonts w:ascii="KievitPro-Regular" w:hAnsi="KievitPro-Regular" w:cs="Arial"/>
          <w:smallCaps/>
          <w:snapToGrid/>
          <w:spacing w:val="5"/>
          <w:kern w:val="0"/>
          <w:sz w:val="22"/>
          <w:szCs w:val="22"/>
          <w:lang w:eastAsia="en-US"/>
        </w:rPr>
        <w:t>Généralités</w:t>
      </w:r>
      <w:bookmarkEnd w:id="35"/>
    </w:p>
    <w:p w14:paraId="252D67FB"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Pour les mandats présentant un risque accru, un contrôle qualité accompagnant le mandat doit impérativement être effectué afin de garantir que les risques significatifs sont évalués de manière appropriée et que les travaux d’audit ainsi que les conclusions font l’objet d’une revue adéquate.</w:t>
      </w:r>
    </w:p>
    <w:p w14:paraId="1BF62557" w14:textId="77777777" w:rsidR="009051A9" w:rsidRPr="00C45157" w:rsidRDefault="009051A9" w:rsidP="009051A9">
      <w:pPr>
        <w:tabs>
          <w:tab w:val="left" w:pos="540"/>
        </w:tabs>
        <w:spacing w:line="276" w:lineRule="auto"/>
        <w:rPr>
          <w:rFonts w:ascii="KievitPro-Regular" w:hAnsi="KievitPro-Regular" w:cs="Arial"/>
          <w:snapToGrid/>
          <w:sz w:val="22"/>
          <w:szCs w:val="22"/>
        </w:rPr>
      </w:pPr>
    </w:p>
    <w:p w14:paraId="59FABF8E"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contrôle qualité accompagnant le mandat comprend notamment la revue indépendante des principaux résultats des travaux, des jugements essentiels ainsi que du projet de rapport de révision.</w:t>
      </w:r>
    </w:p>
    <w:p w14:paraId="12361D53" w14:textId="77777777" w:rsidR="009051A9" w:rsidRPr="00C45157" w:rsidRDefault="009051A9" w:rsidP="009051A9">
      <w:pPr>
        <w:tabs>
          <w:tab w:val="left" w:pos="540"/>
        </w:tabs>
        <w:spacing w:line="276" w:lineRule="auto"/>
        <w:rPr>
          <w:rFonts w:ascii="KievitPro-Regular" w:hAnsi="KievitPro-Regular" w:cs="Arial"/>
          <w:snapToGrid/>
          <w:sz w:val="22"/>
          <w:szCs w:val="22"/>
        </w:rPr>
      </w:pPr>
    </w:p>
    <w:p w14:paraId="03938D58"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personne chargée du contrôle qualité accompagnant le mandat doit disposer des qualifications professionnelles, de l’expérience et de l’agrément requis. Elle ne doit pas avoir participé au mandat de révision concerné et doit exercer sa fonction de manière indépendante et objective. Il convient en outre de veiller à ce qu’elle dispose des pouvoirs nécessaires pour ordonner les mesures de contrôle qualité requises dans le cadre du mandat.</w:t>
      </w:r>
    </w:p>
    <w:p w14:paraId="62932816" w14:textId="77777777" w:rsidR="009051A9" w:rsidRPr="00C45157" w:rsidRDefault="009051A9"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6" w:name="_Toc231482648"/>
      <w:r w:rsidRPr="00C45157">
        <w:rPr>
          <w:rFonts w:ascii="KievitPro-Regular" w:hAnsi="KievitPro-Regular" w:cs="Arial"/>
          <w:smallCaps/>
          <w:snapToGrid/>
          <w:spacing w:val="5"/>
          <w:kern w:val="0"/>
          <w:sz w:val="22"/>
          <w:szCs w:val="22"/>
          <w:lang w:eastAsia="en-US"/>
        </w:rPr>
        <w:t>Détermination et documentation de l’obligation de contrôle qualité</w:t>
      </w:r>
      <w:bookmarkEnd w:id="36"/>
    </w:p>
    <w:p w14:paraId="4275C0B7"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L’appréciation de la nécessité d’un contrôle qualité accompagnant le mandat est effectuée dans le cadre de la planification du mandat et doit être documentée.</w:t>
      </w:r>
    </w:p>
    <w:p w14:paraId="55018CF7" w14:textId="77777777" w:rsidR="009051A9" w:rsidRPr="00C45157" w:rsidRDefault="009051A9" w:rsidP="009051A9">
      <w:pPr>
        <w:tabs>
          <w:tab w:val="left" w:pos="540"/>
        </w:tabs>
        <w:spacing w:line="276" w:lineRule="auto"/>
        <w:rPr>
          <w:rFonts w:ascii="KievitPro-Regular" w:hAnsi="KievitPro-Regular" w:cs="Arial"/>
          <w:snapToGrid/>
          <w:sz w:val="22"/>
          <w:szCs w:val="22"/>
        </w:rPr>
      </w:pPr>
    </w:p>
    <w:p w14:paraId="3A6EF576"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du contrôle qualité accompagnant le mandat doit être complète et traçable. Elle doit contenir au minimum :</w:t>
      </w:r>
    </w:p>
    <w:p w14:paraId="4DCB868F" w14:textId="2E31D0BE" w:rsidR="009051A9" w:rsidRPr="00C45157" w:rsidRDefault="006C1F7E" w:rsidP="00280014">
      <w:pPr>
        <w:numPr>
          <w:ilvl w:val="0"/>
          <w:numId w:val="29"/>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w:t>
      </w:r>
      <w:r w:rsidR="009051A9" w:rsidRPr="00C45157">
        <w:rPr>
          <w:rFonts w:ascii="KievitPro-Regular" w:hAnsi="KievitPro-Regular" w:cs="Arial"/>
          <w:snapToGrid/>
          <w:sz w:val="22"/>
          <w:szCs w:val="22"/>
        </w:rPr>
        <w:t xml:space="preserve"> preuve des mesures de contrôle qualité mises en œuvre ;</w:t>
      </w:r>
    </w:p>
    <w:p w14:paraId="13F5FBDC" w14:textId="552EBF4B" w:rsidR="009051A9" w:rsidRPr="00C45157" w:rsidRDefault="006C1F7E" w:rsidP="00280014">
      <w:pPr>
        <w:numPr>
          <w:ilvl w:val="0"/>
          <w:numId w:val="29"/>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L’achèvement</w:t>
      </w:r>
      <w:r w:rsidR="009051A9" w:rsidRPr="00C45157">
        <w:rPr>
          <w:rFonts w:ascii="KievitPro-Regular" w:hAnsi="KievitPro-Regular" w:cs="Arial"/>
          <w:snapToGrid/>
          <w:sz w:val="22"/>
          <w:szCs w:val="22"/>
        </w:rPr>
        <w:t xml:space="preserve"> du contrôle qualité avant la date du rapport ;</w:t>
      </w:r>
    </w:p>
    <w:p w14:paraId="5ECBED94" w14:textId="700AA075" w:rsidR="009051A9" w:rsidRPr="00C45157" w:rsidRDefault="006C1F7E" w:rsidP="00280014">
      <w:pPr>
        <w:numPr>
          <w:ilvl w:val="0"/>
          <w:numId w:val="29"/>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w:t>
      </w:r>
      <w:r w:rsidR="009051A9" w:rsidRPr="00C45157">
        <w:rPr>
          <w:rFonts w:ascii="KievitPro-Regular" w:hAnsi="KievitPro-Regular" w:cs="Arial"/>
          <w:snapToGrid/>
          <w:sz w:val="22"/>
          <w:szCs w:val="22"/>
        </w:rPr>
        <w:t xml:space="preserve"> confirmation que la personne chargée du contrôle qualité n’a connaissance d’aucun élément non résolu susceptible de remettre en question le caractère approprié des jugements essentiels ou des conclusions formulées.</w:t>
      </w:r>
    </w:p>
    <w:p w14:paraId="50662B9E" w14:textId="473A85F5" w:rsidR="009051A9" w:rsidRPr="00C45157" w:rsidRDefault="009051A9"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7" w:name="_Toc231482649"/>
      <w:r w:rsidRPr="00C45157">
        <w:rPr>
          <w:rFonts w:ascii="KievitPro-Regular" w:hAnsi="KievitPro-Regular" w:cs="Arial"/>
          <w:smallCaps/>
          <w:snapToGrid/>
          <w:spacing w:val="5"/>
          <w:kern w:val="0"/>
          <w:sz w:val="22"/>
          <w:szCs w:val="22"/>
          <w:lang w:eastAsia="en-US"/>
        </w:rPr>
        <w:t>Exécution et responsabilités</w:t>
      </w:r>
      <w:bookmarkEnd w:id="37"/>
    </w:p>
    <w:p w14:paraId="7AA438F7" w14:textId="37F6DE5D"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 xml:space="preserve">Le contrôle qualité accompagnant le mandat doit être achevé avant la validation du rapport de révision. En principe, cette tâche est assumée par la personne désignée comme responsable qualité à cet effet. Dans des cas justifiés, une autre personne agréée et indépendante peut être chargée de cette mission, pour autant qu’elle n’ait participé d’aucune manière au mandat de révision concerné. </w:t>
      </w:r>
    </w:p>
    <w:p w14:paraId="3F95FFA5" w14:textId="77777777" w:rsidR="009051A9" w:rsidRPr="00C45157" w:rsidRDefault="009051A9" w:rsidP="009051A9">
      <w:pPr>
        <w:tabs>
          <w:tab w:val="left" w:pos="540"/>
        </w:tabs>
        <w:spacing w:line="276" w:lineRule="auto"/>
        <w:rPr>
          <w:rFonts w:ascii="KievitPro-Regular" w:hAnsi="KievitPro-Regular" w:cs="Arial"/>
          <w:snapToGrid/>
          <w:sz w:val="22"/>
          <w:szCs w:val="22"/>
        </w:rPr>
      </w:pPr>
    </w:p>
    <w:p w14:paraId="092A6381" w14:textId="77777777" w:rsidR="009051A9" w:rsidRPr="00C45157" w:rsidRDefault="009051A9" w:rsidP="009051A9">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Si l’objectivité de la personne désignée pour assurer le contrôle qualité est compromise ou menacée, la direction doit désigner un remplaçant approprié. L’étendue du contrôle qualité accompagnant le mandat dépend de l’évaluation des risques du mandat ainsi que de la complexité de la mission.</w:t>
      </w:r>
    </w:p>
    <w:p w14:paraId="6A84FB34" w14:textId="77777777" w:rsidR="00FE39CA" w:rsidRDefault="00FE39CA">
      <w:pPr>
        <w:jc w:val="left"/>
        <w:rPr>
          <w:rFonts w:ascii="KievitPro-Regular" w:hAnsi="KievitPro-Regular" w:cs="Arial"/>
          <w:b/>
          <w:smallCaps/>
          <w:snapToGrid/>
          <w:spacing w:val="5"/>
          <w:sz w:val="22"/>
          <w:szCs w:val="22"/>
          <w:lang w:eastAsia="en-US"/>
        </w:rPr>
      </w:pPr>
      <w:bookmarkStart w:id="38" w:name="_Toc231482650"/>
      <w:r>
        <w:rPr>
          <w:rFonts w:ascii="KievitPro-Regular" w:hAnsi="KievitPro-Regular" w:cs="Arial"/>
          <w:smallCaps/>
          <w:snapToGrid/>
          <w:spacing w:val="5"/>
          <w:sz w:val="22"/>
          <w:szCs w:val="22"/>
          <w:lang w:eastAsia="en-US"/>
        </w:rPr>
        <w:br w:type="page"/>
      </w:r>
    </w:p>
    <w:p w14:paraId="4D761B0D" w14:textId="40647FBB" w:rsidR="006C1F7E" w:rsidRPr="00C45157" w:rsidRDefault="006C1F7E" w:rsidP="00280014">
      <w:pPr>
        <w:pStyle w:val="berschrift1"/>
        <w:keepNext w:val="0"/>
        <w:numPr>
          <w:ilvl w:val="2"/>
          <w:numId w:val="17"/>
        </w:numPr>
        <w:spacing w:before="480" w:after="240" w:line="276" w:lineRule="auto"/>
        <w:contextualSpacing/>
        <w:jc w:val="left"/>
        <w:rPr>
          <w:rFonts w:ascii="KievitPro-Regular" w:hAnsi="KievitPro-Regular" w:cs="Arial"/>
          <w:bCs/>
          <w:snapToGrid/>
          <w:sz w:val="22"/>
          <w:szCs w:val="22"/>
        </w:rPr>
      </w:pPr>
      <w:r w:rsidRPr="00C45157">
        <w:rPr>
          <w:rFonts w:ascii="KievitPro-Regular" w:hAnsi="KievitPro-Regular" w:cs="Arial"/>
          <w:smallCaps/>
          <w:snapToGrid/>
          <w:spacing w:val="5"/>
          <w:kern w:val="0"/>
          <w:sz w:val="22"/>
          <w:szCs w:val="22"/>
          <w:lang w:eastAsia="en-US"/>
        </w:rPr>
        <w:lastRenderedPageBreak/>
        <w:t>Contenu du contrôle qualité accompagnant le mandat</w:t>
      </w:r>
      <w:bookmarkEnd w:id="38"/>
    </w:p>
    <w:p w14:paraId="46F8A71A"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contrôle qualité accompagnant le mandat comprend au minimum :</w:t>
      </w:r>
    </w:p>
    <w:p w14:paraId="4C2F6111" w14:textId="34E51F52" w:rsidR="006C1F7E" w:rsidRPr="00C45157" w:rsidRDefault="006C1F7E" w:rsidP="00280014">
      <w:pPr>
        <w:numPr>
          <w:ilvl w:val="0"/>
          <w:numId w:val="30"/>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discussion des éléments importants avec le réviseur responsable ;</w:t>
      </w:r>
    </w:p>
    <w:p w14:paraId="50ABB419" w14:textId="5CA3BDD2" w:rsidR="006C1F7E" w:rsidRPr="00C45157" w:rsidRDefault="006C1F7E" w:rsidP="00280014">
      <w:pPr>
        <w:numPr>
          <w:ilvl w:val="0"/>
          <w:numId w:val="30"/>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revue des comptes annuels ou des informations pertinentes ainsi que du projet de rapport ;</w:t>
      </w:r>
    </w:p>
    <w:p w14:paraId="662904A3" w14:textId="664A4154" w:rsidR="006C1F7E" w:rsidRPr="00C45157" w:rsidRDefault="006C1F7E" w:rsidP="00280014">
      <w:pPr>
        <w:numPr>
          <w:ilvl w:val="0"/>
          <w:numId w:val="30"/>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revue par sondage de certains dossiers de travail relatifs à des jugements essentiels et à des conclusions importantes ;</w:t>
      </w:r>
    </w:p>
    <w:p w14:paraId="4EA3CE16" w14:textId="45E0D939" w:rsidR="006C1F7E" w:rsidRPr="00C45157" w:rsidRDefault="006C1F7E" w:rsidP="00280014">
      <w:pPr>
        <w:numPr>
          <w:ilvl w:val="0"/>
          <w:numId w:val="30"/>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L’évaluation du caractère approprié des conclusions formulées et du projet de rapport.</w:t>
      </w:r>
    </w:p>
    <w:p w14:paraId="7D25F8E8" w14:textId="77F07992" w:rsidR="006C1F7E" w:rsidRPr="00C45157" w:rsidRDefault="006C1F7E" w:rsidP="00280014">
      <w:pPr>
        <w:pStyle w:val="berschrift1"/>
        <w:keepNext w:val="0"/>
        <w:numPr>
          <w:ilvl w:val="2"/>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39" w:name="_Toc231482651"/>
      <w:r w:rsidRPr="00C45157">
        <w:rPr>
          <w:rFonts w:ascii="KievitPro-Regular" w:hAnsi="KievitPro-Regular" w:cs="Arial"/>
          <w:smallCaps/>
          <w:snapToGrid/>
          <w:spacing w:val="5"/>
          <w:kern w:val="0"/>
          <w:sz w:val="22"/>
          <w:szCs w:val="22"/>
          <w:lang w:eastAsia="en-US"/>
        </w:rPr>
        <w:t>Responsabilité</w:t>
      </w:r>
      <w:bookmarkEnd w:id="39"/>
    </w:p>
    <w:p w14:paraId="34CAD118" w14:textId="4525A6B2" w:rsidR="009A7C41"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responsabilité globale du mandat de révision demeure intégralement assumée par le réviseur responsable, indépendamment de la réalisation d’un contrôle qualité accompagnant le mandat.</w:t>
      </w:r>
    </w:p>
    <w:p w14:paraId="35F68D2E" w14:textId="5D2353EF" w:rsidR="006C1F7E" w:rsidRPr="00C45157" w:rsidRDefault="006C1F7E" w:rsidP="00930E67">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2"/>
          <w:szCs w:val="22"/>
          <w:lang w:eastAsia="en-US"/>
        </w:rPr>
      </w:pPr>
      <w:bookmarkStart w:id="40" w:name="_Toc231482652"/>
      <w:r w:rsidRPr="00C45157">
        <w:rPr>
          <w:rFonts w:ascii="KievitPro-Regular" w:hAnsi="KievitPro-Regular" w:cs="Arial"/>
          <w:smallCaps/>
          <w:snapToGrid/>
          <w:spacing w:val="5"/>
          <w:kern w:val="0"/>
          <w:sz w:val="22"/>
          <w:szCs w:val="22"/>
          <w:lang w:eastAsia="en-US"/>
        </w:rPr>
        <w:t>Acceptation de mandats complémentaires auprès de clients de révision</w:t>
      </w:r>
      <w:bookmarkEnd w:id="40"/>
    </w:p>
    <w:p w14:paraId="4E92E318"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Avant l’acceptation de prestations complémentaires pour des clients de révision, une évaluation des exigences en matière d’indépendance doit impérativement être effectuée. Il convient de veiller à ce qu’aucun conflit d’intérêts ne survienne, que ce soit dans les faits ou en apparence.</w:t>
      </w:r>
    </w:p>
    <w:p w14:paraId="52C8E900"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0025830D" w14:textId="3A213CFA"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risques éventuels pour l’indépendance doivent être identifiés, évalués et évités ou réduits à un niveau acceptable au moyen de mesures de sauvegarde appropriées. Les mesures prises doivent être documentées de manière traçable et mises en œuvre avant le début de la prestation.</w:t>
      </w:r>
    </w:p>
    <w:p w14:paraId="6218176E"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prestations complémentaires ne peuvent être fournies qu’après avoir été examinées et approuvées par le réviseur responsable.</w:t>
      </w:r>
    </w:p>
    <w:p w14:paraId="630F2B46"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5147B200"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nature et l’étendue des prestations complémentaires fournies doivent être intégralement documentées dans les dossiers de travail.</w:t>
      </w:r>
    </w:p>
    <w:p w14:paraId="008E5418" w14:textId="77777777" w:rsidR="006C1F7E" w:rsidRPr="00C45157" w:rsidRDefault="006C1F7E"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41" w:name="_Toc231482653"/>
      <w:r w:rsidRPr="00C45157">
        <w:rPr>
          <w:rFonts w:ascii="KievitPro-Regular" w:hAnsi="KievitPro-Regular" w:cs="Arial"/>
          <w:smallCaps/>
          <w:snapToGrid/>
          <w:spacing w:val="5"/>
          <w:kern w:val="0"/>
          <w:sz w:val="28"/>
          <w:szCs w:val="28"/>
          <w:lang w:eastAsia="en-US"/>
        </w:rPr>
        <w:t>Compétences et information des collaborateurs</w:t>
      </w:r>
      <w:bookmarkEnd w:id="41"/>
    </w:p>
    <w:p w14:paraId="6F3CC99A"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veille à ce que seuls des collaborateurs disposant des compétences professionnelles et des qualifications requises soient affectés au domaine de la révision. Les tâches et les responsabilités doivent être attribuées en fonction des qualifications et de l’expérience des collaborateurs.</w:t>
      </w:r>
    </w:p>
    <w:p w14:paraId="7712833D"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0A0EF998"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collaborateurs doivent être affectés de manière à ce que les prestations de révision soient fournies conformément aux exigences légales, aux règles professionnelles et déontologiques ainsi qu’aux prescriptions internes. Il convient ainsi de garantir que les responsables de mandat puissent établir des rapports appropriés et conformes aux circonstances.</w:t>
      </w:r>
    </w:p>
    <w:p w14:paraId="1F1CE35D"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7B89F097"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formation initiale et continue des collaborateurs doit être assurée de manière continue et systématique. Les besoins correspondants doivent être déterminés et documentés au moins une fois par année dans le cadre de l’évaluation des performances. Les aspects tant qualitatifs que techniques doivent être pris en considération. Sur cette base, des objectifs de développement individuels ainsi que des mesures appropriées doivent être définis.</w:t>
      </w:r>
    </w:p>
    <w:p w14:paraId="05D0F2CD"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75DFCFC8"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lastRenderedPageBreak/>
        <w:t>Les collaborateurs doivent être régulièrement informés, par le biais de formations internes et externes, des modifications pertinentes des conditions-cadres professionnelles, légales et organisationnelles. Le respect des exigences en matière de formation continue doit être garanti au moyen de contrôles internes appropriés.</w:t>
      </w:r>
    </w:p>
    <w:p w14:paraId="26332079"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L’entreprise de révision doit veiller à ce que les réviseurs responsables disposent de l’agrément requis et soient inscrits au registre du commerce en conséquence. Il convient en outre de garantir que les rapports de révision soient signés par un membre de la direction ou par une personne disposant du pouvoir de signature correspondant.</w:t>
      </w:r>
    </w:p>
    <w:p w14:paraId="5CEB4987" w14:textId="77777777" w:rsidR="006C1F7E" w:rsidRPr="00C45157" w:rsidRDefault="006C1F7E"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42" w:name="_Toc231482654"/>
      <w:r w:rsidRPr="00C45157">
        <w:rPr>
          <w:rFonts w:ascii="KievitPro-Regular" w:hAnsi="KievitPro-Regular" w:cs="Arial"/>
          <w:smallCaps/>
          <w:snapToGrid/>
          <w:spacing w:val="5"/>
          <w:kern w:val="0"/>
          <w:sz w:val="28"/>
          <w:szCs w:val="28"/>
          <w:lang w:eastAsia="en-US"/>
        </w:rPr>
        <w:t>Processus de surveillance interne et d’amélioration</w:t>
      </w:r>
      <w:bookmarkEnd w:id="42"/>
    </w:p>
    <w:p w14:paraId="49709BD4" w14:textId="6CFD903A"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surveillance du système de gestion de la qualité s’effectue au moyen d’une vérification périodique visant à déterminer si les règles et procédures sont respectées et si les prestations fournies l’ont été conformément à la Norme suisse relative au contrôle restreint (NCR 2022) et ont été documentées de manière appropriée. Cela permet également de garantir que d’éventuelles modifications des normes d’audit ou de la législation sont prises en compte. La documentation doit être mise à jour en conséquence en cas de modifications.</w:t>
      </w:r>
    </w:p>
    <w:p w14:paraId="5DE18BFD"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0017016A" w14:textId="22D5F383"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processus de surveillance de la gestion de la qualité propre à l’entreprise et spécifique à celle-ci est appelé surveillance interne. Le processus de surveillance prévoit qu’une pondération et une évaluation continues</w:t>
      </w:r>
      <w:r w:rsidR="00AE5B50" w:rsidRPr="00C45157">
        <w:rPr>
          <w:rFonts w:ascii="KievitPro-Regular" w:hAnsi="KievitPro-Regular" w:cs="Arial"/>
          <w:sz w:val="22"/>
          <w:szCs w:val="22"/>
          <w:vertAlign w:val="superscript"/>
        </w:rPr>
        <w:footnoteReference w:id="8"/>
      </w:r>
      <w:r w:rsidRPr="00C45157">
        <w:rPr>
          <w:rFonts w:ascii="KievitPro-Regular" w:hAnsi="KievitPro-Regular" w:cs="Arial"/>
          <w:snapToGrid/>
          <w:sz w:val="22"/>
          <w:szCs w:val="22"/>
        </w:rPr>
        <w:t xml:space="preserve"> du système de gestion de la qualité doivent être effectuées au niveau de l’entreprise (« firm review ») ainsi qu’au niveau du mandat (« file review »). La surveillance interne doit avoir lieu au moins une fois par année au niveau de l’entreprise. La vérification au niveau du mandat comprend au moins une fois par année un mandat de révision (contrôle restreint) d’un réviseur responsable. Lorsque plusieurs réviseurs responsables travaillent pour l’entreprise de révision, le responsable qualité doit veiller à ce que chaque réviseur responsable soit pris en compte dans le processus de surveillance au plus tard tous les trois ans</w:t>
      </w:r>
      <w:r w:rsidR="00AE5B50" w:rsidRPr="00C45157">
        <w:rPr>
          <w:rStyle w:val="Funotenzeichen"/>
          <w:rFonts w:ascii="KievitPro-Regular" w:hAnsi="KievitPro-Regular" w:cs="Arial"/>
          <w:szCs w:val="22"/>
        </w:rPr>
        <w:footnoteReference w:id="9"/>
      </w:r>
      <w:r w:rsidRPr="00C45157">
        <w:rPr>
          <w:rFonts w:ascii="KievitPro-Regular" w:hAnsi="KievitPro-Regular" w:cs="Arial"/>
          <w:snapToGrid/>
          <w:sz w:val="22"/>
          <w:szCs w:val="22"/>
        </w:rPr>
        <w:t>.</w:t>
      </w:r>
    </w:p>
    <w:p w14:paraId="77AE49F9"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0D9DFA7B" w14:textId="77777777" w:rsidR="006C1F7E" w:rsidRPr="00C45157" w:rsidRDefault="006C1F7E" w:rsidP="006C1F7E">
      <w:pPr>
        <w:tabs>
          <w:tab w:val="left" w:pos="540"/>
        </w:tabs>
        <w:spacing w:after="240" w:line="276" w:lineRule="auto"/>
        <w:rPr>
          <w:rFonts w:ascii="KievitPro-Regular" w:hAnsi="KievitPro-Regular" w:cs="Arial"/>
          <w:snapToGrid/>
          <w:sz w:val="22"/>
          <w:szCs w:val="22"/>
        </w:rPr>
      </w:pPr>
      <w:r w:rsidRPr="00C45157">
        <w:rPr>
          <w:rFonts w:ascii="KievitPro-Regular" w:hAnsi="KievitPro-Regular" w:cs="Arial"/>
          <w:snapToGrid/>
          <w:sz w:val="22"/>
          <w:szCs w:val="22"/>
        </w:rPr>
        <w:t>La personne qui effectue la surveillance doit remplir les exigences minimales suivantes :</w:t>
      </w:r>
    </w:p>
    <w:p w14:paraId="009EF24B" w14:textId="4B2D685F" w:rsidR="006C1F7E" w:rsidRPr="00C45157" w:rsidRDefault="006C1F7E" w:rsidP="00280014">
      <w:pPr>
        <w:pStyle w:val="Listenabsatz"/>
        <w:numPr>
          <w:ilvl w:val="1"/>
          <w:numId w:val="32"/>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Elle ne doit avoir participé ni aux travaux de révision ni au contrôle qualité accompagnant le mandat ;</w:t>
      </w:r>
    </w:p>
    <w:p w14:paraId="6CC1CB74" w14:textId="1E956982" w:rsidR="006C1F7E" w:rsidRPr="00C45157" w:rsidRDefault="006C1F7E" w:rsidP="00280014">
      <w:pPr>
        <w:pStyle w:val="Listenabsatz"/>
        <w:numPr>
          <w:ilvl w:val="1"/>
          <w:numId w:val="32"/>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Elle doit disposer au minimum de l’agrément de réviseur ;</w:t>
      </w:r>
    </w:p>
    <w:p w14:paraId="61A70F3A" w14:textId="654D3463" w:rsidR="006C1F7E" w:rsidRPr="00C45157" w:rsidRDefault="006C1F7E" w:rsidP="00280014">
      <w:pPr>
        <w:pStyle w:val="Listenabsatz"/>
        <w:numPr>
          <w:ilvl w:val="1"/>
          <w:numId w:val="32"/>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Elle doit disposer de l’expérience nécessaire (séniorité) et des compétences requises.</w:t>
      </w:r>
    </w:p>
    <w:p w14:paraId="59C55CE8"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6100216C" w14:textId="5D13C04E" w:rsidR="006C1F7E" w:rsidRPr="00C45157" w:rsidRDefault="006C1F7E" w:rsidP="006C1F7E">
      <w:pPr>
        <w:tabs>
          <w:tab w:val="left" w:pos="540"/>
        </w:tabs>
        <w:spacing w:after="240" w:line="276" w:lineRule="auto"/>
        <w:rPr>
          <w:rFonts w:ascii="KievitPro-Regular" w:hAnsi="KievitPro-Regular" w:cs="Arial"/>
          <w:snapToGrid/>
          <w:sz w:val="22"/>
          <w:szCs w:val="22"/>
        </w:rPr>
      </w:pPr>
      <w:r w:rsidRPr="00C45157">
        <w:rPr>
          <w:rFonts w:ascii="KievitPro-Regular" w:hAnsi="KievitPro-Regular" w:cs="Arial"/>
          <w:snapToGrid/>
          <w:sz w:val="22"/>
          <w:szCs w:val="22"/>
        </w:rPr>
        <w:t>Le choix des mandats s’effectue en règle générale selon certains critères :</w:t>
      </w:r>
    </w:p>
    <w:p w14:paraId="5D0F2804" w14:textId="6A82DA77" w:rsidR="006C1F7E" w:rsidRPr="00C45157" w:rsidRDefault="006C1F7E" w:rsidP="00280014">
      <w:pPr>
        <w:numPr>
          <w:ilvl w:val="0"/>
          <w:numId w:val="31"/>
        </w:numPr>
        <w:tabs>
          <w:tab w:val="left" w:pos="540"/>
          <w:tab w:val="num" w:pos="72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mandats faisant l’objet d’un contrôle restreint priment les autres prestations de contrôle volontaires ;</w:t>
      </w:r>
    </w:p>
    <w:p w14:paraId="297EFDFE" w14:textId="6681EE54" w:rsidR="006C1F7E" w:rsidRPr="00C45157" w:rsidRDefault="006C1F7E" w:rsidP="00280014">
      <w:pPr>
        <w:numPr>
          <w:ilvl w:val="0"/>
          <w:numId w:val="31"/>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mandats présentant un risque élevé priment les mandats présentant un risque faible.</w:t>
      </w:r>
    </w:p>
    <w:p w14:paraId="4488BD96" w14:textId="77777777" w:rsidR="006C1F7E" w:rsidRPr="00C45157" w:rsidRDefault="006C1F7E" w:rsidP="006C1F7E">
      <w:pPr>
        <w:tabs>
          <w:tab w:val="left" w:pos="540"/>
        </w:tabs>
        <w:spacing w:line="276" w:lineRule="auto"/>
        <w:ind w:left="720"/>
        <w:rPr>
          <w:rFonts w:ascii="KievitPro-Regular" w:hAnsi="KievitPro-Regular" w:cs="Arial"/>
          <w:snapToGrid/>
          <w:sz w:val="22"/>
          <w:szCs w:val="22"/>
        </w:rPr>
      </w:pPr>
    </w:p>
    <w:p w14:paraId="07E2B944"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Les constatations faites lors de la surveillance sont consignées par écrit au moins une fois par année dans un rapport de surveillance correspondant et transmises à la direction de l’entreprise et au responsable du mandat. La surveillance comprend également des recommandations visant à améliorer le système, notamment lorsque d’éventuelles faiblesses ont été identifiées ou en cas de modifications et de nouveautés des normes professionnelles et de la pratique correspondante.</w:t>
      </w:r>
    </w:p>
    <w:p w14:paraId="60B99414" w14:textId="3922E073" w:rsidR="006C1F7E" w:rsidRPr="00C45157" w:rsidRDefault="00AE5B50"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lastRenderedPageBreak/>
        <w:t>Proposition de procédure : en présence de quatre réviseurs responsables (1re année : réviseurs responsables A et B ; 2e année : réviseurs responsables C et D).</w:t>
      </w:r>
    </w:p>
    <w:p w14:paraId="1FEA1DD4"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Il convient de veiller à ce que la personne effectuant la surveillance interne dispose d’une expérience, de pouvoirs suffisants et appropriés ainsi que de l’agrément requis de l’ASR, et qu’elle n’ait participé ni aux travaux de révision ni à un éventuel contrôle qualité accompagnant le mandat.</w:t>
      </w:r>
    </w:p>
    <w:p w14:paraId="2A2FE46A" w14:textId="77777777" w:rsidR="006C1F7E" w:rsidRPr="00C45157" w:rsidRDefault="006C1F7E" w:rsidP="006C1F7E">
      <w:pPr>
        <w:tabs>
          <w:tab w:val="left" w:pos="540"/>
        </w:tabs>
        <w:spacing w:line="276" w:lineRule="auto"/>
        <w:rPr>
          <w:rFonts w:ascii="KievitPro-Regular" w:hAnsi="KievitPro-Regular" w:cs="Arial"/>
          <w:snapToGrid/>
          <w:sz w:val="22"/>
          <w:szCs w:val="22"/>
        </w:rPr>
      </w:pPr>
    </w:p>
    <w:p w14:paraId="7387035D" w14:textId="77777777" w:rsidR="006C1F7E" w:rsidRPr="00C45157" w:rsidRDefault="006C1F7E" w:rsidP="006C1F7E">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Selon la taille de la société de révision, il est possible, à titre d’alternative, de conclure des conventions permettant l’utilisation commune de ressources avec d’autres organisations appropriées afin de permettre la réalisation de surveillances.</w:t>
      </w:r>
    </w:p>
    <w:p w14:paraId="05B2BC6A" w14:textId="77777777" w:rsidR="007D663D" w:rsidRPr="00C45157" w:rsidRDefault="007D663D" w:rsidP="00280014">
      <w:pPr>
        <w:pStyle w:val="berschrift1"/>
        <w:keepNext w:val="0"/>
        <w:numPr>
          <w:ilvl w:val="0"/>
          <w:numId w:val="17"/>
        </w:numPr>
        <w:spacing w:before="480" w:after="240" w:line="276" w:lineRule="auto"/>
        <w:contextualSpacing/>
        <w:jc w:val="left"/>
        <w:rPr>
          <w:rFonts w:ascii="KievitPro-Regular" w:hAnsi="KievitPro-Regular" w:cs="Arial"/>
          <w:smallCaps/>
          <w:snapToGrid/>
          <w:spacing w:val="5"/>
          <w:kern w:val="0"/>
          <w:sz w:val="28"/>
          <w:szCs w:val="28"/>
          <w:lang w:eastAsia="en-US"/>
        </w:rPr>
      </w:pPr>
      <w:bookmarkStart w:id="43" w:name="_Toc231482655"/>
      <w:r w:rsidRPr="00C45157">
        <w:rPr>
          <w:rFonts w:ascii="KievitPro-Regular" w:hAnsi="KievitPro-Regular" w:cs="Arial"/>
          <w:smallCaps/>
          <w:snapToGrid/>
          <w:spacing w:val="5"/>
          <w:kern w:val="0"/>
          <w:sz w:val="28"/>
          <w:szCs w:val="28"/>
          <w:lang w:eastAsia="en-US"/>
        </w:rPr>
        <w:t>Documentation du système de gestion de la qualité</w:t>
      </w:r>
      <w:bookmarkEnd w:id="43"/>
    </w:p>
    <w:p w14:paraId="34F2E7FB"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système de gestion de la qualité doit être documenté de manière appropriée, indépendamment de la documentation des différents mandats de révision dans les dossiers de travail. À cette fin, un manuel de gestion de la qualité doit être établi, tenu à jour en permanence et appliqué de manière systématique.</w:t>
      </w:r>
    </w:p>
    <w:p w14:paraId="664A95CD"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65BA47DF"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du système de gestion de la qualité est obligatoire et garantit :</w:t>
      </w:r>
    </w:p>
    <w:p w14:paraId="36641EFD" w14:textId="693B3778" w:rsidR="007D663D" w:rsidRPr="00C45157" w:rsidRDefault="007D663D" w:rsidP="00280014">
      <w:pPr>
        <w:numPr>
          <w:ilvl w:val="0"/>
          <w:numId w:val="33"/>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Que le respect des prescriptions légales et professionnelles puisse être démontré ;</w:t>
      </w:r>
    </w:p>
    <w:p w14:paraId="3A0595BE" w14:textId="6B2D0B4B" w:rsidR="007D663D" w:rsidRPr="00C45157" w:rsidRDefault="007D663D" w:rsidP="00280014">
      <w:pPr>
        <w:numPr>
          <w:ilvl w:val="0"/>
          <w:numId w:val="33"/>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Que les mesures de qualité soient appliquées de manière cohérente et indépendamment des personnes ;</w:t>
      </w:r>
    </w:p>
    <w:p w14:paraId="034E7EF5" w14:textId="256BDC80" w:rsidR="007D663D" w:rsidRPr="00C45157" w:rsidRDefault="007D663D" w:rsidP="00280014">
      <w:pPr>
        <w:numPr>
          <w:ilvl w:val="0"/>
          <w:numId w:val="33"/>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Que les règles mises en place soient traçables et vérifiables.</w:t>
      </w:r>
    </w:p>
    <w:p w14:paraId="19C55A03"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756923D0"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L’étendue et la conception de la documentation dépendent de la taille de l’entreprise de révision ainsi que de la complexité des mandats suivis.</w:t>
      </w:r>
    </w:p>
    <w:p w14:paraId="7C1D745D"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5D8FE636" w14:textId="77777777" w:rsidR="007D663D" w:rsidRPr="00C45157" w:rsidRDefault="007D663D" w:rsidP="007D663D">
      <w:pPr>
        <w:tabs>
          <w:tab w:val="left" w:pos="540"/>
        </w:tabs>
        <w:spacing w:after="240"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du système de gestion de la qualité comprend notamment :</w:t>
      </w:r>
    </w:p>
    <w:p w14:paraId="747F9BED" w14:textId="58DB5AE5" w:rsidR="007D663D" w:rsidRPr="00C45157" w:rsidRDefault="007D663D" w:rsidP="00280014">
      <w:pPr>
        <w:numPr>
          <w:ilvl w:val="0"/>
          <w:numId w:val="34"/>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Un classement ordonné et complet des dossiers de travail ;</w:t>
      </w:r>
    </w:p>
    <w:p w14:paraId="5E8DCC08" w14:textId="5A2C8BD3" w:rsidR="007D663D" w:rsidRPr="00C45157" w:rsidRDefault="007D663D" w:rsidP="00280014">
      <w:pPr>
        <w:numPr>
          <w:ilvl w:val="0"/>
          <w:numId w:val="34"/>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preuve de la surveillance et de la revue des dossiers d’audit ;</w:t>
      </w:r>
    </w:p>
    <w:p w14:paraId="00D92F58" w14:textId="786A718C" w:rsidR="007D663D" w:rsidRPr="00C45157" w:rsidRDefault="007D663D" w:rsidP="00280014">
      <w:pPr>
        <w:numPr>
          <w:ilvl w:val="0"/>
          <w:numId w:val="34"/>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systématique des évaluations des collaborateurs ;</w:t>
      </w:r>
    </w:p>
    <w:p w14:paraId="26F9EDAE" w14:textId="6F30BC02" w:rsidR="007D663D" w:rsidRPr="00C45157" w:rsidRDefault="007D663D" w:rsidP="00280014">
      <w:pPr>
        <w:numPr>
          <w:ilvl w:val="0"/>
          <w:numId w:val="34"/>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preuve du respect des exigences en matière de formation continue ainsi que de leur contrôle.</w:t>
      </w:r>
    </w:p>
    <w:p w14:paraId="3F51A988"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5D1FF437"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Dans la mesure où des directives pertinentes des associations professionnelles sont appliquées, le manuel de gestion de la qualité peut s’y référer ; une reprise intégrale de ces prescriptions n’est pas nécessaire.</w:t>
      </w:r>
    </w:p>
    <w:p w14:paraId="5FE65254"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2DE8DCAD"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Des règles doivent être édictées afin de définir de manière contraignante la conservation de la documentation, le traitement des plaintes et des allégations ainsi que leur suivi et leur documentation.</w:t>
      </w:r>
    </w:p>
    <w:p w14:paraId="42C7F3A6" w14:textId="77777777" w:rsidR="007D663D" w:rsidRPr="00C45157" w:rsidRDefault="007D663D" w:rsidP="007D663D">
      <w:pPr>
        <w:tabs>
          <w:tab w:val="left" w:pos="540"/>
        </w:tabs>
        <w:spacing w:line="276" w:lineRule="auto"/>
        <w:rPr>
          <w:rFonts w:ascii="KievitPro-Regular" w:hAnsi="KievitPro-Regular" w:cs="Arial"/>
          <w:snapToGrid/>
          <w:sz w:val="22"/>
          <w:szCs w:val="22"/>
        </w:rPr>
      </w:pPr>
    </w:p>
    <w:p w14:paraId="5966B036" w14:textId="77777777" w:rsidR="007D663D" w:rsidRPr="00C45157" w:rsidRDefault="007D663D" w:rsidP="007D663D">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documentation doit être conservée pendant le délai de conservation prescrit par la loi et rester disponible en tant que preuve du bon fonctionnement du système de gestion de la qualité.</w:t>
      </w:r>
    </w:p>
    <w:p w14:paraId="5EF59DFB" w14:textId="07536B13" w:rsidR="001662A4" w:rsidRPr="00C45157" w:rsidRDefault="007D663D" w:rsidP="00725C63">
      <w:pPr>
        <w:pStyle w:val="berschrift1"/>
        <w:keepNext w:val="0"/>
        <w:numPr>
          <w:ilvl w:val="0"/>
          <w:numId w:val="17"/>
        </w:numPr>
        <w:tabs>
          <w:tab w:val="num" w:pos="207"/>
        </w:tabs>
        <w:spacing w:before="480" w:after="240" w:line="276" w:lineRule="auto"/>
        <w:contextualSpacing/>
        <w:jc w:val="left"/>
        <w:rPr>
          <w:rFonts w:ascii="KievitPro-Regular" w:hAnsi="KievitPro-Regular" w:cs="Arial"/>
          <w:b w:val="0"/>
          <w:snapToGrid/>
          <w:sz w:val="28"/>
          <w:szCs w:val="28"/>
        </w:rPr>
      </w:pPr>
      <w:r w:rsidRPr="00C45157">
        <w:rPr>
          <w:rFonts w:ascii="KievitPro-Regular" w:hAnsi="KievitPro-Regular" w:cs="Arial"/>
          <w:snapToGrid/>
          <w:sz w:val="22"/>
          <w:szCs w:val="22"/>
        </w:rPr>
        <w:br w:type="page"/>
      </w:r>
      <w:bookmarkStart w:id="44" w:name="_Toc231482656"/>
      <w:r w:rsidR="001662A4" w:rsidRPr="00C45157">
        <w:rPr>
          <w:rFonts w:ascii="KievitPro-Regular" w:hAnsi="KievitPro-Regular" w:cs="Arial"/>
          <w:smallCaps/>
          <w:snapToGrid/>
          <w:spacing w:val="5"/>
          <w:kern w:val="0"/>
          <w:sz w:val="28"/>
          <w:szCs w:val="28"/>
          <w:lang w:eastAsia="en-US"/>
        </w:rPr>
        <w:lastRenderedPageBreak/>
        <w:t>Évaluation du système de gestion de la qualité</w:t>
      </w:r>
      <w:bookmarkEnd w:id="44"/>
    </w:p>
    <w:p w14:paraId="0FBA9F59" w14:textId="77777777" w:rsidR="001662A4" w:rsidRPr="00C45157" w:rsidRDefault="001662A4" w:rsidP="001662A4">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 système interne de gestion de la qualité a pour objectif de garantir que les prestations de révision fournies sont conformes aux prescriptions de l’Instruction relative à la gestion de la qualité pour les petites et moyennes entreprises de révision (IGQ) et que les mesures de qualité définies sont mises en œuvre de manière efficace.</w:t>
      </w:r>
    </w:p>
    <w:p w14:paraId="651F4A90" w14:textId="77777777" w:rsidR="001662A4" w:rsidRPr="00C45157" w:rsidRDefault="001662A4" w:rsidP="001662A4">
      <w:pPr>
        <w:tabs>
          <w:tab w:val="left" w:pos="540"/>
        </w:tabs>
        <w:spacing w:line="276" w:lineRule="auto"/>
        <w:rPr>
          <w:rFonts w:ascii="KievitPro-Regular" w:hAnsi="KievitPro-Regular" w:cs="Arial"/>
          <w:snapToGrid/>
          <w:sz w:val="22"/>
          <w:szCs w:val="22"/>
        </w:rPr>
      </w:pPr>
    </w:p>
    <w:p w14:paraId="057FC1CC" w14:textId="77777777" w:rsidR="001662A4" w:rsidRPr="00C45157" w:rsidRDefault="001662A4" w:rsidP="001662A4">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direction de l’entreprise doit évaluer le système de gestion de la qualité au moins une fois par année. Elle fixe le moment de cette évaluation en tenant compte de la taille, de l’organisation et des activités de la société de révision, de manière à garantir une évaluation appropriée et efficace.</w:t>
      </w:r>
    </w:p>
    <w:p w14:paraId="49328D4C" w14:textId="77777777" w:rsidR="001662A4" w:rsidRPr="00C45157" w:rsidRDefault="001662A4" w:rsidP="001662A4">
      <w:pPr>
        <w:tabs>
          <w:tab w:val="left" w:pos="540"/>
        </w:tabs>
        <w:spacing w:line="276" w:lineRule="auto"/>
        <w:rPr>
          <w:rFonts w:ascii="KievitPro-Regular" w:hAnsi="KievitPro-Regular" w:cs="Arial"/>
          <w:snapToGrid/>
          <w:sz w:val="22"/>
          <w:szCs w:val="22"/>
        </w:rPr>
      </w:pPr>
    </w:p>
    <w:p w14:paraId="113A65E3" w14:textId="77777777" w:rsidR="001662A4" w:rsidRPr="00C45157" w:rsidRDefault="001662A4" w:rsidP="001662A4">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 responsabilité de l’évaluation ainsi que du système de gestion de la qualité dans son ensemble incombe à la direction de l’entreprise. Celle-ci peut se faire assister par d’autres personnes.</w:t>
      </w:r>
    </w:p>
    <w:p w14:paraId="074B87E8" w14:textId="77777777" w:rsidR="001662A4" w:rsidRPr="00C45157" w:rsidRDefault="001662A4" w:rsidP="001662A4">
      <w:pPr>
        <w:tabs>
          <w:tab w:val="left" w:pos="540"/>
        </w:tabs>
        <w:spacing w:line="276" w:lineRule="auto"/>
        <w:rPr>
          <w:rFonts w:ascii="KievitPro-Regular" w:hAnsi="KievitPro-Regular" w:cs="Arial"/>
          <w:snapToGrid/>
          <w:sz w:val="22"/>
          <w:szCs w:val="22"/>
        </w:rPr>
      </w:pPr>
    </w:p>
    <w:p w14:paraId="0863607A" w14:textId="77777777" w:rsidR="001662A4" w:rsidRPr="00C45157" w:rsidRDefault="001662A4" w:rsidP="001662A4">
      <w:pPr>
        <w:tabs>
          <w:tab w:val="left" w:pos="540"/>
        </w:tabs>
        <w:spacing w:after="240" w:line="276" w:lineRule="auto"/>
        <w:rPr>
          <w:rFonts w:ascii="KievitPro-Regular" w:hAnsi="KievitPro-Regular" w:cs="Arial"/>
          <w:snapToGrid/>
          <w:sz w:val="22"/>
          <w:szCs w:val="22"/>
        </w:rPr>
      </w:pPr>
      <w:r w:rsidRPr="00C45157">
        <w:rPr>
          <w:rFonts w:ascii="KievitPro-Regular" w:hAnsi="KievitPro-Regular" w:cs="Arial"/>
          <w:snapToGrid/>
          <w:sz w:val="22"/>
          <w:szCs w:val="22"/>
        </w:rPr>
        <w:t>Pour procéder à l’évaluation, la personne responsable de la gestion de la qualité se procure une vue d’ensemble de l’état de conception et de mise en œuvre du système de gestion de la qualité ainsi que des déficiences constatées. À cet effet, elle s’appuie notamment sur :</w:t>
      </w:r>
    </w:p>
    <w:p w14:paraId="6778E5D6" w14:textId="7738167F" w:rsidR="001662A4" w:rsidRPr="00C45157" w:rsidRDefault="001662A4" w:rsidP="00280014">
      <w:pPr>
        <w:numPr>
          <w:ilvl w:val="0"/>
          <w:numId w:val="35"/>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Des entretiens avec les personnes chargées de la surveillance interne ;</w:t>
      </w:r>
    </w:p>
    <w:p w14:paraId="24162174" w14:textId="20F82E9A" w:rsidR="001662A4" w:rsidRPr="00C45157" w:rsidRDefault="001662A4" w:rsidP="00280014">
      <w:pPr>
        <w:numPr>
          <w:ilvl w:val="0"/>
          <w:numId w:val="35"/>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L’examen de la documentation relative à la surveillance interne ;</w:t>
      </w:r>
    </w:p>
    <w:p w14:paraId="000E2966" w14:textId="361682CB" w:rsidR="001662A4" w:rsidRPr="00C45157" w:rsidRDefault="001662A4" w:rsidP="00280014">
      <w:pPr>
        <w:numPr>
          <w:ilvl w:val="0"/>
          <w:numId w:val="35"/>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L’examen d’autres documents et informations pertinents.</w:t>
      </w:r>
    </w:p>
    <w:p w14:paraId="64B233AB" w14:textId="77777777" w:rsidR="001662A4" w:rsidRPr="00C45157" w:rsidRDefault="001662A4" w:rsidP="001662A4">
      <w:pPr>
        <w:tabs>
          <w:tab w:val="left" w:pos="540"/>
        </w:tabs>
        <w:spacing w:line="276" w:lineRule="auto"/>
        <w:rPr>
          <w:rFonts w:ascii="KievitPro-Regular" w:hAnsi="KievitPro-Regular" w:cs="Arial"/>
          <w:snapToGrid/>
          <w:sz w:val="22"/>
          <w:szCs w:val="22"/>
        </w:rPr>
      </w:pPr>
    </w:p>
    <w:p w14:paraId="3A56E1C2" w14:textId="77777777" w:rsidR="001662A4" w:rsidRPr="00C45157" w:rsidRDefault="001662A4" w:rsidP="001662A4">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L’évaluation du système de gestion de la qualité s’achève par une appréciation finale. Celle-ci doit être attribuée à l’une des trois catégories (cat.) suivantes :</w:t>
      </w:r>
    </w:p>
    <w:p w14:paraId="733A6157" w14:textId="77777777" w:rsidR="007D663D" w:rsidRPr="00C45157" w:rsidRDefault="007D663D" w:rsidP="007C690B">
      <w:pPr>
        <w:tabs>
          <w:tab w:val="left" w:pos="540"/>
        </w:tabs>
        <w:spacing w:line="276" w:lineRule="auto"/>
        <w:rPr>
          <w:rFonts w:ascii="KievitPro-Regular" w:hAnsi="KievitPro-Regular" w:cs="Arial"/>
          <w:snapToGrid/>
          <w:sz w:val="22"/>
          <w:szCs w:val="22"/>
        </w:rPr>
      </w:pPr>
    </w:p>
    <w:tbl>
      <w:tblPr>
        <w:tblStyle w:val="Tabellenraster"/>
        <w:tblW w:w="8971" w:type="dxa"/>
        <w:tblLook w:val="04A0" w:firstRow="1" w:lastRow="0" w:firstColumn="1" w:lastColumn="0" w:noHBand="0" w:noVBand="1"/>
      </w:tblPr>
      <w:tblGrid>
        <w:gridCol w:w="846"/>
        <w:gridCol w:w="3969"/>
        <w:gridCol w:w="4156"/>
      </w:tblGrid>
      <w:tr w:rsidR="00335118" w:rsidRPr="00C45157" w14:paraId="58195F86" w14:textId="77777777" w:rsidTr="00194FD5">
        <w:tc>
          <w:tcPr>
            <w:tcW w:w="846" w:type="dxa"/>
          </w:tcPr>
          <w:p w14:paraId="082B2477" w14:textId="582CABFB" w:rsidR="00335118" w:rsidRPr="00C45157" w:rsidRDefault="00335118" w:rsidP="00194FD5">
            <w:pPr>
              <w:rPr>
                <w:rFonts w:ascii="KievitPro-Regular" w:hAnsi="KievitPro-Regular" w:cs="Arial"/>
                <w:b/>
                <w:bCs/>
                <w:sz w:val="22"/>
                <w:szCs w:val="22"/>
              </w:rPr>
            </w:pPr>
            <w:r w:rsidRPr="00C45157">
              <w:rPr>
                <w:rFonts w:ascii="KievitPro-Regular" w:hAnsi="KievitPro-Regular" w:cs="Arial"/>
                <w:b/>
                <w:bCs/>
                <w:sz w:val="22"/>
                <w:szCs w:val="22"/>
              </w:rPr>
              <w:t>Cat.</w:t>
            </w:r>
          </w:p>
        </w:tc>
        <w:tc>
          <w:tcPr>
            <w:tcW w:w="3969" w:type="dxa"/>
          </w:tcPr>
          <w:p w14:paraId="7A22A53F" w14:textId="1BEB7507" w:rsidR="00335118" w:rsidRPr="00C45157" w:rsidRDefault="00335118" w:rsidP="00194FD5">
            <w:pPr>
              <w:rPr>
                <w:rFonts w:ascii="KievitPro-Regular" w:hAnsi="KievitPro-Regular" w:cs="Arial"/>
                <w:b/>
                <w:bCs/>
                <w:sz w:val="22"/>
                <w:szCs w:val="22"/>
              </w:rPr>
            </w:pPr>
            <w:r w:rsidRPr="00C45157">
              <w:rPr>
                <w:rFonts w:ascii="KievitPro-Regular" w:hAnsi="KievitPro-Regular" w:cs="Arial"/>
                <w:b/>
                <w:bCs/>
                <w:sz w:val="22"/>
                <w:szCs w:val="22"/>
              </w:rPr>
              <w:t xml:space="preserve">Conclusions </w:t>
            </w:r>
          </w:p>
        </w:tc>
        <w:tc>
          <w:tcPr>
            <w:tcW w:w="4156" w:type="dxa"/>
          </w:tcPr>
          <w:p w14:paraId="1E2A4EAF" w14:textId="062F1298" w:rsidR="00335118" w:rsidRPr="00C45157" w:rsidRDefault="00335118" w:rsidP="00194FD5">
            <w:pPr>
              <w:rPr>
                <w:rFonts w:ascii="KievitPro-Regular" w:hAnsi="KievitPro-Regular" w:cs="Arial"/>
                <w:b/>
                <w:bCs/>
                <w:sz w:val="22"/>
                <w:szCs w:val="22"/>
              </w:rPr>
            </w:pPr>
            <w:r w:rsidRPr="00C45157">
              <w:rPr>
                <w:rFonts w:ascii="KievitPro-Regular" w:hAnsi="KievitPro-Regular" w:cs="Arial"/>
                <w:b/>
                <w:bCs/>
                <w:sz w:val="22"/>
                <w:szCs w:val="22"/>
              </w:rPr>
              <w:t>Signification</w:t>
            </w:r>
          </w:p>
        </w:tc>
      </w:tr>
      <w:tr w:rsidR="00335118" w:rsidRPr="00C45157" w14:paraId="2DCDF788" w14:textId="77777777" w:rsidTr="00194FD5">
        <w:tc>
          <w:tcPr>
            <w:tcW w:w="846" w:type="dxa"/>
          </w:tcPr>
          <w:p w14:paraId="60726A40" w14:textId="77777777"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1.</w:t>
            </w:r>
          </w:p>
        </w:tc>
        <w:tc>
          <w:tcPr>
            <w:tcW w:w="3969" w:type="dxa"/>
          </w:tcPr>
          <w:p w14:paraId="2062F989" w14:textId="6C9563FD"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Le système de gestion de la qualité est conçu de manière appropriée, mis en œuvre et appliqué efficacement.</w:t>
            </w:r>
          </w:p>
        </w:tc>
        <w:tc>
          <w:tcPr>
            <w:tcW w:w="4156" w:type="dxa"/>
          </w:tcPr>
          <w:p w14:paraId="100BBFE9" w14:textId="5F3FD968"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La société de révision peut considérer avec une assurance suffisante que les objectifs de qualité définis sont atteints.</w:t>
            </w:r>
          </w:p>
        </w:tc>
      </w:tr>
      <w:tr w:rsidR="00335118" w:rsidRPr="00C45157" w14:paraId="32EB02C7" w14:textId="77777777" w:rsidTr="00194FD5">
        <w:tc>
          <w:tcPr>
            <w:tcW w:w="846" w:type="dxa"/>
          </w:tcPr>
          <w:p w14:paraId="519DE47D" w14:textId="77777777"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2.</w:t>
            </w:r>
          </w:p>
        </w:tc>
        <w:tc>
          <w:tcPr>
            <w:tcW w:w="3969" w:type="dxa"/>
          </w:tcPr>
          <w:p w14:paraId="31535F36" w14:textId="0E3E6782"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Le système de gestion de la qualité est, dans son ensemble, conçu de manière appropriée, mis en œuvre et appliqué efficacement. Il existe toutefois certaines lacunes constatées qui, bien qu'importantes, n'affectent pas l'ensemble du système de gestion de la qualité.</w:t>
            </w:r>
          </w:p>
        </w:tc>
        <w:tc>
          <w:tcPr>
            <w:tcW w:w="4156" w:type="dxa"/>
          </w:tcPr>
          <w:p w14:paraId="66785F40" w14:textId="5D056A55"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Malgré ces lacunes, la société de révision peut, dans l'ensemble, considérer avec une assurance suffisante que les objectifs de qualité sont atteints.</w:t>
            </w:r>
          </w:p>
        </w:tc>
      </w:tr>
      <w:tr w:rsidR="00335118" w:rsidRPr="00C45157" w14:paraId="03E29AAC" w14:textId="77777777" w:rsidTr="00194FD5">
        <w:tc>
          <w:tcPr>
            <w:tcW w:w="846" w:type="dxa"/>
          </w:tcPr>
          <w:p w14:paraId="7CD64EAD" w14:textId="77777777"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3.</w:t>
            </w:r>
          </w:p>
        </w:tc>
        <w:tc>
          <w:tcPr>
            <w:tcW w:w="3969" w:type="dxa"/>
          </w:tcPr>
          <w:p w14:paraId="44954081" w14:textId="30A2F8F9"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Le système de gestion de la qualité présente des lacunes importantes dans sa conception, sa mise en œuvre ou son application.</w:t>
            </w:r>
          </w:p>
        </w:tc>
        <w:tc>
          <w:tcPr>
            <w:tcW w:w="4156" w:type="dxa"/>
          </w:tcPr>
          <w:p w14:paraId="2CD85FDE" w14:textId="1AE7DCB8" w:rsidR="00335118" w:rsidRPr="00C45157" w:rsidRDefault="00335118" w:rsidP="00194FD5">
            <w:pPr>
              <w:rPr>
                <w:rFonts w:ascii="KievitPro-Regular" w:hAnsi="KievitPro-Regular" w:cs="Arial"/>
                <w:sz w:val="22"/>
                <w:szCs w:val="22"/>
              </w:rPr>
            </w:pPr>
            <w:r w:rsidRPr="00C45157">
              <w:rPr>
                <w:rFonts w:ascii="KievitPro-Regular" w:hAnsi="KievitPro-Regular" w:cs="Arial"/>
                <w:sz w:val="22"/>
                <w:szCs w:val="22"/>
              </w:rPr>
              <w:t>La société de révision ne peut pas considérer avec une assurance suffisante que les objectifs de qualité définis sont atteints.</w:t>
            </w:r>
          </w:p>
        </w:tc>
      </w:tr>
    </w:tbl>
    <w:p w14:paraId="7A3829BB" w14:textId="77777777" w:rsidR="001662A4" w:rsidRPr="00C45157" w:rsidRDefault="001662A4" w:rsidP="007C690B">
      <w:pPr>
        <w:tabs>
          <w:tab w:val="left" w:pos="540"/>
        </w:tabs>
        <w:spacing w:line="276" w:lineRule="auto"/>
        <w:rPr>
          <w:rFonts w:ascii="KievitPro-Regular" w:hAnsi="KievitPro-Regular" w:cs="Arial"/>
          <w:snapToGrid/>
          <w:sz w:val="22"/>
          <w:szCs w:val="22"/>
        </w:rPr>
      </w:pPr>
    </w:p>
    <w:p w14:paraId="0B707F83" w14:textId="75D88673" w:rsidR="003817F7" w:rsidRPr="00C45157" w:rsidRDefault="003817F7">
      <w:pPr>
        <w:jc w:val="left"/>
        <w:rPr>
          <w:rFonts w:ascii="KievitPro-Regular" w:hAnsi="KievitPro-Regular" w:cs="Arial"/>
          <w:snapToGrid/>
          <w:sz w:val="22"/>
          <w:szCs w:val="22"/>
        </w:rPr>
      </w:pPr>
      <w:r w:rsidRPr="00C45157">
        <w:rPr>
          <w:rFonts w:ascii="KievitPro-Regular" w:hAnsi="KievitPro-Regular" w:cs="Arial"/>
          <w:snapToGrid/>
          <w:sz w:val="22"/>
          <w:szCs w:val="22"/>
        </w:rPr>
        <w:br w:type="page"/>
      </w:r>
    </w:p>
    <w:p w14:paraId="02F52A83" w14:textId="77777777" w:rsidR="00335118" w:rsidRPr="00C45157" w:rsidRDefault="00335118" w:rsidP="00335118">
      <w:pPr>
        <w:tabs>
          <w:tab w:val="left" w:pos="540"/>
        </w:tabs>
        <w:spacing w:after="240" w:line="276" w:lineRule="auto"/>
        <w:rPr>
          <w:rFonts w:ascii="KievitPro-Regular" w:hAnsi="KievitPro-Regular" w:cs="Arial"/>
          <w:snapToGrid/>
          <w:sz w:val="22"/>
          <w:szCs w:val="22"/>
        </w:rPr>
      </w:pPr>
      <w:r w:rsidRPr="00C45157">
        <w:rPr>
          <w:rFonts w:ascii="KievitPro-Regular" w:hAnsi="KievitPro-Regular" w:cs="Arial"/>
          <w:snapToGrid/>
          <w:sz w:val="22"/>
          <w:szCs w:val="22"/>
        </w:rPr>
        <w:lastRenderedPageBreak/>
        <w:t>Lors de l’évaluation du système de gestion de la qualité, il convient notamment de tenir compte des aspects suivants :</w:t>
      </w:r>
    </w:p>
    <w:p w14:paraId="126C889C" w14:textId="6147EA01" w:rsidR="00335118" w:rsidRPr="00C45157" w:rsidRDefault="00255F95" w:rsidP="00280014">
      <w:pPr>
        <w:numPr>
          <w:ilvl w:val="0"/>
          <w:numId w:val="36"/>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L’importance</w:t>
      </w:r>
      <w:r w:rsidR="00335118" w:rsidRPr="00C45157">
        <w:rPr>
          <w:rFonts w:ascii="KievitPro-Regular" w:hAnsi="KievitPro-Regular" w:cs="Arial"/>
          <w:snapToGrid/>
          <w:sz w:val="22"/>
          <w:szCs w:val="22"/>
        </w:rPr>
        <w:t xml:space="preserve"> et l’étendue des lacunes constatées ainsi que leurs conséquences sur l’atteinte des objectifs de qualité ;</w:t>
      </w:r>
    </w:p>
    <w:p w14:paraId="68C171CF" w14:textId="6DF7A030" w:rsidR="00335118" w:rsidRPr="00C45157" w:rsidRDefault="00255F95" w:rsidP="00280014">
      <w:pPr>
        <w:numPr>
          <w:ilvl w:val="0"/>
          <w:numId w:val="36"/>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w:t>
      </w:r>
      <w:r w:rsidR="00335118" w:rsidRPr="00C45157">
        <w:rPr>
          <w:rFonts w:ascii="KievitPro-Regular" w:hAnsi="KievitPro-Regular" w:cs="Arial"/>
          <w:snapToGrid/>
          <w:sz w:val="22"/>
          <w:szCs w:val="22"/>
        </w:rPr>
        <w:t xml:space="preserve"> question de savoir si des mesures appropriées ont été définies et mises en œuvre pour remédier aux lacunes ;</w:t>
      </w:r>
    </w:p>
    <w:p w14:paraId="6037F853" w14:textId="75E119D7" w:rsidR="00335118" w:rsidRPr="00C45157" w:rsidRDefault="00255F95" w:rsidP="00280014">
      <w:pPr>
        <w:numPr>
          <w:ilvl w:val="0"/>
          <w:numId w:val="36"/>
        </w:numPr>
        <w:tabs>
          <w:tab w:val="clear" w:pos="360"/>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L’efficacité</w:t>
      </w:r>
      <w:r w:rsidR="00335118" w:rsidRPr="00C45157">
        <w:rPr>
          <w:rFonts w:ascii="KievitPro-Regular" w:hAnsi="KievitPro-Regular" w:cs="Arial"/>
          <w:snapToGrid/>
          <w:sz w:val="22"/>
          <w:szCs w:val="22"/>
        </w:rPr>
        <w:t xml:space="preserve"> des mesures correctives prises jusqu’au moment de l’évaluation ;</w:t>
      </w:r>
    </w:p>
    <w:p w14:paraId="5E3E7818" w14:textId="15B139E5" w:rsidR="00335118" w:rsidRPr="00C45157" w:rsidRDefault="00255F95" w:rsidP="00280014">
      <w:pPr>
        <w:numPr>
          <w:ilvl w:val="0"/>
          <w:numId w:val="36"/>
        </w:num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La</w:t>
      </w:r>
      <w:r w:rsidR="00335118" w:rsidRPr="00C45157">
        <w:rPr>
          <w:rFonts w:ascii="KievitPro-Regular" w:hAnsi="KievitPro-Regular" w:cs="Arial"/>
          <w:snapToGrid/>
          <w:sz w:val="22"/>
          <w:szCs w:val="22"/>
        </w:rPr>
        <w:t xml:space="preserve"> question de savoir si les conséquences des lacunes constatées sur le système de gestion de la qualité ont été corrigées de manière appropriée.</w:t>
      </w:r>
    </w:p>
    <w:p w14:paraId="25040419" w14:textId="77777777" w:rsidR="00335118" w:rsidRPr="00C45157" w:rsidRDefault="00335118" w:rsidP="00335118">
      <w:pPr>
        <w:tabs>
          <w:tab w:val="left" w:pos="540"/>
        </w:tabs>
        <w:spacing w:line="276" w:lineRule="auto"/>
        <w:rPr>
          <w:rFonts w:ascii="KievitPro-Regular" w:hAnsi="KievitPro-Regular" w:cs="Arial"/>
          <w:snapToGrid/>
          <w:sz w:val="22"/>
          <w:szCs w:val="22"/>
        </w:rPr>
      </w:pPr>
    </w:p>
    <w:p w14:paraId="1D9218CC" w14:textId="77777777" w:rsidR="00335118" w:rsidRPr="00C45157" w:rsidRDefault="00335118" w:rsidP="00335118">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Si l’évaluation aboutit à une conclusion relevant de la catégorie 2 ou 3, l’entreprise de révision doit prendre sans délai les mesures appropriées. Celles-ci peuvent notamment comprendre le recours à des ressources spécialisées supplémentaires, le renforcement des mesures de contrôle qualité ou l’adoption de directives internes complémentaires.</w:t>
      </w:r>
    </w:p>
    <w:p w14:paraId="460F5D5E" w14:textId="77777777" w:rsidR="00335118" w:rsidRPr="00C45157" w:rsidRDefault="00335118" w:rsidP="00335118">
      <w:pPr>
        <w:tabs>
          <w:tab w:val="left" w:pos="540"/>
        </w:tabs>
        <w:spacing w:line="276" w:lineRule="auto"/>
        <w:rPr>
          <w:rFonts w:ascii="KievitPro-Regular" w:hAnsi="KievitPro-Regular" w:cs="Arial"/>
          <w:snapToGrid/>
          <w:sz w:val="22"/>
          <w:szCs w:val="22"/>
        </w:rPr>
      </w:pPr>
    </w:p>
    <w:p w14:paraId="08CE090E" w14:textId="77777777" w:rsidR="00335118" w:rsidRPr="00C45157" w:rsidRDefault="00335118" w:rsidP="00335118">
      <w:pPr>
        <w:tabs>
          <w:tab w:val="left" w:pos="540"/>
        </w:tabs>
        <w:spacing w:line="276" w:lineRule="auto"/>
        <w:rPr>
          <w:rFonts w:ascii="KievitPro-Regular" w:hAnsi="KievitPro-Regular" w:cs="Arial"/>
          <w:snapToGrid/>
          <w:sz w:val="22"/>
          <w:szCs w:val="22"/>
        </w:rPr>
      </w:pPr>
      <w:r w:rsidRPr="00C45157">
        <w:rPr>
          <w:rFonts w:ascii="KievitPro-Regular" w:hAnsi="KievitPro-Regular" w:cs="Arial"/>
          <w:snapToGrid/>
          <w:sz w:val="22"/>
          <w:szCs w:val="22"/>
        </w:rPr>
        <w:t>En outre, les équipes de révision concernées ainsi que les autres personnes exerçant des fonctions dans le cadre du système de gestion de la qualité doivent être informées de manière appropriée des lacunes constatées et des mesures qui en découlent.</w:t>
      </w:r>
    </w:p>
    <w:p w14:paraId="611D70F4" w14:textId="4B06BA31" w:rsidR="00255F95" w:rsidRPr="00C45157" w:rsidRDefault="00255F95">
      <w:pPr>
        <w:jc w:val="left"/>
        <w:rPr>
          <w:rFonts w:ascii="KievitPro-Regular" w:hAnsi="KievitPro-Regular" w:cs="Arial"/>
          <w:snapToGrid/>
          <w:sz w:val="24"/>
          <w:szCs w:val="24"/>
        </w:rPr>
      </w:pPr>
      <w:r w:rsidRPr="00C45157">
        <w:rPr>
          <w:rFonts w:ascii="KievitPro-Regular" w:hAnsi="KievitPro-Regular" w:cs="Arial"/>
          <w:snapToGrid/>
          <w:sz w:val="24"/>
          <w:szCs w:val="24"/>
        </w:rPr>
        <w:br w:type="page"/>
      </w:r>
    </w:p>
    <w:p w14:paraId="2D6DB163" w14:textId="5B8DD715" w:rsidR="00255F95" w:rsidRPr="00C45157" w:rsidRDefault="00255F95" w:rsidP="006435D0">
      <w:pPr>
        <w:pStyle w:val="berschrift1"/>
        <w:keepNext w:val="0"/>
        <w:numPr>
          <w:ilvl w:val="0"/>
          <w:numId w:val="17"/>
        </w:numPr>
        <w:tabs>
          <w:tab w:val="num" w:pos="207"/>
        </w:tabs>
        <w:spacing w:before="480" w:after="240" w:line="276" w:lineRule="auto"/>
        <w:contextualSpacing/>
        <w:jc w:val="left"/>
        <w:rPr>
          <w:rFonts w:ascii="KievitPro-Regular" w:hAnsi="KievitPro-Regular" w:cs="Arial"/>
          <w:smallCaps/>
          <w:snapToGrid/>
          <w:spacing w:val="5"/>
          <w:kern w:val="0"/>
          <w:sz w:val="32"/>
          <w:szCs w:val="32"/>
          <w:lang w:eastAsia="en-US"/>
        </w:rPr>
      </w:pPr>
      <w:bookmarkStart w:id="45" w:name="_Toc231482657"/>
      <w:r w:rsidRPr="00C45157">
        <w:rPr>
          <w:rFonts w:ascii="KievitPro-Regular" w:hAnsi="KievitPro-Regular" w:cs="Arial"/>
          <w:smallCaps/>
          <w:snapToGrid/>
          <w:spacing w:val="5"/>
          <w:kern w:val="0"/>
          <w:sz w:val="32"/>
          <w:szCs w:val="32"/>
          <w:lang w:eastAsia="en-US"/>
        </w:rPr>
        <w:lastRenderedPageBreak/>
        <w:t>Outils de travail</w:t>
      </w:r>
      <w:bookmarkEnd w:id="45"/>
    </w:p>
    <w:p w14:paraId="767F77CB" w14:textId="65F82769" w:rsidR="003817F7" w:rsidRPr="00C45157" w:rsidRDefault="00255F95" w:rsidP="00E74884">
      <w:pPr>
        <w:pStyle w:val="berschrift1"/>
        <w:keepNext w:val="0"/>
        <w:numPr>
          <w:ilvl w:val="2"/>
          <w:numId w:val="17"/>
        </w:numPr>
        <w:tabs>
          <w:tab w:val="left" w:pos="540"/>
        </w:tabs>
        <w:spacing w:before="480" w:line="276" w:lineRule="auto"/>
        <w:contextualSpacing/>
        <w:jc w:val="left"/>
        <w:rPr>
          <w:rFonts w:ascii="KievitPro-Regular" w:hAnsi="KievitPro-Regular" w:cs="Arial"/>
          <w:smallCaps/>
          <w:snapToGrid/>
          <w:spacing w:val="5"/>
          <w:sz w:val="24"/>
          <w:szCs w:val="24"/>
          <w:lang w:eastAsia="en-US"/>
        </w:rPr>
      </w:pPr>
      <w:bookmarkStart w:id="46" w:name="_Toc231482658"/>
      <w:r w:rsidRPr="00C45157">
        <w:rPr>
          <w:rFonts w:ascii="KievitPro-Regular" w:hAnsi="KievitPro-Regular" w:cs="Arial"/>
          <w:smallCaps/>
          <w:snapToGrid/>
          <w:spacing w:val="5"/>
          <w:kern w:val="0"/>
          <w:sz w:val="24"/>
          <w:szCs w:val="24"/>
          <w:lang w:eastAsia="en-US"/>
        </w:rPr>
        <w:t>Règlement relatif à la collaboration</w:t>
      </w:r>
      <w:bookmarkEnd w:id="46"/>
      <w:r w:rsidRPr="00C45157">
        <w:rPr>
          <w:rFonts w:ascii="KievitPro-Regular" w:hAnsi="KievitPro-Regular" w:cs="Arial"/>
          <w:smallCaps/>
          <w:snapToGrid/>
          <w:spacing w:val="5"/>
          <w:kern w:val="0"/>
          <w:sz w:val="24"/>
          <w:szCs w:val="24"/>
          <w:lang w:eastAsia="en-US"/>
        </w:rPr>
        <w:t xml:space="preserve"> </w:t>
      </w:r>
    </w:p>
    <w:p w14:paraId="38D075D2" w14:textId="77777777" w:rsidR="005601D4" w:rsidRPr="00C45157" w:rsidRDefault="005601D4" w:rsidP="005601D4">
      <w:pPr>
        <w:pStyle w:val="Adresse"/>
        <w:rPr>
          <w:rFonts w:ascii="KievitPro-Regular" w:hAnsi="KievitPro-Regular"/>
          <w:i/>
          <w:color w:val="365F91"/>
          <w:sz w:val="22"/>
          <w:szCs w:val="22"/>
        </w:rPr>
      </w:pPr>
      <w:r w:rsidRPr="00C45157">
        <w:rPr>
          <w:rFonts w:ascii="KievitPro-Regular" w:hAnsi="KievitPro-Regular"/>
          <w:i/>
          <w:sz w:val="22"/>
        </w:rPr>
        <w:t>(Il convient d’adapter le règlement à la situation et aux conditions concrètes)</w:t>
      </w:r>
    </w:p>
    <w:p w14:paraId="3044D47A" w14:textId="77777777" w:rsidR="005601D4" w:rsidRPr="00C45157" w:rsidRDefault="005601D4" w:rsidP="005601D4">
      <w:pPr>
        <w:spacing w:line="360" w:lineRule="auto"/>
        <w:rPr>
          <w:rFonts w:ascii="KievitPro-Regular" w:hAnsi="KievitPro-Regular" w:cs="Arial"/>
          <w:sz w:val="22"/>
          <w:szCs w:val="22"/>
        </w:rPr>
      </w:pPr>
    </w:p>
    <w:p w14:paraId="5B982855" w14:textId="77777777" w:rsidR="005601D4" w:rsidRPr="00C45157" w:rsidRDefault="005601D4" w:rsidP="005601D4">
      <w:pPr>
        <w:jc w:val="center"/>
        <w:rPr>
          <w:rFonts w:ascii="KievitPro-Regular" w:hAnsi="KievitPro-Regular" w:cs="Arial"/>
          <w:b/>
          <w:sz w:val="28"/>
          <w:szCs w:val="28"/>
        </w:rPr>
      </w:pPr>
      <w:r w:rsidRPr="00C45157">
        <w:rPr>
          <w:rFonts w:ascii="KievitPro-Regular" w:hAnsi="KievitPro-Regular"/>
          <w:b/>
          <w:sz w:val="28"/>
        </w:rPr>
        <w:t>RÈGLEMENT POUR LA SÉPARATION ORGANISATIONNELLE DES SERVICES DE RÉVISION ET DE COMPTABILITÉ ET POUR LA FOURNITURE D’AUTRES PRESTATIONS</w:t>
      </w:r>
    </w:p>
    <w:p w14:paraId="775020D0" w14:textId="77777777" w:rsidR="005601D4" w:rsidRPr="00C45157" w:rsidRDefault="005601D4" w:rsidP="005601D4">
      <w:pPr>
        <w:rPr>
          <w:rFonts w:ascii="KievitPro-Regular" w:hAnsi="KievitPro-Regular" w:cs="Arial"/>
          <w:sz w:val="22"/>
          <w:szCs w:val="22"/>
        </w:rPr>
      </w:pPr>
    </w:p>
    <w:p w14:paraId="5807C6E5" w14:textId="77777777" w:rsidR="005601D4" w:rsidRPr="00C45157" w:rsidRDefault="005601D4" w:rsidP="005601D4">
      <w:pPr>
        <w:rPr>
          <w:rFonts w:ascii="KievitPro-Regular" w:hAnsi="KievitPro-Regular" w:cs="Arial"/>
          <w:sz w:val="22"/>
          <w:szCs w:val="22"/>
        </w:rPr>
      </w:pPr>
    </w:p>
    <w:p w14:paraId="3D66186E"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[Entreprise, lieu]</w:t>
      </w:r>
    </w:p>
    <w:p w14:paraId="10C41A9E"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Le conseil d’administration [organe habilité à prendre des décisions] de l’entreprise ............. SA [entreprise], [lieu] (ci-après dénommée « société » [autre désignation]), édicte le règlement suivant en vertu de l’art. ............ des statuts dans la version du ............ :</w:t>
      </w:r>
    </w:p>
    <w:p w14:paraId="4E3DCD07" w14:textId="77777777" w:rsidR="005601D4" w:rsidRPr="00C45157" w:rsidRDefault="005601D4" w:rsidP="00280014">
      <w:pPr>
        <w:pStyle w:val="KeinLeerraum"/>
        <w:numPr>
          <w:ilvl w:val="0"/>
          <w:numId w:val="14"/>
        </w:numPr>
        <w:spacing w:before="240"/>
        <w:rPr>
          <w:rFonts w:ascii="KievitPro-Regular" w:hAnsi="KievitPro-Regular"/>
          <w:b/>
          <w:sz w:val="24"/>
          <w:szCs w:val="24"/>
        </w:rPr>
      </w:pPr>
      <w:r w:rsidRPr="00C45157">
        <w:rPr>
          <w:rFonts w:ascii="KievitPro-Regular" w:hAnsi="KievitPro-Regular"/>
          <w:b/>
          <w:sz w:val="24"/>
        </w:rPr>
        <w:t>Principes</w:t>
      </w:r>
    </w:p>
    <w:p w14:paraId="33EF7723" w14:textId="77777777" w:rsidR="005601D4" w:rsidRPr="00C45157" w:rsidRDefault="005601D4" w:rsidP="005601D4">
      <w:pPr>
        <w:rPr>
          <w:rFonts w:ascii="KievitPro-Regular" w:hAnsi="KievitPro-Regular" w:cs="Arial"/>
          <w:sz w:val="22"/>
          <w:szCs w:val="22"/>
        </w:rPr>
      </w:pPr>
    </w:p>
    <w:p w14:paraId="04BA3B48"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L’article 729 CO règle l’indépendance de l’organe de révision lorsqu’il exécute un contrôle restreint :</w:t>
      </w:r>
    </w:p>
    <w:p w14:paraId="7780EA28" w14:textId="77777777" w:rsidR="005601D4" w:rsidRPr="00C45157" w:rsidRDefault="005601D4" w:rsidP="005601D4">
      <w:pPr>
        <w:rPr>
          <w:rFonts w:ascii="KievitPro-Regular" w:hAnsi="KievitPro-Regular" w:cs="Arial"/>
          <w:sz w:val="22"/>
          <w:szCs w:val="22"/>
        </w:rPr>
      </w:pPr>
    </w:p>
    <w:p w14:paraId="27A3F8CB"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 1 L’organe de révision doit être indépendant et former son appréciation en toute objectivité. Son indépendance ne doit être restreinte ni dans les faits, ni en apparence.</w:t>
      </w:r>
    </w:p>
    <w:p w14:paraId="588C4BC0" w14:textId="77777777" w:rsidR="005601D4" w:rsidRPr="00C45157" w:rsidRDefault="005601D4" w:rsidP="005601D4">
      <w:pPr>
        <w:rPr>
          <w:rFonts w:ascii="KievitPro-Regular" w:hAnsi="KievitPro-Regular" w:cs="Arial"/>
          <w:sz w:val="22"/>
          <w:szCs w:val="22"/>
        </w:rPr>
      </w:pPr>
    </w:p>
    <w:p w14:paraId="1942F3F2"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2 La collaboration à la tenue de la comptabilité ainsi que la fourniture d’autres prestations à la société soumise au contrôle sont autorisées. Si le risque existe de devoir contrôler son propre travail, un contrôle sûr doit être garanti par la mise en place de mesures appropriées sur le plan de l’organisation et du personnel. »</w:t>
      </w:r>
    </w:p>
    <w:p w14:paraId="389553AC" w14:textId="77777777" w:rsidR="005601D4" w:rsidRPr="00C45157" w:rsidRDefault="005601D4" w:rsidP="005601D4">
      <w:pPr>
        <w:rPr>
          <w:rFonts w:ascii="KievitPro-Regular" w:hAnsi="KievitPro-Regular" w:cs="Arial"/>
          <w:sz w:val="22"/>
          <w:szCs w:val="22"/>
        </w:rPr>
      </w:pPr>
    </w:p>
    <w:p w14:paraId="53B7AF45"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Ce règlement fait partie des mesures organisationnelles aptes à assurer un contrôle fiable de tous les mandats d’audit impliquant une collaboration à la tenue de la comptabilité et la fourniture d’autres prestations (selon l’annexe « Doubles mandats »).</w:t>
      </w:r>
    </w:p>
    <w:p w14:paraId="48CBD656" w14:textId="77777777" w:rsidR="005601D4" w:rsidRPr="00C45157" w:rsidRDefault="005601D4" w:rsidP="00280014">
      <w:pPr>
        <w:pStyle w:val="KeinLeerraum"/>
        <w:numPr>
          <w:ilvl w:val="0"/>
          <w:numId w:val="14"/>
        </w:numPr>
        <w:spacing w:before="240"/>
        <w:rPr>
          <w:rFonts w:ascii="KievitPro-Regular" w:hAnsi="KievitPro-Regular"/>
          <w:b/>
          <w:sz w:val="22"/>
          <w:szCs w:val="22"/>
        </w:rPr>
      </w:pPr>
      <w:r w:rsidRPr="00C45157">
        <w:rPr>
          <w:rFonts w:ascii="KievitPro-Regular" w:hAnsi="KievitPro-Regular"/>
          <w:b/>
          <w:sz w:val="24"/>
        </w:rPr>
        <w:tab/>
        <w:t>Structure d’organisation de la société</w:t>
      </w:r>
    </w:p>
    <w:p w14:paraId="4EEA8D23" w14:textId="77777777" w:rsidR="005601D4" w:rsidRPr="00C45157" w:rsidRDefault="005601D4" w:rsidP="005601D4">
      <w:pPr>
        <w:rPr>
          <w:rFonts w:ascii="KievitPro-Regular" w:hAnsi="KievitPro-Regular" w:cs="Arial"/>
          <w:sz w:val="22"/>
          <w:szCs w:val="22"/>
        </w:rPr>
      </w:pPr>
    </w:p>
    <w:p w14:paraId="17356723"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La société est structurée comme suit [variante : selon l’annexe « Organigramme »] :</w:t>
      </w:r>
    </w:p>
    <w:p w14:paraId="76C26102"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Le service de révision [désignation ?] est dirigé par [nom]. Les collaborateurs suivants travaillent également au service de révision [noms].</w:t>
      </w:r>
    </w:p>
    <w:p w14:paraId="1A108BE1" w14:textId="77777777" w:rsidR="005601D4" w:rsidRPr="00C45157" w:rsidRDefault="005601D4" w:rsidP="005601D4">
      <w:pPr>
        <w:rPr>
          <w:rFonts w:ascii="KievitPro-Regular" w:hAnsi="KievitPro-Regular" w:cs="Arial"/>
          <w:sz w:val="22"/>
          <w:szCs w:val="22"/>
        </w:rPr>
      </w:pPr>
    </w:p>
    <w:p w14:paraId="07D2FDD9"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[év. droits de souscription]</w:t>
      </w:r>
    </w:p>
    <w:p w14:paraId="44612FC5" w14:textId="77777777" w:rsidR="005601D4" w:rsidRPr="00C45157" w:rsidRDefault="005601D4" w:rsidP="005601D4">
      <w:pPr>
        <w:rPr>
          <w:rFonts w:ascii="KievitPro-Regular" w:hAnsi="KievitPro-Regular" w:cs="Arial"/>
          <w:sz w:val="22"/>
          <w:szCs w:val="22"/>
        </w:rPr>
      </w:pPr>
    </w:p>
    <w:p w14:paraId="5F726C69"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[désigner év. les réviseurs principaux]</w:t>
      </w:r>
    </w:p>
    <w:p w14:paraId="43B5DBCD" w14:textId="77777777" w:rsidR="005601D4" w:rsidRPr="00C45157" w:rsidRDefault="005601D4" w:rsidP="005601D4">
      <w:pPr>
        <w:rPr>
          <w:rFonts w:ascii="KievitPro-Regular" w:hAnsi="KievitPro-Regular" w:cs="Arial"/>
          <w:sz w:val="22"/>
          <w:szCs w:val="22"/>
        </w:rPr>
      </w:pPr>
    </w:p>
    <w:p w14:paraId="32BE1147"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[év. agréments]</w:t>
      </w:r>
    </w:p>
    <w:p w14:paraId="40A9A769" w14:textId="77777777" w:rsidR="005601D4" w:rsidRPr="00C45157" w:rsidRDefault="005601D4" w:rsidP="005601D4">
      <w:pPr>
        <w:rPr>
          <w:rFonts w:ascii="KievitPro-Regular" w:hAnsi="KievitPro-Regular" w:cs="Arial"/>
          <w:sz w:val="22"/>
          <w:szCs w:val="22"/>
        </w:rPr>
      </w:pPr>
    </w:p>
    <w:p w14:paraId="47884016"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Le service de comptabilité [désignation ?] est dirigé par [nom]. Les collaborateurs suivants travaillent également au service de comptabilité [noms].</w:t>
      </w:r>
    </w:p>
    <w:p w14:paraId="510F56C5" w14:textId="77777777" w:rsidR="005601D4" w:rsidRPr="00C45157" w:rsidRDefault="005601D4" w:rsidP="005601D4">
      <w:pPr>
        <w:rPr>
          <w:rFonts w:ascii="KievitPro-Regular" w:hAnsi="KievitPro-Regular" w:cs="Arial"/>
          <w:sz w:val="22"/>
          <w:szCs w:val="22"/>
        </w:rPr>
      </w:pPr>
    </w:p>
    <w:p w14:paraId="5480A80B"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[év. droits de souscription]</w:t>
      </w:r>
    </w:p>
    <w:p w14:paraId="66BB9E16" w14:textId="77777777" w:rsidR="005601D4" w:rsidRPr="00C45157" w:rsidRDefault="005601D4" w:rsidP="005601D4">
      <w:pPr>
        <w:rPr>
          <w:rFonts w:ascii="KievitPro-Regular" w:hAnsi="KievitPro-Regular" w:cs="Arial"/>
        </w:rPr>
      </w:pPr>
    </w:p>
    <w:p w14:paraId="46ACA801" w14:textId="77777777" w:rsidR="005601D4" w:rsidRPr="00C45157" w:rsidRDefault="005601D4" w:rsidP="005601D4">
      <w:pPr>
        <w:rPr>
          <w:rFonts w:ascii="KievitPro-Regular" w:hAnsi="KievitPro-Regular" w:cs="Arial"/>
        </w:rPr>
      </w:pPr>
    </w:p>
    <w:p w14:paraId="68B60B6C" w14:textId="77777777" w:rsidR="005601D4" w:rsidRPr="00C45157" w:rsidRDefault="005601D4" w:rsidP="005601D4">
      <w:pPr>
        <w:rPr>
          <w:rFonts w:ascii="KievitPro-Regular" w:hAnsi="KievitPro-Regular" w:cs="Arial"/>
          <w:b/>
          <w:sz w:val="24"/>
          <w:szCs w:val="24"/>
        </w:rPr>
      </w:pPr>
      <w:r w:rsidRPr="00C45157">
        <w:rPr>
          <w:rFonts w:ascii="KievitPro-Regular" w:hAnsi="KievitPro-Regular"/>
        </w:rPr>
        <w:br w:type="page"/>
      </w:r>
    </w:p>
    <w:p w14:paraId="2AE11F01" w14:textId="26FC0027" w:rsidR="005601D4" w:rsidRPr="00C45157" w:rsidRDefault="005601D4" w:rsidP="00280014">
      <w:pPr>
        <w:pStyle w:val="KeinLeerraum"/>
        <w:numPr>
          <w:ilvl w:val="0"/>
          <w:numId w:val="14"/>
        </w:numPr>
        <w:spacing w:line="360" w:lineRule="auto"/>
        <w:rPr>
          <w:rFonts w:ascii="KievitPro-Regular" w:hAnsi="KievitPro-Regular"/>
          <w:b/>
          <w:sz w:val="24"/>
          <w:szCs w:val="24"/>
        </w:rPr>
      </w:pPr>
      <w:r w:rsidRPr="00C45157">
        <w:rPr>
          <w:rFonts w:ascii="KievitPro-Regular" w:hAnsi="KievitPro-Regular"/>
          <w:b/>
          <w:sz w:val="24"/>
        </w:rPr>
        <w:lastRenderedPageBreak/>
        <w:tab/>
        <w:t>Indépendance vis-à-vis d’instructions</w:t>
      </w:r>
    </w:p>
    <w:p w14:paraId="196F2B01"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Le responsable du service de révision et toutes les personnes impliquées dans les travaux de révision sont indépendants en ce qui concerne leurs décisions et évaluations dans le cadre de leurs tâches en tant qu’organe de révision, et ce par rapport au responsable et à tous les autres collaborateurs du service de comptabilité.</w:t>
      </w:r>
    </w:p>
    <w:p w14:paraId="58D17D55" w14:textId="77777777" w:rsidR="005601D4" w:rsidRPr="00C45157" w:rsidRDefault="005601D4" w:rsidP="005601D4">
      <w:pPr>
        <w:rPr>
          <w:rFonts w:ascii="KievitPro-Regular" w:hAnsi="KievitPro-Regular" w:cs="Arial"/>
          <w:sz w:val="22"/>
          <w:szCs w:val="22"/>
        </w:rPr>
      </w:pPr>
    </w:p>
    <w:p w14:paraId="77C21A04"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Dans leurs décisions sur la tenue de la comptabilité, le responsable du service de comptabilité (et tous les autres collaborateurs dudit service) ne sont pas assujettis aux instructions du responsable du service de révision ni de tous les réviseurs principaux. Ils sont uniquement assujettis aux instructions du client et donc de l’auteur et du créateur des comptes annuels.</w:t>
      </w:r>
    </w:p>
    <w:p w14:paraId="6C6CFA1F" w14:textId="77777777" w:rsidR="005601D4" w:rsidRPr="00C45157" w:rsidRDefault="005601D4" w:rsidP="00280014">
      <w:pPr>
        <w:pStyle w:val="KeinLeerraum"/>
        <w:numPr>
          <w:ilvl w:val="0"/>
          <w:numId w:val="14"/>
        </w:numPr>
        <w:spacing w:before="240" w:line="360" w:lineRule="auto"/>
        <w:rPr>
          <w:rFonts w:ascii="KievitPro-Regular" w:hAnsi="KievitPro-Regular"/>
          <w:b/>
          <w:sz w:val="24"/>
          <w:szCs w:val="24"/>
        </w:rPr>
      </w:pPr>
      <w:r w:rsidRPr="00C45157">
        <w:rPr>
          <w:rFonts w:ascii="KievitPro-Regular" w:hAnsi="KievitPro-Regular"/>
          <w:b/>
          <w:sz w:val="24"/>
        </w:rPr>
        <w:tab/>
        <w:t>Entrée en vigueur et modifications du règlement</w:t>
      </w:r>
    </w:p>
    <w:p w14:paraId="2BC45C0B"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Ce règlement entre en vigueur le .......... [date].</w:t>
      </w:r>
    </w:p>
    <w:p w14:paraId="270BD150" w14:textId="77777777" w:rsidR="005601D4" w:rsidRPr="00C45157" w:rsidRDefault="005601D4" w:rsidP="005601D4">
      <w:pPr>
        <w:rPr>
          <w:rFonts w:ascii="KievitPro-Regular" w:hAnsi="KievitPro-Regular" w:cs="Arial"/>
          <w:sz w:val="22"/>
          <w:szCs w:val="22"/>
        </w:rPr>
      </w:pPr>
    </w:p>
    <w:p w14:paraId="0B69B033"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Toute modification du règlement ou de ses annexes requiert la décision unanime du conseil d’administration [organe habilité à prendre des décisions].</w:t>
      </w:r>
    </w:p>
    <w:p w14:paraId="7099489A" w14:textId="77777777" w:rsidR="005601D4" w:rsidRPr="00C45157" w:rsidRDefault="005601D4" w:rsidP="005601D4">
      <w:pPr>
        <w:rPr>
          <w:rFonts w:ascii="KievitPro-Regular" w:hAnsi="KievitPro-Regular" w:cs="Arial"/>
          <w:sz w:val="22"/>
          <w:szCs w:val="22"/>
        </w:rPr>
      </w:pPr>
    </w:p>
    <w:p w14:paraId="43831F00"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Annexes</w:t>
      </w:r>
    </w:p>
    <w:p w14:paraId="184921F0"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Organigramme</w:t>
      </w:r>
    </w:p>
    <w:p w14:paraId="48A7ACFC"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Doubles mandats</w:t>
      </w:r>
    </w:p>
    <w:p w14:paraId="63A40D3F" w14:textId="77777777" w:rsidR="005601D4" w:rsidRPr="00C45157" w:rsidRDefault="005601D4" w:rsidP="005601D4">
      <w:pPr>
        <w:rPr>
          <w:rFonts w:ascii="KievitPro-Regular" w:hAnsi="KievitPro-Regular"/>
          <w:sz w:val="22"/>
          <w:szCs w:val="22"/>
        </w:rPr>
      </w:pPr>
    </w:p>
    <w:p w14:paraId="279D1197" w14:textId="77777777" w:rsidR="005601D4" w:rsidRPr="00C45157" w:rsidRDefault="005601D4" w:rsidP="005601D4">
      <w:pPr>
        <w:spacing w:line="360" w:lineRule="auto"/>
        <w:rPr>
          <w:rFonts w:ascii="KievitPro-Regular" w:hAnsi="KievitPro-Regular" w:cs="Arial"/>
          <w:sz w:val="22"/>
          <w:szCs w:val="22"/>
        </w:rPr>
      </w:pPr>
    </w:p>
    <w:p w14:paraId="4FB89051" w14:textId="77777777" w:rsidR="005601D4" w:rsidRPr="00C45157" w:rsidRDefault="005601D4" w:rsidP="005601D4">
      <w:pPr>
        <w:spacing w:line="360" w:lineRule="auto"/>
        <w:rPr>
          <w:rFonts w:ascii="KievitPro-Regular" w:hAnsi="KievitPro-Regular" w:cs="Arial"/>
          <w:sz w:val="22"/>
          <w:szCs w:val="22"/>
        </w:rPr>
      </w:pPr>
    </w:p>
    <w:p w14:paraId="768551AF" w14:textId="77777777" w:rsidR="005601D4" w:rsidRPr="00C45157" w:rsidRDefault="005601D4" w:rsidP="005601D4">
      <w:pPr>
        <w:spacing w:line="360" w:lineRule="auto"/>
        <w:rPr>
          <w:rFonts w:ascii="KievitPro-Regular" w:hAnsi="KievitPro-Regular" w:cs="Arial"/>
          <w:sz w:val="22"/>
          <w:szCs w:val="22"/>
        </w:rPr>
      </w:pPr>
      <w:r w:rsidRPr="00C45157">
        <w:rPr>
          <w:rFonts w:ascii="KievitPro-Regular" w:hAnsi="KievitPro-Regular"/>
          <w:sz w:val="22"/>
        </w:rPr>
        <w:t>(source : FIDUCIAIRE|SUISSE – ISCOR) :</w:t>
      </w:r>
    </w:p>
    <w:p w14:paraId="327FD2E4" w14:textId="786A9BCD" w:rsidR="005601D4" w:rsidRPr="00C45157" w:rsidRDefault="005601D4" w:rsidP="00FE39CA">
      <w:pPr>
        <w:pStyle w:val="berschrift1"/>
        <w:keepNext w:val="0"/>
        <w:numPr>
          <w:ilvl w:val="1"/>
          <w:numId w:val="17"/>
        </w:numPr>
        <w:spacing w:before="120" w:after="240" w:line="276" w:lineRule="auto"/>
        <w:ind w:left="788" w:hanging="431"/>
        <w:contextualSpacing/>
        <w:jc w:val="left"/>
        <w:rPr>
          <w:rFonts w:ascii="KievitPro-Regular" w:hAnsi="KievitPro-Regular" w:cs="Arial"/>
          <w:smallCaps/>
          <w:snapToGrid/>
          <w:spacing w:val="5"/>
          <w:kern w:val="0"/>
          <w:sz w:val="24"/>
          <w:szCs w:val="24"/>
          <w:lang w:eastAsia="en-US"/>
        </w:rPr>
      </w:pPr>
      <w:r w:rsidRPr="00C45157">
        <w:rPr>
          <w:rFonts w:ascii="KievitPro-Regular" w:hAnsi="KievitPro-Regular"/>
        </w:rPr>
        <w:br w:type="page"/>
      </w:r>
      <w:bookmarkStart w:id="47" w:name="_Toc141095559"/>
      <w:bookmarkStart w:id="48" w:name="_Toc141092103"/>
      <w:bookmarkStart w:id="49" w:name="_Toc231482659"/>
      <w:r w:rsidR="00653D31" w:rsidRPr="00C45157">
        <w:rPr>
          <w:rFonts w:ascii="KievitPro-Regular" w:hAnsi="KievitPro-Regular"/>
          <w:sz w:val="24"/>
          <w:szCs w:val="24"/>
        </w:rPr>
        <w:lastRenderedPageBreak/>
        <w:t>M</w:t>
      </w:r>
      <w:r w:rsidR="005E495B" w:rsidRPr="00C45157">
        <w:rPr>
          <w:rFonts w:ascii="KievitPro-Regular" w:hAnsi="KievitPro-Regular" w:cs="Arial"/>
          <w:smallCaps/>
          <w:snapToGrid/>
          <w:spacing w:val="5"/>
          <w:kern w:val="0"/>
          <w:sz w:val="24"/>
          <w:szCs w:val="24"/>
          <w:lang w:eastAsia="en-US"/>
        </w:rPr>
        <w:t>ODÈLE DE RAPPORT DE SURVEILLANCE</w:t>
      </w:r>
      <w:bookmarkEnd w:id="47"/>
      <w:bookmarkEnd w:id="48"/>
      <w:bookmarkEnd w:id="49"/>
    </w:p>
    <w:p w14:paraId="6CCA39D6" w14:textId="77777777" w:rsidR="005601D4" w:rsidRPr="00C45157" w:rsidRDefault="005601D4" w:rsidP="005601D4">
      <w:pPr>
        <w:pStyle w:val="Adresse"/>
        <w:rPr>
          <w:rFonts w:ascii="KievitPro-Regular" w:hAnsi="KievitPro-Regular"/>
          <w:b/>
          <w:sz w:val="22"/>
          <w:szCs w:val="22"/>
        </w:rPr>
      </w:pPr>
      <w:r w:rsidRPr="00C45157">
        <w:rPr>
          <w:rFonts w:ascii="KievitPro-Regular" w:hAnsi="KievitPro-Regular"/>
          <w:b/>
          <w:sz w:val="22"/>
        </w:rPr>
        <w:t>Modèle de rapport sur la surveillance interne exécutée</w:t>
      </w:r>
    </w:p>
    <w:p w14:paraId="2519ABBF" w14:textId="77777777" w:rsidR="005601D4" w:rsidRPr="00C45157" w:rsidRDefault="005601D4" w:rsidP="005601D4">
      <w:pPr>
        <w:pStyle w:val="Adresse"/>
        <w:rPr>
          <w:rFonts w:ascii="KievitPro-Regular" w:hAnsi="KievitPro-Regular"/>
          <w:i/>
          <w:color w:val="365F91"/>
          <w:sz w:val="22"/>
          <w:szCs w:val="22"/>
        </w:rPr>
      </w:pPr>
      <w:r w:rsidRPr="00C45157">
        <w:rPr>
          <w:rFonts w:ascii="KievitPro-Regular" w:hAnsi="KievitPro-Regular"/>
          <w:i/>
          <w:sz w:val="22"/>
        </w:rPr>
        <w:t>(Il convient d’adapter le rapport à la situation et aux conditions concrètes)</w:t>
      </w:r>
    </w:p>
    <w:p w14:paraId="64DE9287" w14:textId="77777777" w:rsidR="005601D4" w:rsidRPr="00C45157" w:rsidRDefault="005601D4" w:rsidP="005601D4">
      <w:pPr>
        <w:pStyle w:val="Adresse"/>
        <w:rPr>
          <w:rFonts w:ascii="KievitPro-Regular" w:hAnsi="KievitPro-Regular"/>
          <w:sz w:val="22"/>
          <w:szCs w:val="22"/>
        </w:rPr>
      </w:pPr>
    </w:p>
    <w:p w14:paraId="49A84492" w14:textId="77777777" w:rsidR="005601D4" w:rsidRPr="00C45157" w:rsidRDefault="005601D4" w:rsidP="005601D4">
      <w:pPr>
        <w:pStyle w:val="Adresse"/>
        <w:rPr>
          <w:rFonts w:ascii="KievitPro-Regular" w:hAnsi="KievitPro-Regular"/>
          <w:sz w:val="22"/>
          <w:szCs w:val="22"/>
        </w:rPr>
      </w:pPr>
    </w:p>
    <w:p w14:paraId="575B74B9" w14:textId="77777777" w:rsidR="005601D4" w:rsidRPr="00C45157" w:rsidRDefault="005601D4" w:rsidP="005601D4">
      <w:pPr>
        <w:pStyle w:val="Adresse"/>
        <w:rPr>
          <w:rFonts w:ascii="KievitPro-Regular" w:hAnsi="KievitPro-Regular"/>
          <w:sz w:val="22"/>
          <w:szCs w:val="22"/>
        </w:rPr>
      </w:pPr>
      <w:r w:rsidRPr="00C45157">
        <w:rPr>
          <w:rFonts w:ascii="KievitPro-Regular" w:hAnsi="KievitPro-Regular"/>
          <w:sz w:val="22"/>
        </w:rPr>
        <w:t>Société modèle SA</w:t>
      </w:r>
    </w:p>
    <w:p w14:paraId="6A99B552" w14:textId="77777777" w:rsidR="005601D4" w:rsidRPr="00C45157" w:rsidRDefault="005601D4" w:rsidP="005601D4">
      <w:pPr>
        <w:pStyle w:val="Adresse"/>
        <w:rPr>
          <w:rFonts w:ascii="KievitPro-Regular" w:hAnsi="KievitPro-Regular"/>
          <w:sz w:val="22"/>
          <w:szCs w:val="22"/>
        </w:rPr>
      </w:pPr>
      <w:r w:rsidRPr="00C45157">
        <w:rPr>
          <w:rFonts w:ascii="KievitPro-Regular" w:hAnsi="KievitPro-Regular"/>
          <w:sz w:val="22"/>
        </w:rPr>
        <w:t>Responsable de la qualité</w:t>
      </w:r>
    </w:p>
    <w:p w14:paraId="25CDFC02" w14:textId="77777777" w:rsidR="005601D4" w:rsidRPr="00C45157" w:rsidRDefault="005601D4" w:rsidP="005601D4">
      <w:pPr>
        <w:pStyle w:val="Adresse"/>
        <w:rPr>
          <w:rFonts w:ascii="KievitPro-Regular" w:hAnsi="KievitPro-Regular"/>
          <w:sz w:val="22"/>
          <w:szCs w:val="22"/>
        </w:rPr>
      </w:pPr>
      <w:r w:rsidRPr="00C45157">
        <w:rPr>
          <w:rFonts w:ascii="KievitPro-Regular" w:hAnsi="KievitPro-Regular"/>
          <w:sz w:val="22"/>
        </w:rPr>
        <w:t>Rue modèle 1</w:t>
      </w:r>
    </w:p>
    <w:p w14:paraId="6A499DCF" w14:textId="77777777" w:rsidR="005601D4" w:rsidRPr="00C45157" w:rsidRDefault="005601D4" w:rsidP="005601D4">
      <w:pPr>
        <w:pStyle w:val="Adresse"/>
        <w:rPr>
          <w:rFonts w:ascii="KievitPro-Regular" w:hAnsi="KievitPro-Regular"/>
          <w:sz w:val="22"/>
          <w:szCs w:val="22"/>
        </w:rPr>
      </w:pPr>
      <w:r w:rsidRPr="00C45157">
        <w:rPr>
          <w:rFonts w:ascii="KievitPro-Regular" w:hAnsi="KievitPro-Regular"/>
          <w:sz w:val="22"/>
        </w:rPr>
        <w:t>NPA lieu</w:t>
      </w:r>
    </w:p>
    <w:p w14:paraId="2537FA2C" w14:textId="77777777" w:rsidR="005601D4" w:rsidRPr="00C45157" w:rsidRDefault="005601D4" w:rsidP="005601D4">
      <w:pPr>
        <w:pStyle w:val="Adresse"/>
        <w:rPr>
          <w:rFonts w:ascii="KievitPro-Regular" w:hAnsi="KievitPro-Regular"/>
          <w:sz w:val="22"/>
          <w:szCs w:val="22"/>
        </w:rPr>
      </w:pPr>
    </w:p>
    <w:p w14:paraId="6F853A01" w14:textId="77777777" w:rsidR="005601D4" w:rsidRPr="00C45157" w:rsidRDefault="005601D4" w:rsidP="005601D4">
      <w:pPr>
        <w:pStyle w:val="Adresse"/>
        <w:rPr>
          <w:rFonts w:ascii="KievitPro-Regular" w:hAnsi="KievitPro-Regular"/>
          <w:sz w:val="22"/>
          <w:szCs w:val="22"/>
        </w:rPr>
      </w:pPr>
    </w:p>
    <w:p w14:paraId="650F3844" w14:textId="77777777" w:rsidR="005601D4" w:rsidRPr="00C45157" w:rsidRDefault="005601D4" w:rsidP="005601D4">
      <w:pPr>
        <w:pStyle w:val="Adresse"/>
        <w:rPr>
          <w:rFonts w:ascii="KievitPro-Regular" w:hAnsi="KievitPro-Regular"/>
          <w:sz w:val="22"/>
          <w:szCs w:val="22"/>
        </w:rPr>
      </w:pPr>
    </w:p>
    <w:p w14:paraId="13EE64F1" w14:textId="77777777" w:rsidR="005601D4" w:rsidRPr="00C45157" w:rsidRDefault="005601D4" w:rsidP="005601D4">
      <w:pPr>
        <w:pStyle w:val="Datum"/>
        <w:rPr>
          <w:rFonts w:ascii="KievitPro-Regular" w:hAnsi="KievitPro-Regular"/>
          <w:sz w:val="22"/>
          <w:szCs w:val="22"/>
        </w:rPr>
      </w:pPr>
      <w:r w:rsidRPr="00C45157">
        <w:rPr>
          <w:rFonts w:ascii="KievitPro-Regular" w:hAnsi="KievitPro-Regular"/>
          <w:sz w:val="22"/>
        </w:rPr>
        <w:t>Lieu modèle, date</w:t>
      </w:r>
    </w:p>
    <w:p w14:paraId="3BA33C08" w14:textId="77777777" w:rsidR="005601D4" w:rsidRPr="00C45157" w:rsidRDefault="005601D4" w:rsidP="005601D4">
      <w:pPr>
        <w:pStyle w:val="Text"/>
        <w:rPr>
          <w:rFonts w:ascii="KievitPro-Regular" w:hAnsi="KievitPro-Regular"/>
          <w:sz w:val="22"/>
          <w:szCs w:val="22"/>
        </w:rPr>
      </w:pPr>
    </w:p>
    <w:p w14:paraId="0042C784" w14:textId="77777777" w:rsidR="005601D4" w:rsidRPr="00C45157" w:rsidRDefault="005601D4" w:rsidP="005601D4">
      <w:pPr>
        <w:pStyle w:val="Text"/>
        <w:rPr>
          <w:rFonts w:ascii="KievitPro-Regular" w:hAnsi="KievitPro-Regular"/>
          <w:sz w:val="22"/>
          <w:szCs w:val="22"/>
        </w:rPr>
      </w:pPr>
    </w:p>
    <w:p w14:paraId="1CECC6CE" w14:textId="77777777" w:rsidR="005601D4" w:rsidRPr="00C45157" w:rsidRDefault="005601D4" w:rsidP="005601D4">
      <w:pPr>
        <w:pStyle w:val="Betreff"/>
        <w:rPr>
          <w:rFonts w:ascii="KievitPro-Regular" w:hAnsi="KievitPro-Regular"/>
          <w:sz w:val="22"/>
          <w:szCs w:val="22"/>
        </w:rPr>
      </w:pPr>
      <w:r w:rsidRPr="00C45157">
        <w:rPr>
          <w:rFonts w:ascii="KievitPro-Regular" w:hAnsi="KievitPro-Regular"/>
          <w:sz w:val="22"/>
        </w:rPr>
        <w:t>Rapport sur la surveillance interne exécutée</w:t>
      </w:r>
    </w:p>
    <w:p w14:paraId="42939AFD" w14:textId="77777777" w:rsidR="005601D4" w:rsidRPr="00C45157" w:rsidRDefault="005601D4" w:rsidP="005601D4">
      <w:pPr>
        <w:rPr>
          <w:rFonts w:ascii="KievitPro-Regular" w:hAnsi="KievitPro-Regular" w:cs="Arial"/>
          <w:sz w:val="22"/>
          <w:szCs w:val="22"/>
        </w:rPr>
      </w:pPr>
    </w:p>
    <w:p w14:paraId="33ADAF15" w14:textId="77777777" w:rsidR="005601D4" w:rsidRPr="00C45157" w:rsidRDefault="005601D4" w:rsidP="005601D4">
      <w:pPr>
        <w:pStyle w:val="Text"/>
        <w:rPr>
          <w:rFonts w:ascii="KievitPro-Regular" w:hAnsi="KievitPro-Regular"/>
          <w:sz w:val="22"/>
          <w:szCs w:val="22"/>
        </w:rPr>
      </w:pPr>
      <w:r w:rsidRPr="00C45157">
        <w:rPr>
          <w:rFonts w:ascii="KievitPro-Regular" w:hAnsi="KievitPro-Regular"/>
          <w:sz w:val="22"/>
        </w:rPr>
        <w:t>Madame, Monsieur,</w:t>
      </w:r>
    </w:p>
    <w:p w14:paraId="292283EF" w14:textId="77777777" w:rsidR="005601D4" w:rsidRPr="00C45157" w:rsidRDefault="005601D4" w:rsidP="005601D4">
      <w:pPr>
        <w:pStyle w:val="Text"/>
        <w:rPr>
          <w:rFonts w:ascii="KievitPro-Regular" w:hAnsi="KievitPro-Regular"/>
          <w:sz w:val="22"/>
          <w:szCs w:val="22"/>
        </w:rPr>
      </w:pPr>
    </w:p>
    <w:p w14:paraId="2C2C305B" w14:textId="77777777" w:rsidR="005601D4" w:rsidRPr="00C45157" w:rsidRDefault="005601D4" w:rsidP="005601D4">
      <w:pPr>
        <w:pStyle w:val="Text"/>
        <w:rPr>
          <w:rFonts w:ascii="KievitPro-Regular" w:hAnsi="KievitPro-Regular"/>
          <w:sz w:val="22"/>
          <w:szCs w:val="22"/>
        </w:rPr>
      </w:pPr>
      <w:r w:rsidRPr="00C45157">
        <w:rPr>
          <w:rFonts w:ascii="KievitPro-Regular" w:hAnsi="KievitPro-Regular"/>
          <w:sz w:val="22"/>
        </w:rPr>
        <w:t>Conformément au mandat, nous avons exécuté une surveillance interne de l’entreprise de révision et fiduciaire SA (ci-après dénommée entreprise). La surveillance interne a été exécutée par .......... (Nom), expert(e)-comptable diplômé(e), expert(e)-réviseur agréé(e) (n</w:t>
      </w:r>
      <w:r w:rsidRPr="00C45157">
        <w:rPr>
          <w:rFonts w:ascii="KievitPro-Regular" w:hAnsi="KievitPro-Regular"/>
          <w:sz w:val="22"/>
          <w:vertAlign w:val="superscript"/>
        </w:rPr>
        <w:t>o</w:t>
      </w:r>
      <w:r w:rsidRPr="00C45157">
        <w:rPr>
          <w:rFonts w:ascii="KievitPro-Regular" w:hAnsi="KievitPro-Regular"/>
          <w:sz w:val="22"/>
        </w:rPr>
        <w:t xml:space="preserve"> de registre ASR : xxxxxx).</w:t>
      </w:r>
    </w:p>
    <w:p w14:paraId="3647E64E" w14:textId="77777777" w:rsidR="005601D4" w:rsidRPr="00C45157" w:rsidRDefault="005601D4" w:rsidP="005601D4">
      <w:pPr>
        <w:pStyle w:val="Text"/>
        <w:rPr>
          <w:rFonts w:ascii="KievitPro-Regular" w:hAnsi="KievitPro-Regular"/>
          <w:sz w:val="22"/>
          <w:szCs w:val="22"/>
        </w:rPr>
      </w:pPr>
    </w:p>
    <w:p w14:paraId="7F5B109B" w14:textId="517D2299" w:rsidR="005601D4" w:rsidRPr="00C45157" w:rsidRDefault="005601D4" w:rsidP="005601D4">
      <w:pPr>
        <w:pStyle w:val="Text"/>
        <w:rPr>
          <w:rFonts w:ascii="KievitPro-Regular" w:hAnsi="KievitPro-Regular"/>
          <w:sz w:val="22"/>
          <w:szCs w:val="22"/>
        </w:rPr>
      </w:pPr>
      <w:r w:rsidRPr="00C45157">
        <w:rPr>
          <w:rFonts w:ascii="KievitPro-Regular" w:hAnsi="KievitPro-Regular"/>
          <w:sz w:val="22"/>
        </w:rPr>
        <w:t>La surveillance a été exécutée conformément aux directives relatives à l</w:t>
      </w:r>
      <w:r w:rsidR="00E07204" w:rsidRPr="00C45157">
        <w:rPr>
          <w:rFonts w:ascii="KievitPro-Regular" w:hAnsi="KievitPro-Regular"/>
          <w:sz w:val="22"/>
        </w:rPr>
        <w:t xml:space="preserve">a gestion de la </w:t>
      </w:r>
      <w:r w:rsidRPr="00C45157">
        <w:rPr>
          <w:rFonts w:ascii="KievitPro-Regular" w:hAnsi="KievitPro-Regular"/>
          <w:sz w:val="22"/>
        </w:rPr>
        <w:t xml:space="preserve">qualité pour les petites et moyennes entreprises de révision. L’application et le respect de l’obligation de pratiquer une assurance-qualité lors de la réalisation d’audits et de revues de contrôle ont été l’objet de </w:t>
      </w:r>
      <w:r w:rsidR="00B5583A" w:rsidRPr="00C45157">
        <w:rPr>
          <w:rFonts w:ascii="KievitPro-Regular" w:hAnsi="KievitPro-Regular"/>
          <w:sz w:val="22"/>
        </w:rPr>
        <w:t>notre</w:t>
      </w:r>
      <w:r w:rsidRPr="00C45157">
        <w:rPr>
          <w:rFonts w:ascii="KievitPro-Regular" w:hAnsi="KievitPro-Regular"/>
          <w:sz w:val="22"/>
        </w:rPr>
        <w:t xml:space="preserve"> surveillance. Ce rapport a pour objectif d’informer les personnes compétentes et les responsables de la qualité sur la surveillance exécutée et ses résultats.</w:t>
      </w:r>
    </w:p>
    <w:p w14:paraId="6398F514" w14:textId="77777777" w:rsidR="005601D4" w:rsidRPr="00C45157" w:rsidRDefault="005601D4" w:rsidP="005601D4">
      <w:pPr>
        <w:pStyle w:val="KeinLeerraum"/>
        <w:rPr>
          <w:rFonts w:ascii="KievitPro-Regular" w:hAnsi="KievitPro-Regular"/>
          <w:b/>
          <w:sz w:val="22"/>
          <w:szCs w:val="22"/>
        </w:rPr>
      </w:pPr>
      <w:bookmarkStart w:id="50" w:name="_Toc141092104"/>
    </w:p>
    <w:p w14:paraId="7DFEFA52" w14:textId="77777777" w:rsidR="005601D4" w:rsidRPr="00C45157" w:rsidRDefault="005601D4" w:rsidP="00E74884">
      <w:pPr>
        <w:pStyle w:val="KeinLeerraum"/>
        <w:numPr>
          <w:ilvl w:val="0"/>
          <w:numId w:val="38"/>
        </w:numPr>
        <w:rPr>
          <w:rFonts w:ascii="KievitPro-Regular" w:hAnsi="KievitPro-Regular"/>
          <w:b/>
          <w:sz w:val="24"/>
          <w:szCs w:val="24"/>
        </w:rPr>
      </w:pPr>
      <w:r w:rsidRPr="00C45157">
        <w:rPr>
          <w:rFonts w:ascii="KievitPro-Regular" w:hAnsi="KievitPro-Regular"/>
          <w:b/>
          <w:sz w:val="24"/>
        </w:rPr>
        <w:t>Responsabilité</w:t>
      </w:r>
      <w:bookmarkEnd w:id="50"/>
    </w:p>
    <w:p w14:paraId="39D617DF" w14:textId="454C5CC4" w:rsidR="005601D4" w:rsidRPr="00C45157" w:rsidRDefault="005601D4" w:rsidP="005601D4">
      <w:pPr>
        <w:pStyle w:val="Text"/>
        <w:spacing w:before="120" w:after="120"/>
        <w:rPr>
          <w:rFonts w:ascii="KievitPro-Regular" w:hAnsi="KievitPro-Regular"/>
          <w:sz w:val="22"/>
          <w:szCs w:val="22"/>
        </w:rPr>
      </w:pPr>
      <w:r w:rsidRPr="00C45157">
        <w:rPr>
          <w:rFonts w:ascii="KievitPro-Regular" w:hAnsi="KievitPro-Regular"/>
          <w:sz w:val="22"/>
        </w:rPr>
        <w:t>Nous avons été chargés d’effectuer une surveillance interne des réglementations et mesures prises par l’entreprise en matière d</w:t>
      </w:r>
      <w:r w:rsidR="00E07204" w:rsidRPr="00C45157">
        <w:rPr>
          <w:rFonts w:ascii="KievitPro-Regular" w:hAnsi="KievitPro-Regular"/>
          <w:sz w:val="22"/>
        </w:rPr>
        <w:t xml:space="preserve">e gestion de la </w:t>
      </w:r>
      <w:r w:rsidRPr="00C45157">
        <w:rPr>
          <w:rFonts w:ascii="KievitPro-Regular" w:hAnsi="KievitPro-Regular"/>
          <w:sz w:val="22"/>
        </w:rPr>
        <w:t xml:space="preserve">qualité, y compris une revue du manuel de contrôle qualité et des dossiers. Dans les cas où l’entreprise de révision emploie plusieurs réviseurs </w:t>
      </w:r>
      <w:r w:rsidR="00EA41AB" w:rsidRPr="00C45157">
        <w:rPr>
          <w:rFonts w:ascii="KievitPro-Regular" w:hAnsi="KievitPro-Regular"/>
          <w:sz w:val="22"/>
        </w:rPr>
        <w:t>responsables</w:t>
      </w:r>
      <w:r w:rsidRPr="00C45157">
        <w:rPr>
          <w:rFonts w:ascii="KievitPro-Regular" w:hAnsi="KievitPro-Regular"/>
          <w:sz w:val="22"/>
        </w:rPr>
        <w:t xml:space="preserve">, chacun des réviseurs </w:t>
      </w:r>
      <w:r w:rsidR="008B188A" w:rsidRPr="00C45157">
        <w:rPr>
          <w:rFonts w:ascii="KievitPro-Regular" w:hAnsi="KievitPro-Regular"/>
          <w:sz w:val="22"/>
        </w:rPr>
        <w:t>responsables</w:t>
      </w:r>
      <w:r w:rsidRPr="00C45157">
        <w:rPr>
          <w:rFonts w:ascii="KievitPro-Regular" w:hAnsi="KievitPro-Regular"/>
          <w:sz w:val="22"/>
        </w:rPr>
        <w:t xml:space="preserve"> sera pris en compte pour le processus de surveillance interne tous les trois ans au plus tard. L’entreprise de révision est responsable du respect de ce « cycle triennal ».</w:t>
      </w:r>
    </w:p>
    <w:p w14:paraId="655E980E" w14:textId="46C2E33D" w:rsidR="005601D4" w:rsidRPr="00C45157" w:rsidRDefault="005601D4" w:rsidP="005601D4">
      <w:pPr>
        <w:pStyle w:val="Text"/>
        <w:spacing w:before="120" w:after="120"/>
        <w:rPr>
          <w:rFonts w:ascii="KievitPro-Regular" w:hAnsi="KievitPro-Regular"/>
          <w:sz w:val="22"/>
          <w:szCs w:val="22"/>
        </w:rPr>
      </w:pPr>
      <w:r w:rsidRPr="00C45157">
        <w:rPr>
          <w:rFonts w:ascii="KievitPro-Regular" w:hAnsi="KievitPro-Regular"/>
          <w:sz w:val="22"/>
        </w:rPr>
        <w:t>La responsabilité du système d</w:t>
      </w:r>
      <w:r w:rsidR="00E07204" w:rsidRPr="00C45157">
        <w:rPr>
          <w:rFonts w:ascii="KievitPro-Regular" w:hAnsi="KievitPro-Regular"/>
          <w:sz w:val="22"/>
        </w:rPr>
        <w:t xml:space="preserve">e gestion de la </w:t>
      </w:r>
      <w:r w:rsidRPr="00C45157">
        <w:rPr>
          <w:rFonts w:ascii="KievitPro-Regular" w:hAnsi="KievitPro-Regular"/>
          <w:sz w:val="22"/>
        </w:rPr>
        <w:t>qualité de l’entreprise doit être confiée à un partenaire ou à une autre personne disposant de la qualification, de l’expérience et de l’autorité requises.</w:t>
      </w:r>
    </w:p>
    <w:p w14:paraId="78FC4D50" w14:textId="27B4E527" w:rsidR="005601D4" w:rsidRPr="00C45157" w:rsidRDefault="005601D4" w:rsidP="005601D4">
      <w:pPr>
        <w:pStyle w:val="Text"/>
        <w:spacing w:before="120" w:after="120"/>
        <w:rPr>
          <w:rFonts w:ascii="KievitPro-Regular" w:hAnsi="KievitPro-Regular"/>
          <w:sz w:val="22"/>
        </w:rPr>
      </w:pPr>
      <w:r w:rsidRPr="00C45157">
        <w:rPr>
          <w:rFonts w:ascii="KievitPro-Regular" w:hAnsi="KievitPro-Regular"/>
          <w:sz w:val="22"/>
        </w:rPr>
        <w:t xml:space="preserve">La surveillance interne comprend principalement des </w:t>
      </w:r>
      <w:r w:rsidR="00944CD6" w:rsidRPr="00C45157">
        <w:rPr>
          <w:rFonts w:ascii="KievitPro-Regular" w:hAnsi="KievitPro-Regular"/>
          <w:sz w:val="22"/>
        </w:rPr>
        <w:t>interrogations</w:t>
      </w:r>
      <w:r w:rsidRPr="00C45157">
        <w:rPr>
          <w:rFonts w:ascii="KievitPro-Regular" w:hAnsi="KievitPro-Regular"/>
          <w:sz w:val="22"/>
        </w:rPr>
        <w:t xml:space="preserve"> et –</w:t>
      </w:r>
      <w:r w:rsidR="00116FD8" w:rsidRPr="00C45157">
        <w:rPr>
          <w:rFonts w:ascii="KievitPro-Regular" w:hAnsi="KievitPro-Regular"/>
          <w:sz w:val="22"/>
          <w:szCs w:val="22"/>
        </w:rPr>
        <w:t xml:space="preserve"> en fonction des domaines de vérification, d’autres examens appropriés. Nos vérifications ont été effectués par échantillonnage</w:t>
      </w:r>
      <w:r w:rsidRPr="00C45157">
        <w:rPr>
          <w:rFonts w:ascii="KievitPro-Regular" w:hAnsi="KievitPro-Regular"/>
          <w:sz w:val="22"/>
        </w:rPr>
        <w:t>, si bien que nous ne garantissons pas l’exhaustivité des constatations.</w:t>
      </w:r>
    </w:p>
    <w:p w14:paraId="5F9615D8" w14:textId="77777777" w:rsidR="005601D4" w:rsidRPr="00C45157" w:rsidRDefault="005601D4" w:rsidP="00FE39CA">
      <w:pPr>
        <w:pStyle w:val="KeinLeerraum"/>
        <w:numPr>
          <w:ilvl w:val="0"/>
          <w:numId w:val="38"/>
        </w:numPr>
        <w:spacing w:before="360" w:line="276" w:lineRule="auto"/>
        <w:ind w:left="357" w:hanging="357"/>
        <w:rPr>
          <w:rFonts w:ascii="KievitPro-Regular" w:hAnsi="KievitPro-Regular"/>
          <w:b/>
          <w:sz w:val="24"/>
          <w:szCs w:val="24"/>
        </w:rPr>
      </w:pPr>
      <w:bookmarkStart w:id="51" w:name="_Toc141092105"/>
      <w:r w:rsidRPr="00C45157">
        <w:rPr>
          <w:rFonts w:ascii="KievitPro-Regular" w:hAnsi="KievitPro-Regular"/>
          <w:b/>
          <w:sz w:val="24"/>
        </w:rPr>
        <w:t>Travaux de surveillance exécutés</w:t>
      </w:r>
      <w:bookmarkEnd w:id="51"/>
    </w:p>
    <w:p w14:paraId="1BD0E72D" w14:textId="6AD5AFFB" w:rsidR="005601D4" w:rsidRPr="00C45157" w:rsidRDefault="005601D4" w:rsidP="00E74884">
      <w:pPr>
        <w:pStyle w:val="KeinLeerraum"/>
        <w:numPr>
          <w:ilvl w:val="1"/>
          <w:numId w:val="38"/>
        </w:numPr>
        <w:rPr>
          <w:rFonts w:ascii="KievitPro-Regular" w:hAnsi="KievitPro-Regular"/>
          <w:b/>
          <w:sz w:val="22"/>
          <w:szCs w:val="22"/>
        </w:rPr>
      </w:pPr>
      <w:bookmarkStart w:id="52" w:name="_Toc141092106"/>
      <w:r w:rsidRPr="00C45157">
        <w:rPr>
          <w:rFonts w:ascii="KievitPro-Regular" w:hAnsi="KievitPro-Regular"/>
          <w:b/>
          <w:sz w:val="22"/>
        </w:rPr>
        <w:t>Période</w:t>
      </w:r>
      <w:bookmarkEnd w:id="52"/>
      <w:r w:rsidR="00E07204" w:rsidRPr="00C45157">
        <w:rPr>
          <w:rStyle w:val="Funotenzeichen"/>
          <w:rFonts w:ascii="KievitPro-Regular" w:eastAsiaTheme="majorEastAsia" w:hAnsi="KievitPro-Regular"/>
          <w:b/>
          <w:sz w:val="20"/>
        </w:rPr>
        <w:footnoteReference w:id="10"/>
      </w:r>
    </w:p>
    <w:p w14:paraId="38415C73" w14:textId="46AFAFD6" w:rsidR="005601D4" w:rsidRPr="00C45157" w:rsidRDefault="005601D4" w:rsidP="005601D4">
      <w:pPr>
        <w:pStyle w:val="Text"/>
        <w:spacing w:before="120" w:after="120"/>
        <w:rPr>
          <w:rFonts w:ascii="KievitPro-Regular" w:eastAsiaTheme="majorEastAsia" w:hAnsi="KievitPro-Regular"/>
          <w:b/>
        </w:rPr>
      </w:pPr>
      <w:bookmarkStart w:id="53" w:name="_Hlk73354713"/>
      <w:r w:rsidRPr="00C45157">
        <w:rPr>
          <w:rFonts w:ascii="KievitPro-Regular" w:hAnsi="KievitPro-Regular"/>
          <w:sz w:val="22"/>
        </w:rPr>
        <w:t>La surveillance a eu lieu le 18 décembre 202</w:t>
      </w:r>
      <w:r w:rsidR="00B54633" w:rsidRPr="00C45157">
        <w:rPr>
          <w:rFonts w:ascii="KievitPro-Regular" w:hAnsi="KievitPro-Regular"/>
          <w:sz w:val="22"/>
        </w:rPr>
        <w:t>6</w:t>
      </w:r>
      <w:r w:rsidRPr="00C45157">
        <w:rPr>
          <w:rFonts w:ascii="KievitPro-Regular" w:hAnsi="KievitPro-Regular"/>
          <w:sz w:val="22"/>
        </w:rPr>
        <w:t>. Le contrôle porte sur la période du 1</w:t>
      </w:r>
      <w:r w:rsidRPr="00C45157">
        <w:rPr>
          <w:rFonts w:ascii="KievitPro-Regular" w:hAnsi="KievitPro-Regular"/>
          <w:sz w:val="22"/>
          <w:vertAlign w:val="superscript"/>
        </w:rPr>
        <w:t>er</w:t>
      </w:r>
      <w:r w:rsidRPr="00C45157">
        <w:rPr>
          <w:rFonts w:ascii="KievitPro-Regular" w:hAnsi="KievitPro-Regular"/>
          <w:sz w:val="22"/>
        </w:rPr>
        <w:t> janvier 202</w:t>
      </w:r>
      <w:r w:rsidR="00644AE7" w:rsidRPr="00C45157">
        <w:rPr>
          <w:rFonts w:ascii="KievitPro-Regular" w:hAnsi="KievitPro-Regular"/>
          <w:sz w:val="22"/>
        </w:rPr>
        <w:t>6</w:t>
      </w:r>
      <w:r w:rsidRPr="00C45157">
        <w:rPr>
          <w:rFonts w:ascii="KievitPro-Regular" w:hAnsi="KievitPro-Regular"/>
          <w:sz w:val="22"/>
        </w:rPr>
        <w:t xml:space="preserve"> au </w:t>
      </w:r>
      <w:r w:rsidR="00644AE7" w:rsidRPr="00C45157">
        <w:rPr>
          <w:rFonts w:ascii="KievitPro-Regular" w:hAnsi="KievitPro-Regular"/>
          <w:sz w:val="22"/>
        </w:rPr>
        <w:t>18</w:t>
      </w:r>
      <w:r w:rsidRPr="00C45157">
        <w:rPr>
          <w:rFonts w:ascii="KievitPro-Regular" w:hAnsi="KievitPro-Regular"/>
          <w:sz w:val="22"/>
        </w:rPr>
        <w:t> décembre 202</w:t>
      </w:r>
      <w:r w:rsidR="00B54633" w:rsidRPr="00C45157">
        <w:rPr>
          <w:rFonts w:ascii="KievitPro-Regular" w:hAnsi="KievitPro-Regular"/>
          <w:sz w:val="22"/>
        </w:rPr>
        <w:t>6</w:t>
      </w:r>
      <w:r w:rsidRPr="00C45157">
        <w:rPr>
          <w:rFonts w:ascii="KievitPro-Regular" w:hAnsi="KievitPro-Regular"/>
          <w:sz w:val="22"/>
        </w:rPr>
        <w:t>. Le mandat de révision dont la date du bilan est le 31 décembre 202</w:t>
      </w:r>
      <w:r w:rsidR="00B54633" w:rsidRPr="00C45157">
        <w:rPr>
          <w:rFonts w:ascii="KievitPro-Regular" w:hAnsi="KievitPro-Regular"/>
          <w:sz w:val="22"/>
        </w:rPr>
        <w:t>5</w:t>
      </w:r>
      <w:r w:rsidRPr="00C45157">
        <w:rPr>
          <w:rFonts w:ascii="KievitPro-Regular" w:hAnsi="KievitPro-Regular"/>
          <w:sz w:val="22"/>
        </w:rPr>
        <w:t xml:space="preserve"> a été contrôlé en l’an 202</w:t>
      </w:r>
      <w:r w:rsidR="00B54633" w:rsidRPr="00C45157">
        <w:rPr>
          <w:rFonts w:ascii="KievitPro-Regular" w:hAnsi="KievitPro-Regular"/>
          <w:sz w:val="22"/>
        </w:rPr>
        <w:t>6</w:t>
      </w:r>
      <w:bookmarkEnd w:id="53"/>
      <w:r w:rsidRPr="00C45157">
        <w:rPr>
          <w:rFonts w:ascii="KievitPro-Regular" w:hAnsi="KievitPro-Regular"/>
          <w:sz w:val="22"/>
        </w:rPr>
        <w:t>.</w:t>
      </w:r>
    </w:p>
    <w:p w14:paraId="3E847CF9" w14:textId="77777777" w:rsidR="005601D4" w:rsidRPr="00C45157" w:rsidRDefault="005601D4" w:rsidP="00E74884">
      <w:pPr>
        <w:pStyle w:val="KeinLeerraum"/>
        <w:numPr>
          <w:ilvl w:val="1"/>
          <w:numId w:val="38"/>
        </w:numPr>
        <w:spacing w:line="360" w:lineRule="auto"/>
        <w:rPr>
          <w:rFonts w:ascii="KievitPro-Regular" w:hAnsi="KievitPro-Regular"/>
          <w:b/>
          <w:sz w:val="22"/>
          <w:szCs w:val="22"/>
        </w:rPr>
      </w:pPr>
      <w:bookmarkStart w:id="54" w:name="_Toc141092107"/>
      <w:r w:rsidRPr="00C45157">
        <w:rPr>
          <w:rFonts w:ascii="KievitPro-Regular" w:hAnsi="KievitPro-Regular"/>
          <w:b/>
          <w:sz w:val="22"/>
        </w:rPr>
        <w:lastRenderedPageBreak/>
        <w:t>Domaines vérifiés de l’organisation générale de l’entreprise</w:t>
      </w:r>
      <w:bookmarkEnd w:id="54"/>
    </w:p>
    <w:p w14:paraId="7BBB2416" w14:textId="12538A78" w:rsidR="005601D4" w:rsidRPr="00C45157" w:rsidRDefault="001F7D87" w:rsidP="00280014">
      <w:pPr>
        <w:pStyle w:val="Text"/>
        <w:numPr>
          <w:ilvl w:val="0"/>
          <w:numId w:val="16"/>
        </w:numPr>
        <w:spacing w:before="60" w:after="60"/>
        <w:ind w:left="357" w:hanging="357"/>
        <w:rPr>
          <w:rFonts w:ascii="KievitPro-Regular" w:hAnsi="KievitPro-Regular"/>
          <w:sz w:val="22"/>
          <w:szCs w:val="22"/>
        </w:rPr>
      </w:pPr>
      <w:r w:rsidRPr="00C45157">
        <w:rPr>
          <w:rFonts w:ascii="KievitPro-Regular" w:hAnsi="KievitPro-Regular"/>
          <w:sz w:val="22"/>
        </w:rPr>
        <w:t>Interrogations</w:t>
      </w:r>
      <w:r w:rsidR="005601D4" w:rsidRPr="00C45157">
        <w:rPr>
          <w:rFonts w:ascii="KievitPro-Regular" w:hAnsi="KievitPro-Regular"/>
          <w:sz w:val="22"/>
        </w:rPr>
        <w:t xml:space="preserve"> concernant le choix et la responsabilité du responsable AQ</w:t>
      </w:r>
    </w:p>
    <w:p w14:paraId="556452B5" w14:textId="2957BBF6" w:rsidR="005601D4" w:rsidRPr="00C45157" w:rsidRDefault="005601D4" w:rsidP="00280014">
      <w:pPr>
        <w:pStyle w:val="Text"/>
        <w:numPr>
          <w:ilvl w:val="0"/>
          <w:numId w:val="16"/>
        </w:numPr>
        <w:spacing w:before="60" w:after="60"/>
        <w:ind w:left="357" w:hanging="357"/>
        <w:rPr>
          <w:rFonts w:ascii="KievitPro-Regular" w:hAnsi="KievitPro-Regular"/>
          <w:sz w:val="22"/>
          <w:szCs w:val="22"/>
        </w:rPr>
      </w:pPr>
      <w:r w:rsidRPr="00C45157">
        <w:rPr>
          <w:rFonts w:ascii="KievitPro-Regular" w:hAnsi="KievitPro-Regular"/>
          <w:sz w:val="22"/>
        </w:rPr>
        <w:t>Manuel d</w:t>
      </w:r>
      <w:r w:rsidR="00B54633" w:rsidRPr="00C45157">
        <w:rPr>
          <w:rFonts w:ascii="KievitPro-Regular" w:hAnsi="KievitPro-Regular"/>
          <w:sz w:val="22"/>
        </w:rPr>
        <w:t>e la gestion de la q</w:t>
      </w:r>
      <w:r w:rsidRPr="00C45157">
        <w:rPr>
          <w:rFonts w:ascii="KievitPro-Regular" w:hAnsi="KievitPro-Regular"/>
          <w:sz w:val="22"/>
        </w:rPr>
        <w:t>ualité : existence et actualité</w:t>
      </w:r>
    </w:p>
    <w:p w14:paraId="04C5C732" w14:textId="77777777" w:rsidR="005601D4" w:rsidRPr="00C45157" w:rsidRDefault="005601D4" w:rsidP="00280014">
      <w:pPr>
        <w:pStyle w:val="Text"/>
        <w:numPr>
          <w:ilvl w:val="0"/>
          <w:numId w:val="16"/>
        </w:numPr>
        <w:spacing w:before="60" w:after="60"/>
        <w:ind w:left="357" w:hanging="357"/>
        <w:rPr>
          <w:rFonts w:ascii="KievitPro-Regular" w:hAnsi="KievitPro-Regular"/>
          <w:sz w:val="22"/>
          <w:szCs w:val="22"/>
        </w:rPr>
      </w:pPr>
      <w:r w:rsidRPr="00C45157">
        <w:rPr>
          <w:rFonts w:ascii="KievitPro-Regular" w:hAnsi="KievitPro-Regular"/>
          <w:sz w:val="22"/>
        </w:rPr>
        <w:t>Organigramme : existence et actualité</w:t>
      </w:r>
    </w:p>
    <w:p w14:paraId="327769AF" w14:textId="77777777" w:rsidR="005601D4" w:rsidRPr="00C45157" w:rsidRDefault="005601D4" w:rsidP="00280014">
      <w:pPr>
        <w:pStyle w:val="Text"/>
        <w:numPr>
          <w:ilvl w:val="0"/>
          <w:numId w:val="16"/>
        </w:numPr>
        <w:spacing w:before="60" w:after="60"/>
        <w:ind w:left="357" w:hanging="357"/>
        <w:rPr>
          <w:rFonts w:ascii="KievitPro-Regular" w:hAnsi="KievitPro-Regular"/>
          <w:sz w:val="22"/>
          <w:szCs w:val="22"/>
        </w:rPr>
      </w:pPr>
      <w:r w:rsidRPr="00C45157">
        <w:rPr>
          <w:rFonts w:ascii="KievitPro-Regular" w:hAnsi="KievitPro-Regular"/>
          <w:sz w:val="22"/>
        </w:rPr>
        <w:t>Liste des mandats de révision : existence, intégralité et actualité</w:t>
      </w:r>
    </w:p>
    <w:p w14:paraId="2A1E31F9" w14:textId="77777777" w:rsidR="005601D4" w:rsidRPr="00C45157" w:rsidRDefault="005601D4" w:rsidP="00280014">
      <w:pPr>
        <w:pStyle w:val="Text"/>
        <w:numPr>
          <w:ilvl w:val="0"/>
          <w:numId w:val="16"/>
        </w:numPr>
        <w:spacing w:before="60" w:after="60"/>
        <w:ind w:left="357" w:hanging="357"/>
        <w:rPr>
          <w:rFonts w:ascii="KievitPro-Regular" w:hAnsi="KievitPro-Regular"/>
          <w:sz w:val="22"/>
          <w:szCs w:val="22"/>
        </w:rPr>
      </w:pPr>
      <w:r w:rsidRPr="00C45157">
        <w:rPr>
          <w:rFonts w:ascii="KievitPro-Regular" w:hAnsi="KievitPro-Regular"/>
          <w:sz w:val="22"/>
        </w:rPr>
        <w:t>Documentation des contrôles de formation continue : existence et actualité</w:t>
      </w:r>
    </w:p>
    <w:p w14:paraId="636FD74D" w14:textId="77777777" w:rsidR="005601D4" w:rsidRPr="00C45157" w:rsidRDefault="005601D4" w:rsidP="00280014">
      <w:pPr>
        <w:pStyle w:val="Text"/>
        <w:numPr>
          <w:ilvl w:val="0"/>
          <w:numId w:val="16"/>
        </w:numPr>
        <w:spacing w:before="60" w:after="60" w:line="360" w:lineRule="auto"/>
        <w:ind w:left="357" w:hanging="357"/>
        <w:rPr>
          <w:rFonts w:ascii="KievitPro-Regular" w:hAnsi="KievitPro-Regular"/>
          <w:sz w:val="22"/>
          <w:szCs w:val="22"/>
        </w:rPr>
      </w:pPr>
      <w:r w:rsidRPr="00C45157">
        <w:rPr>
          <w:rFonts w:ascii="KievitPro-Regular" w:hAnsi="KievitPro-Regular"/>
          <w:sz w:val="22"/>
        </w:rPr>
        <w:t>Déclarations d’indépendance : existence et documentation des contrôles</w:t>
      </w:r>
    </w:p>
    <w:p w14:paraId="54A38781" w14:textId="7B6E47D6" w:rsidR="005601D4" w:rsidRPr="00C45157" w:rsidRDefault="005601D4" w:rsidP="00E74884">
      <w:pPr>
        <w:pStyle w:val="KeinLeerraum"/>
        <w:numPr>
          <w:ilvl w:val="1"/>
          <w:numId w:val="38"/>
        </w:numPr>
        <w:spacing w:line="360" w:lineRule="auto"/>
        <w:rPr>
          <w:rFonts w:ascii="KievitPro-Regular" w:hAnsi="KievitPro-Regular"/>
          <w:b/>
          <w:sz w:val="22"/>
          <w:szCs w:val="22"/>
        </w:rPr>
      </w:pPr>
      <w:bookmarkStart w:id="55" w:name="_Toc141092108"/>
      <w:r w:rsidRPr="00C45157">
        <w:rPr>
          <w:rFonts w:ascii="KievitPro-Regular" w:hAnsi="KievitPro-Regular"/>
          <w:b/>
          <w:sz w:val="22"/>
        </w:rPr>
        <w:t xml:space="preserve">Description de l’étendue du contrôle </w:t>
      </w:r>
      <w:r w:rsidR="00D20CE5" w:rsidRPr="00C45157">
        <w:rPr>
          <w:rFonts w:ascii="KievitPro-Regular" w:hAnsi="KievitPro-Regular"/>
          <w:b/>
          <w:sz w:val="22"/>
        </w:rPr>
        <w:t xml:space="preserve">effectué au niveau </w:t>
      </w:r>
      <w:r w:rsidRPr="00C45157">
        <w:rPr>
          <w:rFonts w:ascii="KievitPro-Regular" w:hAnsi="KievitPro-Regular"/>
          <w:b/>
          <w:sz w:val="22"/>
        </w:rPr>
        <w:t>d</w:t>
      </w:r>
      <w:r w:rsidR="006759D8" w:rsidRPr="00C45157">
        <w:rPr>
          <w:rFonts w:ascii="KievitPro-Regular" w:hAnsi="KievitPro-Regular"/>
          <w:b/>
          <w:sz w:val="22"/>
        </w:rPr>
        <w:t>u</w:t>
      </w:r>
      <w:r w:rsidRPr="00C45157">
        <w:rPr>
          <w:rFonts w:ascii="KievitPro-Regular" w:hAnsi="KievitPro-Regular"/>
          <w:b/>
          <w:sz w:val="22"/>
        </w:rPr>
        <w:t xml:space="preserve"> mandat</w:t>
      </w:r>
      <w:bookmarkEnd w:id="55"/>
    </w:p>
    <w:p w14:paraId="2092343C" w14:textId="4F1D0740" w:rsidR="005601D4" w:rsidRPr="00C45157" w:rsidRDefault="00BB7389" w:rsidP="005601D4">
      <w:pPr>
        <w:pStyle w:val="Text"/>
        <w:spacing w:before="120" w:after="120"/>
        <w:rPr>
          <w:rFonts w:ascii="KievitPro-Regular" w:hAnsi="KievitPro-Regular"/>
          <w:sz w:val="22"/>
          <w:szCs w:val="22"/>
        </w:rPr>
      </w:pPr>
      <w:r w:rsidRPr="00C45157">
        <w:rPr>
          <w:rFonts w:ascii="KievitPro-Regular" w:hAnsi="KievitPro-Regular"/>
          <w:sz w:val="22"/>
          <w:szCs w:val="22"/>
        </w:rPr>
        <w:t xml:space="preserve">La vérification au niveau des mandats de révision </w:t>
      </w:r>
      <w:r w:rsidR="005601D4" w:rsidRPr="00C45157">
        <w:rPr>
          <w:rFonts w:ascii="KievitPro-Regular" w:hAnsi="KievitPro-Regular"/>
          <w:sz w:val="22"/>
        </w:rPr>
        <w:t>a été effectué</w:t>
      </w:r>
      <w:r w:rsidR="00F06E5F" w:rsidRPr="00C45157">
        <w:rPr>
          <w:rFonts w:ascii="KievitPro-Regular" w:hAnsi="KievitPro-Regular"/>
          <w:sz w:val="22"/>
        </w:rPr>
        <w:t>e</w:t>
      </w:r>
      <w:r w:rsidR="005601D4" w:rsidRPr="00C45157">
        <w:rPr>
          <w:rFonts w:ascii="KievitPro-Regular" w:hAnsi="KievitPro-Regular"/>
          <w:sz w:val="22"/>
        </w:rPr>
        <w:t xml:space="preserve"> sur la base de la liste actuelle des mandats de révision. Le choix du mandat de révision s’effectue suivant une approche axée sur les risques, qui est définie par l’entreprise de révision. Le ou les mandat(s) de révision est/sont choisi(s) de manière aléatoire en fonction de ces informations.</w:t>
      </w:r>
    </w:p>
    <w:p w14:paraId="45C60953" w14:textId="77777777" w:rsidR="00F51D85" w:rsidRPr="00C45157" w:rsidRDefault="00F51D85" w:rsidP="00F51D85">
      <w:pPr>
        <w:pStyle w:val="Text"/>
        <w:rPr>
          <w:rFonts w:ascii="KievitPro-Regular" w:hAnsi="KievitPro-Regular"/>
          <w:sz w:val="22"/>
          <w:szCs w:val="22"/>
        </w:rPr>
      </w:pPr>
      <w:r w:rsidRPr="00C45157">
        <w:rPr>
          <w:rFonts w:ascii="KievitPro-Regular" w:hAnsi="KievitPro-Regular"/>
          <w:sz w:val="22"/>
          <w:szCs w:val="22"/>
        </w:rPr>
        <w:t>Le but de notre vérification est d’examiner le respect de l’application des standards de qualité au niveau des mandats de révision.</w:t>
      </w:r>
    </w:p>
    <w:p w14:paraId="7C758D2E" w14:textId="77777777" w:rsidR="005601D4" w:rsidRPr="00C45157" w:rsidRDefault="005601D4" w:rsidP="005601D4">
      <w:pPr>
        <w:pStyle w:val="Text"/>
        <w:spacing w:before="120" w:after="120"/>
        <w:rPr>
          <w:rFonts w:ascii="KievitPro-Regular" w:hAnsi="KievitPro-Regular"/>
          <w:sz w:val="22"/>
          <w:szCs w:val="22"/>
        </w:rPr>
      </w:pPr>
    </w:p>
    <w:p w14:paraId="44B61D50" w14:textId="77777777" w:rsidR="005601D4" w:rsidRPr="00C45157" w:rsidRDefault="005601D4" w:rsidP="00E74884">
      <w:pPr>
        <w:pStyle w:val="KeinLeerraum"/>
        <w:numPr>
          <w:ilvl w:val="0"/>
          <w:numId w:val="38"/>
        </w:numPr>
        <w:spacing w:line="360" w:lineRule="auto"/>
        <w:rPr>
          <w:rFonts w:ascii="KievitPro-Regular" w:hAnsi="KievitPro-Regular"/>
          <w:b/>
          <w:sz w:val="24"/>
          <w:szCs w:val="24"/>
        </w:rPr>
      </w:pPr>
      <w:bookmarkStart w:id="56" w:name="_Toc141092109"/>
      <w:r w:rsidRPr="00C45157">
        <w:rPr>
          <w:rFonts w:ascii="KievitPro-Regular" w:hAnsi="KievitPro-Regular"/>
          <w:b/>
          <w:sz w:val="24"/>
        </w:rPr>
        <w:t>Constatations</w:t>
      </w:r>
      <w:bookmarkEnd w:id="56"/>
    </w:p>
    <w:p w14:paraId="198F6CCB" w14:textId="7A0163F6" w:rsidR="005601D4" w:rsidRPr="00C45157" w:rsidRDefault="005601D4" w:rsidP="00E74884">
      <w:pPr>
        <w:pStyle w:val="KeinLeerraum"/>
        <w:numPr>
          <w:ilvl w:val="1"/>
          <w:numId w:val="38"/>
        </w:numPr>
        <w:rPr>
          <w:rFonts w:ascii="KievitPro-Regular" w:hAnsi="KievitPro-Regular"/>
          <w:b/>
          <w:sz w:val="22"/>
          <w:szCs w:val="22"/>
        </w:rPr>
      </w:pPr>
      <w:bookmarkStart w:id="57" w:name="_Toc141092110"/>
      <w:r w:rsidRPr="00C45157">
        <w:rPr>
          <w:rFonts w:ascii="KievitPro-Regular" w:hAnsi="KievitPro-Regular"/>
          <w:b/>
          <w:sz w:val="22"/>
        </w:rPr>
        <w:t xml:space="preserve">Erreurs et lacunes </w:t>
      </w:r>
      <w:r w:rsidR="009256B0" w:rsidRPr="00C45157">
        <w:rPr>
          <w:rFonts w:ascii="KievitPro-Regular" w:hAnsi="KievitPro-Regular"/>
          <w:b/>
          <w:sz w:val="22"/>
        </w:rPr>
        <w:t xml:space="preserve">matérielles </w:t>
      </w:r>
      <w:r w:rsidRPr="00C45157">
        <w:rPr>
          <w:rFonts w:ascii="KievitPro-Regular" w:hAnsi="KievitPro-Regular"/>
          <w:b/>
          <w:sz w:val="22"/>
        </w:rPr>
        <w:t xml:space="preserve">constatées dans le système </w:t>
      </w:r>
      <w:r w:rsidR="00B54633" w:rsidRPr="00C45157">
        <w:rPr>
          <w:rFonts w:ascii="KievitPro-Regular" w:hAnsi="KievitPro-Regular"/>
          <w:b/>
          <w:sz w:val="22"/>
        </w:rPr>
        <w:t xml:space="preserve">de gestion de la </w:t>
      </w:r>
      <w:r w:rsidRPr="00C45157">
        <w:rPr>
          <w:rFonts w:ascii="KievitPro-Regular" w:hAnsi="KievitPro-Regular"/>
          <w:b/>
          <w:sz w:val="22"/>
        </w:rPr>
        <w:t>qualité au niveau de l’entreprise et recommandations supplémentaires</w:t>
      </w:r>
      <w:bookmarkEnd w:id="57"/>
    </w:p>
    <w:p w14:paraId="2E4D5C59" w14:textId="77777777" w:rsidR="005601D4" w:rsidRPr="00C45157" w:rsidRDefault="005601D4" w:rsidP="005601D4">
      <w:pPr>
        <w:pStyle w:val="KeinLeerraum"/>
        <w:ind w:left="792"/>
        <w:rPr>
          <w:rFonts w:ascii="KievitPro-Regular" w:hAnsi="KievitPro-Regular"/>
          <w:b/>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2693"/>
        <w:gridCol w:w="1134"/>
        <w:gridCol w:w="1484"/>
        <w:gridCol w:w="1351"/>
      </w:tblGrid>
      <w:tr w:rsidR="005601D4" w:rsidRPr="00C45157" w14:paraId="0099ED06" w14:textId="77777777" w:rsidTr="005601D4">
        <w:tc>
          <w:tcPr>
            <w:tcW w:w="2622" w:type="dxa"/>
            <w:tcBorders>
              <w:top w:val="single" w:sz="4" w:space="0" w:color="auto"/>
              <w:left w:val="single" w:sz="4" w:space="0" w:color="auto"/>
              <w:bottom w:val="single" w:sz="4" w:space="0" w:color="auto"/>
              <w:right w:val="single" w:sz="4" w:space="0" w:color="auto"/>
            </w:tcBorders>
            <w:hideMark/>
          </w:tcPr>
          <w:p w14:paraId="68DC8970" w14:textId="77777777" w:rsidR="005601D4" w:rsidRPr="00C45157" w:rsidRDefault="005601D4">
            <w:pPr>
              <w:spacing w:before="120"/>
              <w:rPr>
                <w:rFonts w:ascii="KievitPro-Regular" w:hAnsi="KievitPro-Regular" w:cs="Arial"/>
                <w:b/>
                <w:bCs/>
                <w:sz w:val="22"/>
                <w:szCs w:val="22"/>
              </w:rPr>
            </w:pPr>
            <w:r w:rsidRPr="00C45157">
              <w:rPr>
                <w:rFonts w:ascii="KievitPro-Regular" w:hAnsi="KievitPro-Regular"/>
                <w:b/>
                <w:sz w:val="22"/>
              </w:rPr>
              <w:t>Constatation</w:t>
            </w:r>
          </w:p>
        </w:tc>
        <w:tc>
          <w:tcPr>
            <w:tcW w:w="2693" w:type="dxa"/>
            <w:tcBorders>
              <w:top w:val="single" w:sz="4" w:space="0" w:color="auto"/>
              <w:left w:val="single" w:sz="4" w:space="0" w:color="auto"/>
              <w:bottom w:val="single" w:sz="4" w:space="0" w:color="auto"/>
              <w:right w:val="single" w:sz="4" w:space="0" w:color="auto"/>
            </w:tcBorders>
            <w:hideMark/>
          </w:tcPr>
          <w:p w14:paraId="6F9175FC" w14:textId="77777777" w:rsidR="005601D4" w:rsidRPr="00C45157" w:rsidRDefault="005601D4">
            <w:pPr>
              <w:spacing w:before="120"/>
              <w:rPr>
                <w:rFonts w:ascii="KievitPro-Regular" w:hAnsi="KievitPro-Regular" w:cs="Arial"/>
                <w:b/>
                <w:bCs/>
                <w:sz w:val="22"/>
                <w:szCs w:val="22"/>
              </w:rPr>
            </w:pPr>
            <w:r w:rsidRPr="00C45157">
              <w:rPr>
                <w:rFonts w:ascii="KievitPro-Regular" w:hAnsi="KievitPro-Regular"/>
                <w:b/>
                <w:sz w:val="22"/>
              </w:rPr>
              <w:t>Recommandation</w:t>
            </w:r>
          </w:p>
        </w:tc>
        <w:tc>
          <w:tcPr>
            <w:tcW w:w="1134" w:type="dxa"/>
            <w:tcBorders>
              <w:top w:val="single" w:sz="4" w:space="0" w:color="auto"/>
              <w:left w:val="single" w:sz="4" w:space="0" w:color="auto"/>
              <w:bottom w:val="single" w:sz="4" w:space="0" w:color="auto"/>
              <w:right w:val="single" w:sz="4" w:space="0" w:color="auto"/>
            </w:tcBorders>
            <w:hideMark/>
          </w:tcPr>
          <w:p w14:paraId="3A683EC1" w14:textId="77777777" w:rsidR="005601D4" w:rsidRPr="00C45157" w:rsidRDefault="005601D4">
            <w:pPr>
              <w:spacing w:before="120"/>
              <w:rPr>
                <w:rFonts w:ascii="KievitPro-Regular" w:hAnsi="KievitPro-Regular" w:cs="Arial"/>
                <w:b/>
                <w:bCs/>
                <w:sz w:val="22"/>
                <w:szCs w:val="22"/>
              </w:rPr>
            </w:pPr>
            <w:r w:rsidRPr="00C45157">
              <w:rPr>
                <w:rFonts w:ascii="KievitPro-Regular" w:hAnsi="KievitPro-Regular"/>
                <w:b/>
                <w:sz w:val="22"/>
              </w:rPr>
              <w:t>Date</w:t>
            </w:r>
          </w:p>
        </w:tc>
        <w:tc>
          <w:tcPr>
            <w:tcW w:w="1484" w:type="dxa"/>
            <w:tcBorders>
              <w:top w:val="single" w:sz="4" w:space="0" w:color="auto"/>
              <w:left w:val="single" w:sz="4" w:space="0" w:color="auto"/>
              <w:bottom w:val="single" w:sz="4" w:space="0" w:color="auto"/>
              <w:right w:val="single" w:sz="4" w:space="0" w:color="auto"/>
            </w:tcBorders>
            <w:hideMark/>
          </w:tcPr>
          <w:p w14:paraId="4C3C55D8" w14:textId="77777777" w:rsidR="005601D4" w:rsidRPr="00C45157" w:rsidRDefault="005601D4">
            <w:pPr>
              <w:spacing w:before="120"/>
              <w:rPr>
                <w:rFonts w:ascii="KievitPro-Regular" w:hAnsi="KievitPro-Regular" w:cs="Arial"/>
                <w:b/>
                <w:bCs/>
                <w:sz w:val="22"/>
                <w:szCs w:val="22"/>
              </w:rPr>
            </w:pPr>
            <w:r w:rsidRPr="00C45157">
              <w:rPr>
                <w:rFonts w:ascii="KievitPro-Regular" w:hAnsi="KievitPro-Regular"/>
                <w:b/>
                <w:sz w:val="22"/>
              </w:rPr>
              <w:t>Responsable</w:t>
            </w:r>
          </w:p>
        </w:tc>
        <w:tc>
          <w:tcPr>
            <w:tcW w:w="1351" w:type="dxa"/>
            <w:tcBorders>
              <w:top w:val="single" w:sz="4" w:space="0" w:color="auto"/>
              <w:left w:val="single" w:sz="4" w:space="0" w:color="auto"/>
              <w:bottom w:val="single" w:sz="4" w:space="0" w:color="auto"/>
              <w:right w:val="single" w:sz="4" w:space="0" w:color="auto"/>
            </w:tcBorders>
            <w:hideMark/>
          </w:tcPr>
          <w:p w14:paraId="41B6103E" w14:textId="77777777" w:rsidR="005601D4" w:rsidRPr="00C45157" w:rsidRDefault="005601D4">
            <w:pPr>
              <w:spacing w:before="120"/>
              <w:rPr>
                <w:rFonts w:ascii="KievitPro-Regular" w:hAnsi="KievitPro-Regular" w:cs="Arial"/>
                <w:b/>
                <w:bCs/>
                <w:sz w:val="22"/>
                <w:szCs w:val="22"/>
              </w:rPr>
            </w:pPr>
            <w:r w:rsidRPr="00C45157">
              <w:rPr>
                <w:rFonts w:ascii="KievitPro-Regular" w:hAnsi="KievitPro-Regular"/>
                <w:b/>
                <w:sz w:val="22"/>
              </w:rPr>
              <w:t>Prise de position entreprise</w:t>
            </w:r>
          </w:p>
        </w:tc>
      </w:tr>
      <w:tr w:rsidR="005601D4" w:rsidRPr="00C45157" w14:paraId="6D180F11" w14:textId="77777777" w:rsidTr="005601D4">
        <w:tc>
          <w:tcPr>
            <w:tcW w:w="2622" w:type="dxa"/>
            <w:tcBorders>
              <w:top w:val="single" w:sz="4" w:space="0" w:color="auto"/>
              <w:left w:val="single" w:sz="4" w:space="0" w:color="auto"/>
              <w:bottom w:val="single" w:sz="4" w:space="0" w:color="auto"/>
              <w:right w:val="single" w:sz="4" w:space="0" w:color="auto"/>
            </w:tcBorders>
          </w:tcPr>
          <w:p w14:paraId="2C26B222" w14:textId="77777777" w:rsidR="005601D4" w:rsidRPr="00C45157" w:rsidRDefault="005601D4">
            <w:pPr>
              <w:spacing w:before="120" w:after="120"/>
              <w:rPr>
                <w:rFonts w:ascii="KievitPro-Regular" w:hAnsi="KievitPro-Regular" w:cs="Arial"/>
                <w:b/>
                <w:sz w:val="22"/>
                <w:szCs w:val="22"/>
              </w:rPr>
            </w:pPr>
            <w:r w:rsidRPr="00C45157">
              <w:rPr>
                <w:rFonts w:ascii="KievitPro-Regular" w:hAnsi="KievitPro-Regular"/>
                <w:b/>
                <w:sz w:val="22"/>
              </w:rPr>
              <w:t>Déclarations d’indépendance :</w:t>
            </w:r>
          </w:p>
          <w:p w14:paraId="638C899C" w14:textId="77777777" w:rsidR="005601D4" w:rsidRPr="00C45157" w:rsidRDefault="005601D4">
            <w:pPr>
              <w:spacing w:before="120" w:after="120"/>
              <w:rPr>
                <w:rFonts w:ascii="KievitPro-Regular" w:hAnsi="KievitPro-Regular" w:cs="Arial"/>
                <w:sz w:val="22"/>
                <w:szCs w:val="22"/>
              </w:rPr>
            </w:pPr>
            <w:r w:rsidRPr="00C45157">
              <w:rPr>
                <w:rFonts w:ascii="KievitPro-Regular" w:hAnsi="KievitPro-Regular"/>
                <w:sz w:val="22"/>
              </w:rPr>
              <w:t>La déclaration annuelle d’indépendance n’a pas été signée.</w:t>
            </w:r>
          </w:p>
          <w:p w14:paraId="2188010D" w14:textId="77777777" w:rsidR="005601D4" w:rsidRPr="00C45157" w:rsidRDefault="005601D4">
            <w:pPr>
              <w:rPr>
                <w:rFonts w:ascii="KievitPro-Regular" w:hAnsi="KievitPro-Regular" w:cs="Arial"/>
                <w:b/>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14:paraId="799D0392" w14:textId="77777777" w:rsidR="005601D4" w:rsidRPr="00C45157" w:rsidRDefault="005601D4">
            <w:pPr>
              <w:spacing w:before="420" w:after="120"/>
              <w:rPr>
                <w:rFonts w:ascii="KievitPro-Regular" w:hAnsi="KievitPro-Regular" w:cs="Arial"/>
                <w:sz w:val="22"/>
                <w:szCs w:val="22"/>
              </w:rPr>
            </w:pPr>
            <w:r w:rsidRPr="00C45157">
              <w:rPr>
                <w:rFonts w:ascii="KievitPro-Regular" w:hAnsi="KievitPro-Regular"/>
                <w:sz w:val="22"/>
              </w:rPr>
              <w:t>La conformité à l’URL doit être attestée par une confirmation écrite annuelle (collaborateur de la révision, direction, conseil d’administration).</w:t>
            </w:r>
          </w:p>
        </w:tc>
        <w:tc>
          <w:tcPr>
            <w:tcW w:w="1134" w:type="dxa"/>
            <w:tcBorders>
              <w:top w:val="single" w:sz="4" w:space="0" w:color="auto"/>
              <w:left w:val="single" w:sz="4" w:space="0" w:color="auto"/>
              <w:bottom w:val="single" w:sz="4" w:space="0" w:color="auto"/>
              <w:right w:val="single" w:sz="4" w:space="0" w:color="auto"/>
            </w:tcBorders>
            <w:hideMark/>
          </w:tcPr>
          <w:p w14:paraId="179EEC8E" w14:textId="7D7068D8" w:rsidR="005601D4" w:rsidRPr="00C45157" w:rsidRDefault="005601D4">
            <w:pPr>
              <w:spacing w:before="420" w:after="120"/>
              <w:rPr>
                <w:rFonts w:ascii="KievitPro-Regular" w:hAnsi="KievitPro-Regular" w:cs="Arial"/>
                <w:sz w:val="22"/>
                <w:szCs w:val="22"/>
              </w:rPr>
            </w:pPr>
            <w:r w:rsidRPr="00C45157">
              <w:rPr>
                <w:rFonts w:ascii="KievitPro-Regular" w:hAnsi="KievitPro-Regular"/>
                <w:sz w:val="22"/>
              </w:rPr>
              <w:t>31.12.202</w:t>
            </w:r>
            <w:r w:rsidR="00B54633" w:rsidRPr="00C45157">
              <w:rPr>
                <w:rFonts w:ascii="KievitPro-Regular" w:hAnsi="KievitPro-Regular"/>
                <w:sz w:val="22"/>
              </w:rPr>
              <w:t>6</w:t>
            </w:r>
          </w:p>
        </w:tc>
        <w:tc>
          <w:tcPr>
            <w:tcW w:w="1484" w:type="dxa"/>
            <w:tcBorders>
              <w:top w:val="single" w:sz="4" w:space="0" w:color="auto"/>
              <w:left w:val="single" w:sz="4" w:space="0" w:color="auto"/>
              <w:bottom w:val="single" w:sz="4" w:space="0" w:color="auto"/>
              <w:right w:val="single" w:sz="4" w:space="0" w:color="auto"/>
            </w:tcBorders>
            <w:hideMark/>
          </w:tcPr>
          <w:p w14:paraId="46E5C872" w14:textId="77777777" w:rsidR="005601D4" w:rsidRPr="00C45157" w:rsidRDefault="005601D4">
            <w:pPr>
              <w:spacing w:before="420" w:after="120"/>
              <w:rPr>
                <w:rFonts w:ascii="KievitPro-Regular" w:hAnsi="KievitPro-Regular" w:cs="Arial"/>
                <w:sz w:val="22"/>
                <w:szCs w:val="22"/>
              </w:rPr>
            </w:pPr>
            <w:r w:rsidRPr="00C45157">
              <w:rPr>
                <w:rFonts w:ascii="KievitPro-Regular" w:hAnsi="KievitPro-Regular"/>
                <w:sz w:val="22"/>
              </w:rPr>
              <w:t>Direction</w:t>
            </w:r>
          </w:p>
        </w:tc>
        <w:tc>
          <w:tcPr>
            <w:tcW w:w="1351" w:type="dxa"/>
            <w:tcBorders>
              <w:top w:val="single" w:sz="4" w:space="0" w:color="auto"/>
              <w:left w:val="single" w:sz="4" w:space="0" w:color="auto"/>
              <w:bottom w:val="single" w:sz="4" w:space="0" w:color="auto"/>
              <w:right w:val="single" w:sz="4" w:space="0" w:color="auto"/>
            </w:tcBorders>
            <w:hideMark/>
          </w:tcPr>
          <w:p w14:paraId="7847947A" w14:textId="77777777" w:rsidR="005601D4" w:rsidRPr="00C45157" w:rsidRDefault="005601D4">
            <w:pPr>
              <w:spacing w:before="420" w:after="120"/>
              <w:rPr>
                <w:rFonts w:ascii="KievitPro-Regular" w:hAnsi="KievitPro-Regular" w:cs="Arial"/>
                <w:sz w:val="22"/>
                <w:szCs w:val="22"/>
              </w:rPr>
            </w:pPr>
            <w:r w:rsidRPr="00C45157">
              <w:rPr>
                <w:rFonts w:ascii="KievitPro-Regular" w:hAnsi="KievitPro-Regular"/>
                <w:sz w:val="22"/>
              </w:rPr>
              <w:t>approuvé</w:t>
            </w:r>
          </w:p>
        </w:tc>
      </w:tr>
    </w:tbl>
    <w:p w14:paraId="4F06FE07" w14:textId="77777777" w:rsidR="005601D4" w:rsidRPr="00C45157" w:rsidRDefault="005601D4" w:rsidP="005601D4">
      <w:pPr>
        <w:rPr>
          <w:rFonts w:ascii="KievitPro-Regular" w:hAnsi="KievitPro-Regular" w:cs="Arial"/>
          <w:sz w:val="22"/>
          <w:szCs w:val="22"/>
        </w:rPr>
      </w:pPr>
    </w:p>
    <w:p w14:paraId="5A4C4050" w14:textId="1972DCA8" w:rsidR="005601D4" w:rsidRPr="00C45157" w:rsidRDefault="005601D4" w:rsidP="00E74884">
      <w:pPr>
        <w:pStyle w:val="KeinLeerraum"/>
        <w:numPr>
          <w:ilvl w:val="1"/>
          <w:numId w:val="38"/>
        </w:numPr>
        <w:rPr>
          <w:rFonts w:ascii="KievitPro-Regular" w:hAnsi="KievitPro-Regular"/>
          <w:b/>
          <w:sz w:val="22"/>
          <w:szCs w:val="22"/>
        </w:rPr>
      </w:pPr>
      <w:bookmarkStart w:id="58" w:name="_Toc141092111"/>
      <w:r w:rsidRPr="00C45157">
        <w:rPr>
          <w:rFonts w:ascii="KievitPro-Regular" w:hAnsi="KievitPro-Regular"/>
          <w:b/>
          <w:sz w:val="22"/>
        </w:rPr>
        <w:t xml:space="preserve">Erreurs et lacunes </w:t>
      </w:r>
      <w:r w:rsidR="00035E1B" w:rsidRPr="00C45157">
        <w:rPr>
          <w:rFonts w:ascii="KievitPro-Regular" w:hAnsi="KievitPro-Regular"/>
          <w:b/>
          <w:sz w:val="22"/>
        </w:rPr>
        <w:t>matérielles</w:t>
      </w:r>
      <w:r w:rsidRPr="00C45157">
        <w:rPr>
          <w:rFonts w:ascii="KievitPro-Regular" w:hAnsi="KievitPro-Regular"/>
          <w:b/>
          <w:sz w:val="22"/>
        </w:rPr>
        <w:t xml:space="preserve"> constatées dans le cadre </w:t>
      </w:r>
      <w:r w:rsidR="00035E1B" w:rsidRPr="00C45157">
        <w:rPr>
          <w:rFonts w:ascii="KievitPro-Regular" w:hAnsi="KievitPro-Regular"/>
          <w:b/>
          <w:sz w:val="22"/>
        </w:rPr>
        <w:t xml:space="preserve">de la vérification </w:t>
      </w:r>
      <w:r w:rsidR="00CB0753" w:rsidRPr="00C45157">
        <w:rPr>
          <w:rFonts w:ascii="KievitPro-Regular" w:hAnsi="KievitPro-Regular"/>
          <w:b/>
          <w:sz w:val="22"/>
        </w:rPr>
        <w:t>au niveau des mandats</w:t>
      </w:r>
      <w:r w:rsidRPr="00C45157">
        <w:rPr>
          <w:rFonts w:ascii="KievitPro-Regular" w:hAnsi="KievitPro-Regular"/>
          <w:b/>
          <w:sz w:val="22"/>
        </w:rPr>
        <w:t xml:space="preserve"> et recommandations supplémentaires</w:t>
      </w:r>
      <w:bookmarkEnd w:id="58"/>
    </w:p>
    <w:p w14:paraId="3A4C1AE0" w14:textId="77777777" w:rsidR="005601D4" w:rsidRPr="00C45157" w:rsidRDefault="005601D4" w:rsidP="005601D4">
      <w:pPr>
        <w:pStyle w:val="KeinLeerraum"/>
        <w:ind w:left="792"/>
        <w:rPr>
          <w:rFonts w:ascii="KievitPro-Regular" w:hAnsi="KievitPro-Regular"/>
          <w:b/>
          <w:sz w:val="22"/>
          <w:szCs w:val="22"/>
        </w:rPr>
      </w:pPr>
    </w:p>
    <w:p w14:paraId="14AFC6BD" w14:textId="77777777" w:rsidR="005601D4" w:rsidRPr="00C45157" w:rsidRDefault="005601D4" w:rsidP="005601D4">
      <w:pPr>
        <w:rPr>
          <w:rFonts w:ascii="KievitPro-Regular" w:hAnsi="KievitPro-Regular" w:cs="Arial"/>
          <w:sz w:val="22"/>
          <w:szCs w:val="22"/>
        </w:rPr>
      </w:pPr>
      <w:r w:rsidRPr="00C45157">
        <w:rPr>
          <w:rFonts w:ascii="KievitPro-Regular" w:hAnsi="KievitPro-Regular"/>
          <w:b/>
          <w:sz w:val="22"/>
          <w:u w:val="single"/>
        </w:rPr>
        <w:t>Nom du client de la révision, lieu (réviseur principal : xxxx)</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19"/>
        <w:gridCol w:w="2696"/>
        <w:gridCol w:w="1135"/>
        <w:gridCol w:w="1483"/>
        <w:gridCol w:w="1418"/>
      </w:tblGrid>
      <w:tr w:rsidR="005601D4" w:rsidRPr="00C45157" w14:paraId="19FE246F" w14:textId="77777777" w:rsidTr="005601D4">
        <w:tc>
          <w:tcPr>
            <w:tcW w:w="2619" w:type="dxa"/>
            <w:tcBorders>
              <w:top w:val="single" w:sz="4" w:space="0" w:color="auto"/>
              <w:left w:val="single" w:sz="4" w:space="0" w:color="auto"/>
              <w:bottom w:val="single" w:sz="4" w:space="0" w:color="auto"/>
              <w:right w:val="single" w:sz="4" w:space="0" w:color="auto"/>
            </w:tcBorders>
            <w:hideMark/>
          </w:tcPr>
          <w:p w14:paraId="3667FF73" w14:textId="77777777" w:rsidR="005601D4" w:rsidRPr="00C45157" w:rsidRDefault="005601D4">
            <w:pPr>
              <w:spacing w:before="120"/>
              <w:rPr>
                <w:rFonts w:ascii="KievitPro-Regular" w:hAnsi="KievitPro-Regular" w:cs="Arial"/>
                <w:b/>
                <w:bCs/>
              </w:rPr>
            </w:pPr>
            <w:r w:rsidRPr="00C45157">
              <w:rPr>
                <w:rFonts w:ascii="KievitPro-Regular" w:hAnsi="KievitPro-Regular"/>
                <w:b/>
              </w:rPr>
              <w:t>Constatation</w:t>
            </w:r>
          </w:p>
        </w:tc>
        <w:tc>
          <w:tcPr>
            <w:tcW w:w="2696" w:type="dxa"/>
            <w:tcBorders>
              <w:top w:val="single" w:sz="4" w:space="0" w:color="auto"/>
              <w:left w:val="single" w:sz="4" w:space="0" w:color="auto"/>
              <w:bottom w:val="single" w:sz="4" w:space="0" w:color="auto"/>
              <w:right w:val="single" w:sz="4" w:space="0" w:color="auto"/>
            </w:tcBorders>
            <w:hideMark/>
          </w:tcPr>
          <w:p w14:paraId="4EBFC0DC" w14:textId="77777777" w:rsidR="005601D4" w:rsidRPr="00C45157" w:rsidRDefault="005601D4">
            <w:pPr>
              <w:spacing w:before="120"/>
              <w:rPr>
                <w:rFonts w:ascii="KievitPro-Regular" w:hAnsi="KievitPro-Regular" w:cs="Arial"/>
                <w:b/>
                <w:bCs/>
              </w:rPr>
            </w:pPr>
            <w:r w:rsidRPr="00C45157">
              <w:rPr>
                <w:rFonts w:ascii="KievitPro-Regular" w:hAnsi="KievitPro-Regular"/>
                <w:b/>
              </w:rPr>
              <w:t>Recommandation</w:t>
            </w:r>
          </w:p>
        </w:tc>
        <w:tc>
          <w:tcPr>
            <w:tcW w:w="1135" w:type="dxa"/>
            <w:tcBorders>
              <w:top w:val="single" w:sz="4" w:space="0" w:color="auto"/>
              <w:left w:val="single" w:sz="4" w:space="0" w:color="auto"/>
              <w:bottom w:val="single" w:sz="4" w:space="0" w:color="auto"/>
              <w:right w:val="single" w:sz="4" w:space="0" w:color="auto"/>
            </w:tcBorders>
            <w:hideMark/>
          </w:tcPr>
          <w:p w14:paraId="2D5688D9" w14:textId="77777777" w:rsidR="005601D4" w:rsidRPr="00C45157" w:rsidRDefault="005601D4">
            <w:pPr>
              <w:spacing w:before="120"/>
              <w:rPr>
                <w:rFonts w:ascii="KievitPro-Regular" w:hAnsi="KievitPro-Regular" w:cs="Arial"/>
                <w:b/>
                <w:bCs/>
              </w:rPr>
            </w:pPr>
            <w:r w:rsidRPr="00C45157">
              <w:rPr>
                <w:rFonts w:ascii="KievitPro-Regular" w:hAnsi="KievitPro-Regular"/>
                <w:b/>
              </w:rPr>
              <w:t>Date</w:t>
            </w:r>
          </w:p>
        </w:tc>
        <w:tc>
          <w:tcPr>
            <w:tcW w:w="1483" w:type="dxa"/>
            <w:tcBorders>
              <w:top w:val="single" w:sz="4" w:space="0" w:color="auto"/>
              <w:left w:val="single" w:sz="4" w:space="0" w:color="auto"/>
              <w:bottom w:val="single" w:sz="4" w:space="0" w:color="auto"/>
              <w:right w:val="single" w:sz="4" w:space="0" w:color="auto"/>
            </w:tcBorders>
            <w:hideMark/>
          </w:tcPr>
          <w:p w14:paraId="6BCCA6E6" w14:textId="77777777" w:rsidR="005601D4" w:rsidRPr="00C45157" w:rsidRDefault="005601D4">
            <w:pPr>
              <w:spacing w:before="120"/>
              <w:rPr>
                <w:rFonts w:ascii="KievitPro-Regular" w:hAnsi="KievitPro-Regular" w:cs="Arial"/>
                <w:b/>
                <w:bCs/>
              </w:rPr>
            </w:pPr>
            <w:r w:rsidRPr="00C45157">
              <w:rPr>
                <w:rFonts w:ascii="KievitPro-Regular" w:hAnsi="KievitPro-Regular"/>
                <w:b/>
              </w:rPr>
              <w:t>Responsable</w:t>
            </w:r>
          </w:p>
        </w:tc>
        <w:tc>
          <w:tcPr>
            <w:tcW w:w="1418" w:type="dxa"/>
            <w:tcBorders>
              <w:top w:val="single" w:sz="4" w:space="0" w:color="auto"/>
              <w:left w:val="single" w:sz="4" w:space="0" w:color="auto"/>
              <w:bottom w:val="single" w:sz="4" w:space="0" w:color="auto"/>
              <w:right w:val="single" w:sz="4" w:space="0" w:color="auto"/>
            </w:tcBorders>
            <w:hideMark/>
          </w:tcPr>
          <w:p w14:paraId="252BBCFE" w14:textId="77777777" w:rsidR="005601D4" w:rsidRPr="00C45157" w:rsidRDefault="005601D4">
            <w:pPr>
              <w:spacing w:before="120"/>
              <w:rPr>
                <w:rFonts w:ascii="KievitPro-Regular" w:hAnsi="KievitPro-Regular" w:cs="Arial"/>
                <w:b/>
                <w:bCs/>
              </w:rPr>
            </w:pPr>
            <w:r w:rsidRPr="00C45157">
              <w:rPr>
                <w:rFonts w:ascii="KievitPro-Regular" w:hAnsi="KievitPro-Regular"/>
                <w:b/>
              </w:rPr>
              <w:t>Prise de position entreprise</w:t>
            </w:r>
          </w:p>
        </w:tc>
      </w:tr>
      <w:tr w:rsidR="005601D4" w:rsidRPr="00C45157" w14:paraId="22046C61" w14:textId="77777777" w:rsidTr="005601D4">
        <w:tc>
          <w:tcPr>
            <w:tcW w:w="2619" w:type="dxa"/>
            <w:tcBorders>
              <w:top w:val="single" w:sz="4" w:space="0" w:color="auto"/>
              <w:left w:val="single" w:sz="4" w:space="0" w:color="auto"/>
              <w:bottom w:val="single" w:sz="4" w:space="0" w:color="auto"/>
              <w:right w:val="single" w:sz="4" w:space="0" w:color="auto"/>
            </w:tcBorders>
          </w:tcPr>
          <w:p w14:paraId="45C866BA" w14:textId="77777777" w:rsidR="005601D4" w:rsidRPr="00C45157" w:rsidRDefault="005601D4">
            <w:pPr>
              <w:spacing w:before="120" w:after="120"/>
              <w:rPr>
                <w:rFonts w:ascii="KievitPro-Regular" w:hAnsi="KievitPro-Regular" w:cs="Arial"/>
                <w:b/>
              </w:rPr>
            </w:pPr>
            <w:r w:rsidRPr="00C45157">
              <w:rPr>
                <w:rFonts w:ascii="KievitPro-Regular" w:hAnsi="KievitPro-Regular"/>
                <w:b/>
              </w:rPr>
              <w:t>Préparation de l’audit :</w:t>
            </w:r>
          </w:p>
          <w:p w14:paraId="3419D473" w14:textId="77777777" w:rsidR="005601D4" w:rsidRPr="00C45157" w:rsidRDefault="005601D4">
            <w:pPr>
              <w:spacing w:before="120" w:after="120"/>
              <w:rPr>
                <w:rFonts w:ascii="KievitPro-Regular" w:hAnsi="KievitPro-Regular" w:cs="Arial"/>
              </w:rPr>
            </w:pPr>
            <w:r w:rsidRPr="00C45157">
              <w:rPr>
                <w:rFonts w:ascii="KievitPro-Regular" w:hAnsi="KievitPro-Regular"/>
              </w:rPr>
              <w:t>La documentation des connaissances de l’environnement et des activités du client n’a pas été entièrement établie.</w:t>
            </w:r>
          </w:p>
          <w:p w14:paraId="5DF80250" w14:textId="77777777" w:rsidR="005601D4" w:rsidRPr="00C45157" w:rsidRDefault="005601D4">
            <w:pPr>
              <w:rPr>
                <w:rFonts w:ascii="KievitPro-Regular" w:hAnsi="KievitPro-Regular" w:cs="Arial"/>
              </w:rPr>
            </w:pPr>
          </w:p>
        </w:tc>
        <w:tc>
          <w:tcPr>
            <w:tcW w:w="2696" w:type="dxa"/>
            <w:tcBorders>
              <w:top w:val="single" w:sz="4" w:space="0" w:color="auto"/>
              <w:left w:val="single" w:sz="4" w:space="0" w:color="auto"/>
              <w:bottom w:val="single" w:sz="4" w:space="0" w:color="auto"/>
              <w:right w:val="single" w:sz="4" w:space="0" w:color="auto"/>
            </w:tcBorders>
            <w:hideMark/>
          </w:tcPr>
          <w:p w14:paraId="0E7D9C4B" w14:textId="77777777" w:rsidR="005601D4" w:rsidRPr="00C45157" w:rsidRDefault="005601D4">
            <w:pPr>
              <w:spacing w:before="420" w:after="120"/>
              <w:rPr>
                <w:rFonts w:ascii="KievitPro-Regular" w:hAnsi="KievitPro-Regular" w:cs="Arial"/>
              </w:rPr>
            </w:pPr>
            <w:r w:rsidRPr="00C45157">
              <w:rPr>
                <w:rFonts w:ascii="KievitPro-Regular" w:hAnsi="KievitPro-Regular"/>
              </w:rPr>
              <w:t>Les connaissances des activités et de l’environnement de l’entreprise acquises pendant la planification de la révision doivent être soigneusement documentées. Ce savoir doit être mis à jour à chaque audit.</w:t>
            </w:r>
          </w:p>
        </w:tc>
        <w:tc>
          <w:tcPr>
            <w:tcW w:w="1135" w:type="dxa"/>
            <w:tcBorders>
              <w:top w:val="single" w:sz="4" w:space="0" w:color="auto"/>
              <w:left w:val="single" w:sz="4" w:space="0" w:color="auto"/>
              <w:bottom w:val="single" w:sz="4" w:space="0" w:color="auto"/>
              <w:right w:val="single" w:sz="4" w:space="0" w:color="auto"/>
            </w:tcBorders>
            <w:hideMark/>
          </w:tcPr>
          <w:p w14:paraId="03E1ABF0" w14:textId="77777777" w:rsidR="005601D4" w:rsidRPr="00C45157" w:rsidRDefault="005601D4">
            <w:pPr>
              <w:spacing w:before="420" w:after="120"/>
              <w:rPr>
                <w:rFonts w:ascii="KievitPro-Regular" w:hAnsi="KievitPro-Regular" w:cs="Arial"/>
              </w:rPr>
            </w:pPr>
            <w:r w:rsidRPr="00C45157">
              <w:rPr>
                <w:rFonts w:ascii="KievitPro-Regular" w:hAnsi="KievitPro-Regular"/>
              </w:rPr>
              <w:t>À mettre en œuvre pour l’audit consécutif</w:t>
            </w:r>
          </w:p>
        </w:tc>
        <w:tc>
          <w:tcPr>
            <w:tcW w:w="1483" w:type="dxa"/>
            <w:tcBorders>
              <w:top w:val="single" w:sz="4" w:space="0" w:color="auto"/>
              <w:left w:val="single" w:sz="4" w:space="0" w:color="auto"/>
              <w:bottom w:val="single" w:sz="4" w:space="0" w:color="auto"/>
              <w:right w:val="single" w:sz="4" w:space="0" w:color="auto"/>
            </w:tcBorders>
            <w:hideMark/>
          </w:tcPr>
          <w:p w14:paraId="038DBCA1" w14:textId="77777777" w:rsidR="005601D4" w:rsidRPr="00C45157" w:rsidRDefault="005601D4">
            <w:pPr>
              <w:spacing w:before="420" w:after="120"/>
              <w:rPr>
                <w:rFonts w:ascii="KievitPro-Regular" w:hAnsi="KievitPro-Regular" w:cs="Arial"/>
              </w:rPr>
            </w:pPr>
            <w:r w:rsidRPr="00C45157">
              <w:rPr>
                <w:rFonts w:ascii="KievitPro-Regular" w:hAnsi="KievitPro-Regular"/>
              </w:rPr>
              <w:t>Réviseur principal :</w:t>
            </w:r>
          </w:p>
        </w:tc>
        <w:tc>
          <w:tcPr>
            <w:tcW w:w="1418" w:type="dxa"/>
            <w:tcBorders>
              <w:top w:val="single" w:sz="4" w:space="0" w:color="auto"/>
              <w:left w:val="single" w:sz="4" w:space="0" w:color="auto"/>
              <w:bottom w:val="single" w:sz="4" w:space="0" w:color="auto"/>
              <w:right w:val="single" w:sz="4" w:space="0" w:color="auto"/>
            </w:tcBorders>
            <w:hideMark/>
          </w:tcPr>
          <w:p w14:paraId="6F8A26EE" w14:textId="77777777" w:rsidR="005601D4" w:rsidRPr="00C45157" w:rsidRDefault="005601D4">
            <w:pPr>
              <w:spacing w:before="420" w:after="120"/>
              <w:rPr>
                <w:rFonts w:ascii="KievitPro-Regular" w:hAnsi="KievitPro-Regular" w:cs="Arial"/>
              </w:rPr>
            </w:pPr>
            <w:r w:rsidRPr="00C45157">
              <w:rPr>
                <w:rFonts w:ascii="KievitPro-Regular" w:hAnsi="KievitPro-Regular"/>
              </w:rPr>
              <w:t>approuvé</w:t>
            </w:r>
          </w:p>
        </w:tc>
      </w:tr>
    </w:tbl>
    <w:p w14:paraId="0EFBDEC8" w14:textId="77777777" w:rsidR="00BF5D9C" w:rsidRPr="00C45157" w:rsidRDefault="00BF5D9C" w:rsidP="00BF5D9C">
      <w:pPr>
        <w:pStyle w:val="KeinLeerraum"/>
        <w:ind w:left="792"/>
        <w:rPr>
          <w:rFonts w:ascii="KievitPro-Regular" w:hAnsi="KievitPro-Regular"/>
          <w:b/>
          <w:sz w:val="22"/>
          <w:szCs w:val="22"/>
        </w:rPr>
      </w:pPr>
      <w:bookmarkStart w:id="59" w:name="_Toc141092112"/>
    </w:p>
    <w:p w14:paraId="1EBE78B7" w14:textId="43938FAE" w:rsidR="005601D4" w:rsidRPr="00C45157" w:rsidRDefault="005601D4" w:rsidP="00E74884">
      <w:pPr>
        <w:pStyle w:val="KeinLeerraum"/>
        <w:numPr>
          <w:ilvl w:val="1"/>
          <w:numId w:val="38"/>
        </w:numPr>
        <w:rPr>
          <w:rFonts w:ascii="KievitPro-Regular" w:hAnsi="KievitPro-Regular"/>
          <w:b/>
          <w:sz w:val="22"/>
          <w:szCs w:val="22"/>
        </w:rPr>
      </w:pPr>
      <w:r w:rsidRPr="00C45157">
        <w:rPr>
          <w:rFonts w:ascii="KievitPro-Regular" w:hAnsi="KievitPro-Regular"/>
          <w:b/>
          <w:sz w:val="22"/>
        </w:rPr>
        <w:lastRenderedPageBreak/>
        <w:t>État d’avancement de l’élimination des lacunes constatées dans le cadre des dernières mesures de surveillance au niveau de l’entreprise</w:t>
      </w:r>
      <w:bookmarkEnd w:id="59"/>
    </w:p>
    <w:p w14:paraId="0C29D628" w14:textId="77777777" w:rsidR="005601D4" w:rsidRPr="00C45157" w:rsidRDefault="005601D4" w:rsidP="005601D4">
      <w:pPr>
        <w:pStyle w:val="KeinLeerraum"/>
        <w:ind w:left="792"/>
        <w:rPr>
          <w:rFonts w:ascii="KievitPro-Regular" w:hAnsi="KievitPro-Regular"/>
          <w: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19"/>
        <w:gridCol w:w="2552"/>
        <w:gridCol w:w="1135"/>
        <w:gridCol w:w="1627"/>
        <w:gridCol w:w="1418"/>
      </w:tblGrid>
      <w:tr w:rsidR="005601D4" w:rsidRPr="00C45157" w14:paraId="51564D28" w14:textId="77777777" w:rsidTr="005601D4">
        <w:tc>
          <w:tcPr>
            <w:tcW w:w="2619" w:type="dxa"/>
            <w:tcBorders>
              <w:top w:val="single" w:sz="4" w:space="0" w:color="auto"/>
              <w:left w:val="single" w:sz="4" w:space="0" w:color="auto"/>
              <w:bottom w:val="single" w:sz="4" w:space="0" w:color="auto"/>
              <w:right w:val="single" w:sz="4" w:space="0" w:color="auto"/>
            </w:tcBorders>
            <w:hideMark/>
          </w:tcPr>
          <w:p w14:paraId="3C096F8F" w14:textId="77777777" w:rsidR="005601D4" w:rsidRPr="00C45157" w:rsidRDefault="005601D4">
            <w:pPr>
              <w:spacing w:before="120"/>
              <w:rPr>
                <w:rFonts w:ascii="KievitPro-Regular" w:hAnsi="KievitPro-Regular" w:cs="Arial"/>
                <w:b/>
                <w:bCs/>
              </w:rPr>
            </w:pPr>
            <w:r w:rsidRPr="00C45157">
              <w:rPr>
                <w:rFonts w:ascii="KievitPro-Regular" w:hAnsi="KievitPro-Regular"/>
                <w:b/>
              </w:rPr>
              <w:t>Constatation</w:t>
            </w:r>
          </w:p>
        </w:tc>
        <w:tc>
          <w:tcPr>
            <w:tcW w:w="2552" w:type="dxa"/>
            <w:tcBorders>
              <w:top w:val="single" w:sz="4" w:space="0" w:color="auto"/>
              <w:left w:val="single" w:sz="4" w:space="0" w:color="auto"/>
              <w:bottom w:val="single" w:sz="4" w:space="0" w:color="auto"/>
              <w:right w:val="single" w:sz="4" w:space="0" w:color="auto"/>
            </w:tcBorders>
            <w:hideMark/>
          </w:tcPr>
          <w:p w14:paraId="51098F2C" w14:textId="77777777" w:rsidR="005601D4" w:rsidRPr="00C45157" w:rsidRDefault="005601D4">
            <w:pPr>
              <w:spacing w:before="120"/>
              <w:rPr>
                <w:rFonts w:ascii="KievitPro-Regular" w:hAnsi="KievitPro-Regular" w:cs="Arial"/>
                <w:b/>
                <w:bCs/>
              </w:rPr>
            </w:pPr>
            <w:r w:rsidRPr="00C45157">
              <w:rPr>
                <w:rFonts w:ascii="KievitPro-Regular" w:hAnsi="KievitPro-Regular"/>
                <w:b/>
              </w:rPr>
              <w:t>Recommandation découlant de la dernière surveillance</w:t>
            </w:r>
          </w:p>
        </w:tc>
        <w:tc>
          <w:tcPr>
            <w:tcW w:w="1135" w:type="dxa"/>
            <w:tcBorders>
              <w:top w:val="single" w:sz="4" w:space="0" w:color="auto"/>
              <w:left w:val="single" w:sz="4" w:space="0" w:color="auto"/>
              <w:bottom w:val="single" w:sz="4" w:space="0" w:color="auto"/>
              <w:right w:val="single" w:sz="4" w:space="0" w:color="auto"/>
            </w:tcBorders>
            <w:hideMark/>
          </w:tcPr>
          <w:p w14:paraId="76C67D19" w14:textId="77777777" w:rsidR="005601D4" w:rsidRPr="00C45157" w:rsidRDefault="005601D4">
            <w:pPr>
              <w:spacing w:before="120"/>
              <w:rPr>
                <w:rFonts w:ascii="KievitPro-Regular" w:hAnsi="KievitPro-Regular" w:cs="Arial"/>
                <w:b/>
                <w:bCs/>
              </w:rPr>
            </w:pPr>
            <w:r w:rsidRPr="00C45157">
              <w:rPr>
                <w:rFonts w:ascii="KievitPro-Regular" w:hAnsi="KievitPro-Regular"/>
                <w:b/>
              </w:rPr>
              <w:t>Date</w:t>
            </w:r>
          </w:p>
        </w:tc>
        <w:tc>
          <w:tcPr>
            <w:tcW w:w="1627" w:type="dxa"/>
            <w:tcBorders>
              <w:top w:val="single" w:sz="4" w:space="0" w:color="auto"/>
              <w:left w:val="single" w:sz="4" w:space="0" w:color="auto"/>
              <w:bottom w:val="single" w:sz="4" w:space="0" w:color="auto"/>
              <w:right w:val="single" w:sz="4" w:space="0" w:color="auto"/>
            </w:tcBorders>
            <w:hideMark/>
          </w:tcPr>
          <w:p w14:paraId="37BA1A6C" w14:textId="77777777" w:rsidR="005601D4" w:rsidRPr="00C45157" w:rsidRDefault="005601D4">
            <w:pPr>
              <w:spacing w:before="120"/>
              <w:rPr>
                <w:rFonts w:ascii="KievitPro-Regular" w:hAnsi="KievitPro-Regular" w:cs="Arial"/>
                <w:b/>
                <w:bCs/>
              </w:rPr>
            </w:pPr>
            <w:r w:rsidRPr="00C45157">
              <w:rPr>
                <w:rFonts w:ascii="KievitPro-Regular" w:hAnsi="KievitPro-Regular"/>
                <w:b/>
              </w:rPr>
              <w:t>Responsable</w:t>
            </w:r>
          </w:p>
        </w:tc>
        <w:tc>
          <w:tcPr>
            <w:tcW w:w="1418" w:type="dxa"/>
            <w:tcBorders>
              <w:top w:val="single" w:sz="4" w:space="0" w:color="auto"/>
              <w:left w:val="single" w:sz="4" w:space="0" w:color="auto"/>
              <w:bottom w:val="single" w:sz="4" w:space="0" w:color="auto"/>
              <w:right w:val="single" w:sz="4" w:space="0" w:color="auto"/>
            </w:tcBorders>
            <w:hideMark/>
          </w:tcPr>
          <w:p w14:paraId="79948243" w14:textId="77777777" w:rsidR="005601D4" w:rsidRPr="00C45157" w:rsidRDefault="005601D4">
            <w:pPr>
              <w:spacing w:before="120"/>
              <w:rPr>
                <w:rFonts w:ascii="KievitPro-Regular" w:hAnsi="KievitPro-Regular" w:cs="Arial"/>
                <w:b/>
                <w:bCs/>
              </w:rPr>
            </w:pPr>
            <w:r w:rsidRPr="00C45157">
              <w:rPr>
                <w:rFonts w:ascii="KievitPro-Regular" w:hAnsi="KievitPro-Regular"/>
                <w:b/>
              </w:rPr>
              <w:t xml:space="preserve">Prise de position / état </w:t>
            </w:r>
          </w:p>
        </w:tc>
      </w:tr>
      <w:tr w:rsidR="005601D4" w:rsidRPr="00C45157" w14:paraId="211B4254" w14:textId="77777777" w:rsidTr="005601D4">
        <w:tc>
          <w:tcPr>
            <w:tcW w:w="2619" w:type="dxa"/>
            <w:tcBorders>
              <w:top w:val="single" w:sz="4" w:space="0" w:color="auto"/>
              <w:left w:val="single" w:sz="4" w:space="0" w:color="auto"/>
              <w:bottom w:val="single" w:sz="4" w:space="0" w:color="auto"/>
              <w:right w:val="single" w:sz="4" w:space="0" w:color="auto"/>
            </w:tcBorders>
          </w:tcPr>
          <w:p w14:paraId="76DAEB71" w14:textId="77777777" w:rsidR="005601D4" w:rsidRPr="00C45157" w:rsidRDefault="005601D4">
            <w:pPr>
              <w:spacing w:before="120" w:after="120"/>
              <w:rPr>
                <w:rFonts w:ascii="KievitPro-Regular" w:hAnsi="KievitPro-Regular" w:cs="Arial"/>
                <w:b/>
              </w:rPr>
            </w:pPr>
            <w:r w:rsidRPr="00C45157">
              <w:rPr>
                <w:rFonts w:ascii="KievitPro-Regular" w:hAnsi="KievitPro-Regular"/>
                <w:b/>
              </w:rPr>
              <w:t>Manuel AQ :</w:t>
            </w:r>
          </w:p>
          <w:p w14:paraId="47874E2E" w14:textId="77777777" w:rsidR="005601D4" w:rsidRPr="00C45157" w:rsidRDefault="005601D4">
            <w:pPr>
              <w:spacing w:before="120" w:after="120"/>
              <w:rPr>
                <w:rFonts w:ascii="KievitPro-Regular" w:hAnsi="KievitPro-Regular" w:cs="Arial"/>
              </w:rPr>
            </w:pPr>
            <w:r w:rsidRPr="00C45157">
              <w:rPr>
                <w:rFonts w:ascii="KievitPro-Regular" w:hAnsi="KievitPro-Regular"/>
              </w:rPr>
              <w:t xml:space="preserve">Le manuel </w:t>
            </w:r>
            <w:r w:rsidRPr="00C45157">
              <w:rPr>
                <w:rFonts w:ascii="KievitPro-Regular" w:hAnsi="KievitPro-Regular"/>
                <w:highlight w:val="yellow"/>
              </w:rPr>
              <w:t>AQ</w:t>
            </w:r>
            <w:r w:rsidRPr="00C45157">
              <w:rPr>
                <w:rFonts w:ascii="KievitPro-Regular" w:hAnsi="KievitPro-Regular"/>
              </w:rPr>
              <w:t xml:space="preserve"> existant n’a pas été mis à jour à la version 2022.</w:t>
            </w:r>
          </w:p>
          <w:p w14:paraId="2CCF0591" w14:textId="77777777" w:rsidR="005601D4" w:rsidRPr="00C45157" w:rsidRDefault="005601D4">
            <w:pPr>
              <w:rPr>
                <w:rFonts w:ascii="KievitPro-Regular" w:hAnsi="KievitPro-Regular" w:cs="Arial"/>
              </w:rPr>
            </w:pPr>
          </w:p>
        </w:tc>
        <w:tc>
          <w:tcPr>
            <w:tcW w:w="2552" w:type="dxa"/>
            <w:tcBorders>
              <w:top w:val="single" w:sz="4" w:space="0" w:color="auto"/>
              <w:left w:val="single" w:sz="4" w:space="0" w:color="auto"/>
              <w:bottom w:val="single" w:sz="4" w:space="0" w:color="auto"/>
              <w:right w:val="single" w:sz="4" w:space="0" w:color="auto"/>
            </w:tcBorders>
            <w:hideMark/>
          </w:tcPr>
          <w:p w14:paraId="1D1550C3" w14:textId="77777777" w:rsidR="005601D4" w:rsidRPr="00C45157" w:rsidRDefault="005601D4">
            <w:pPr>
              <w:spacing w:before="420" w:after="120"/>
              <w:rPr>
                <w:rFonts w:ascii="KievitPro-Regular" w:hAnsi="KievitPro-Regular" w:cs="Arial"/>
              </w:rPr>
            </w:pPr>
            <w:r w:rsidRPr="00C45157">
              <w:rPr>
                <w:rFonts w:ascii="KievitPro-Regular" w:hAnsi="KievitPro-Regular"/>
              </w:rPr>
              <w:t xml:space="preserve">Il convient de contrôler l’intégralité et l’actualité du </w:t>
            </w:r>
            <w:r w:rsidRPr="00C45157">
              <w:rPr>
                <w:rFonts w:ascii="KievitPro-Regular" w:hAnsi="KievitPro-Regular"/>
                <w:highlight w:val="yellow"/>
              </w:rPr>
              <w:t>manuel AQ</w:t>
            </w:r>
            <w:r w:rsidRPr="00C45157">
              <w:rPr>
                <w:rFonts w:ascii="KievitPro-Regular" w:hAnsi="KievitPro-Regular"/>
              </w:rPr>
              <w:t xml:space="preserve"> à intervalles réguliers (au moins une fois par an). Nous recommandons de contrôler les modifications en permanence et de les intégrer au manuel </w:t>
            </w:r>
            <w:r w:rsidRPr="00C45157">
              <w:rPr>
                <w:rFonts w:ascii="KievitPro-Regular" w:hAnsi="KievitPro-Regular"/>
                <w:highlight w:val="yellow"/>
              </w:rPr>
              <w:t>AQ</w:t>
            </w:r>
            <w:r w:rsidRPr="00C45157">
              <w:rPr>
                <w:rFonts w:ascii="KievitPro-Regular" w:hAnsi="KievitPro-Regular"/>
              </w:rPr>
              <w:t xml:space="preserve"> existant.</w:t>
            </w:r>
          </w:p>
        </w:tc>
        <w:tc>
          <w:tcPr>
            <w:tcW w:w="1135" w:type="dxa"/>
            <w:tcBorders>
              <w:top w:val="single" w:sz="4" w:space="0" w:color="auto"/>
              <w:left w:val="single" w:sz="4" w:space="0" w:color="auto"/>
              <w:bottom w:val="single" w:sz="4" w:space="0" w:color="auto"/>
              <w:right w:val="single" w:sz="4" w:space="0" w:color="auto"/>
            </w:tcBorders>
            <w:hideMark/>
          </w:tcPr>
          <w:p w14:paraId="55C80E72" w14:textId="4A45F34B" w:rsidR="005601D4" w:rsidRPr="00C45157" w:rsidRDefault="005601D4">
            <w:pPr>
              <w:spacing w:before="420" w:after="120"/>
              <w:rPr>
                <w:rFonts w:ascii="KievitPro-Regular" w:hAnsi="KievitPro-Regular" w:cs="Arial"/>
              </w:rPr>
            </w:pPr>
            <w:r w:rsidRPr="00C45157">
              <w:rPr>
                <w:rFonts w:ascii="KievitPro-Regular" w:hAnsi="KievitPro-Regular"/>
              </w:rPr>
              <w:t>31.12.202</w:t>
            </w:r>
            <w:r w:rsidR="00B54633" w:rsidRPr="00C45157">
              <w:rPr>
                <w:rFonts w:ascii="KievitPro-Regular" w:hAnsi="KievitPro-Regular"/>
              </w:rPr>
              <w:t>6</w:t>
            </w:r>
          </w:p>
        </w:tc>
        <w:tc>
          <w:tcPr>
            <w:tcW w:w="1627" w:type="dxa"/>
            <w:tcBorders>
              <w:top w:val="single" w:sz="4" w:space="0" w:color="auto"/>
              <w:left w:val="single" w:sz="4" w:space="0" w:color="auto"/>
              <w:bottom w:val="single" w:sz="4" w:space="0" w:color="auto"/>
              <w:right w:val="single" w:sz="4" w:space="0" w:color="auto"/>
            </w:tcBorders>
            <w:hideMark/>
          </w:tcPr>
          <w:p w14:paraId="76DF21CC" w14:textId="77777777" w:rsidR="005601D4" w:rsidRPr="00C45157" w:rsidRDefault="005601D4">
            <w:pPr>
              <w:spacing w:before="420" w:after="120"/>
              <w:rPr>
                <w:rFonts w:ascii="KievitPro-Regular" w:hAnsi="KievitPro-Regular" w:cs="Arial"/>
              </w:rPr>
            </w:pPr>
            <w:r w:rsidRPr="00C45157">
              <w:rPr>
                <w:rFonts w:ascii="KievitPro-Regular" w:hAnsi="KievitPro-Regular"/>
              </w:rPr>
              <w:t>Direction</w:t>
            </w:r>
          </w:p>
        </w:tc>
        <w:tc>
          <w:tcPr>
            <w:tcW w:w="1418" w:type="dxa"/>
            <w:tcBorders>
              <w:top w:val="single" w:sz="4" w:space="0" w:color="auto"/>
              <w:left w:val="single" w:sz="4" w:space="0" w:color="auto"/>
              <w:bottom w:val="single" w:sz="4" w:space="0" w:color="auto"/>
              <w:right w:val="single" w:sz="4" w:space="0" w:color="auto"/>
            </w:tcBorders>
            <w:hideMark/>
          </w:tcPr>
          <w:p w14:paraId="69208F03" w14:textId="4BC63E8C" w:rsidR="005601D4" w:rsidRPr="00C45157" w:rsidRDefault="00B54633">
            <w:pPr>
              <w:spacing w:before="420" w:after="120"/>
              <w:rPr>
                <w:rFonts w:ascii="KievitPro-Regular" w:hAnsi="KievitPro-Regular" w:cs="Arial"/>
                <w:b/>
              </w:rPr>
            </w:pPr>
            <w:r w:rsidRPr="00C45157">
              <w:rPr>
                <w:rFonts w:ascii="KievitPro-Regular" w:hAnsi="KievitPro-Regular"/>
                <w:b/>
              </w:rPr>
              <w:t>Exécuté</w:t>
            </w:r>
          </w:p>
        </w:tc>
      </w:tr>
    </w:tbl>
    <w:p w14:paraId="2DCC5AFF" w14:textId="77777777" w:rsidR="005601D4" w:rsidRPr="00C45157" w:rsidRDefault="005601D4" w:rsidP="005601D4">
      <w:pPr>
        <w:ind w:left="360"/>
        <w:rPr>
          <w:rFonts w:ascii="KievitPro-Regular" w:hAnsi="KievitPro-Regular" w:cs="Arial"/>
        </w:rPr>
      </w:pPr>
    </w:p>
    <w:p w14:paraId="13CBB13F" w14:textId="77777777" w:rsidR="005601D4" w:rsidRPr="00C45157" w:rsidRDefault="005601D4" w:rsidP="005601D4">
      <w:pPr>
        <w:ind w:left="360"/>
        <w:rPr>
          <w:rFonts w:ascii="KievitPro-Regular" w:hAnsi="KievitPro-Regular" w:cs="Arial"/>
        </w:rPr>
      </w:pPr>
    </w:p>
    <w:p w14:paraId="085B71BE" w14:textId="77777777" w:rsidR="005601D4" w:rsidRPr="00C45157" w:rsidRDefault="005601D4" w:rsidP="005601D4">
      <w:pPr>
        <w:ind w:left="360"/>
        <w:rPr>
          <w:rFonts w:ascii="KievitPro-Regular" w:hAnsi="KievitPro-Regular" w:cs="Arial"/>
          <w:b/>
          <w:i/>
          <w:sz w:val="24"/>
          <w:szCs w:val="24"/>
        </w:rPr>
      </w:pPr>
      <w:r w:rsidRPr="00C45157">
        <w:rPr>
          <w:rFonts w:ascii="KievitPro-Regular" w:hAnsi="KievitPro-Regular"/>
          <w:b/>
          <w:i/>
          <w:sz w:val="24"/>
        </w:rPr>
        <w:t>Alternative</w:t>
      </w:r>
    </w:p>
    <w:p w14:paraId="37272DD0" w14:textId="77777777" w:rsidR="005601D4" w:rsidRPr="00C45157" w:rsidRDefault="005601D4" w:rsidP="005601D4">
      <w:pPr>
        <w:ind w:left="360"/>
        <w:rPr>
          <w:rFonts w:ascii="KievitPro-Regular" w:hAnsi="KievitPro-Regular" w:cs="Arial"/>
          <w:sz w:val="22"/>
          <w:szCs w:val="22"/>
        </w:rPr>
      </w:pPr>
    </w:p>
    <w:p w14:paraId="75154958" w14:textId="77777777" w:rsidR="005601D4" w:rsidRPr="00C45157" w:rsidRDefault="005601D4" w:rsidP="005601D4">
      <w:pPr>
        <w:spacing w:line="480" w:lineRule="auto"/>
        <w:rPr>
          <w:rFonts w:ascii="KievitPro-Regular" w:hAnsi="KievitPro-Regular" w:cs="Arial"/>
          <w:sz w:val="22"/>
          <w:szCs w:val="22"/>
        </w:rPr>
      </w:pPr>
      <w:r w:rsidRPr="00C45157">
        <w:rPr>
          <w:rFonts w:ascii="KievitPro-Regular" w:hAnsi="KievitPro-Regular"/>
          <w:sz w:val="22"/>
        </w:rPr>
        <w:t>Il s’agit de la première surveillance interne exécutée par nos soins.</w:t>
      </w:r>
    </w:p>
    <w:p w14:paraId="4CABAB6E" w14:textId="77777777" w:rsidR="005601D4" w:rsidRPr="00C45157" w:rsidRDefault="005601D4" w:rsidP="00E74884">
      <w:pPr>
        <w:pStyle w:val="KeinLeerraum"/>
        <w:numPr>
          <w:ilvl w:val="0"/>
          <w:numId w:val="38"/>
        </w:numPr>
        <w:spacing w:line="360" w:lineRule="auto"/>
        <w:rPr>
          <w:rFonts w:ascii="KievitPro-Regular" w:hAnsi="KievitPro-Regular"/>
          <w:b/>
          <w:sz w:val="22"/>
          <w:szCs w:val="22"/>
        </w:rPr>
      </w:pPr>
      <w:bookmarkStart w:id="60" w:name="_Toc141092113"/>
      <w:r w:rsidRPr="00C45157">
        <w:rPr>
          <w:rFonts w:ascii="KievitPro-Regular" w:hAnsi="KievitPro-Regular"/>
          <w:b/>
          <w:sz w:val="22"/>
        </w:rPr>
        <w:t>Propositions d’amélioration et mesures déjà mises en place</w:t>
      </w:r>
      <w:bookmarkEnd w:id="60"/>
    </w:p>
    <w:p w14:paraId="70DC7B8A" w14:textId="77777777" w:rsidR="005601D4" w:rsidRPr="00C45157" w:rsidRDefault="005601D4" w:rsidP="005601D4">
      <w:pPr>
        <w:rPr>
          <w:rFonts w:ascii="KievitPro-Regular" w:hAnsi="KievitPro-Regular" w:cs="Arial"/>
          <w:sz w:val="22"/>
          <w:szCs w:val="22"/>
        </w:rPr>
      </w:pPr>
      <w:r w:rsidRPr="00C45157">
        <w:rPr>
          <w:rFonts w:ascii="KievitPro-Regular" w:hAnsi="KievitPro-Regular"/>
          <w:sz w:val="22"/>
        </w:rPr>
        <w:t>Les recommandations sont retenues aux points 3.1 et 3.2. Les propositions seront portées à l’ordre du jour pour la prochaine réunion de la direction, et des mesures seront proposées.</w:t>
      </w:r>
    </w:p>
    <w:p w14:paraId="557C6281" w14:textId="77777777" w:rsidR="005601D4" w:rsidRPr="00C45157" w:rsidRDefault="005601D4" w:rsidP="00E74884">
      <w:pPr>
        <w:pStyle w:val="KeinLeerraum"/>
        <w:numPr>
          <w:ilvl w:val="0"/>
          <w:numId w:val="38"/>
        </w:numPr>
        <w:spacing w:before="240" w:line="360" w:lineRule="auto"/>
        <w:rPr>
          <w:rFonts w:ascii="KievitPro-Regular" w:hAnsi="KievitPro-Regular"/>
          <w:b/>
          <w:sz w:val="22"/>
          <w:szCs w:val="22"/>
        </w:rPr>
      </w:pPr>
      <w:bookmarkStart w:id="61" w:name="_Toc141092114"/>
      <w:r w:rsidRPr="00C45157">
        <w:rPr>
          <w:rFonts w:ascii="KievitPro-Regular" w:hAnsi="KievitPro-Regular"/>
          <w:b/>
          <w:sz w:val="22"/>
        </w:rPr>
        <w:t>Conclusion</w:t>
      </w:r>
      <w:bookmarkEnd w:id="61"/>
    </w:p>
    <w:p w14:paraId="1FDBD4FE" w14:textId="1555D24E" w:rsidR="005601D4" w:rsidRPr="00C45157" w:rsidRDefault="005601D4" w:rsidP="005601D4">
      <w:pPr>
        <w:rPr>
          <w:rFonts w:ascii="KievitPro-Regular" w:hAnsi="KievitPro-Regular" w:cs="Arial"/>
          <w:sz w:val="22"/>
          <w:szCs w:val="22"/>
        </w:rPr>
      </w:pPr>
      <w:r w:rsidRPr="00C45157">
        <w:rPr>
          <w:rFonts w:ascii="KievitPro-Regular" w:hAnsi="KievitPro-Regular"/>
          <w:sz w:val="22"/>
        </w:rPr>
        <w:t xml:space="preserve">Les erreurs et lacunes constatées ont été abordées avec la direction. Les mesures adéquates seront prises jusqu’à la fin de l’année ou jusqu’à </w:t>
      </w:r>
      <w:r w:rsidR="00B54633" w:rsidRPr="00C45157">
        <w:rPr>
          <w:rFonts w:ascii="KievitPro-Regular" w:hAnsi="KievitPro-Regular"/>
          <w:sz w:val="22"/>
        </w:rPr>
        <w:t xml:space="preserve">la révision des comptes annuels de l'exercice suivant. </w:t>
      </w:r>
    </w:p>
    <w:p w14:paraId="4F86DDDA" w14:textId="77777777" w:rsidR="005601D4" w:rsidRPr="00C45157" w:rsidRDefault="005601D4" w:rsidP="005601D4">
      <w:pPr>
        <w:pStyle w:val="Text"/>
        <w:rPr>
          <w:rFonts w:ascii="KievitPro-Regular" w:hAnsi="KievitPro-Regular"/>
          <w:sz w:val="22"/>
          <w:szCs w:val="22"/>
        </w:rPr>
      </w:pPr>
    </w:p>
    <w:p w14:paraId="03F9DC46" w14:textId="77777777" w:rsidR="005601D4" w:rsidRPr="00C45157" w:rsidRDefault="005601D4" w:rsidP="005601D4">
      <w:pPr>
        <w:pStyle w:val="Text"/>
        <w:rPr>
          <w:rFonts w:ascii="KievitPro-Regular" w:hAnsi="KievitPro-Regular"/>
          <w:sz w:val="22"/>
          <w:szCs w:val="22"/>
        </w:rPr>
      </w:pPr>
    </w:p>
    <w:p w14:paraId="2384285F" w14:textId="77777777" w:rsidR="005601D4" w:rsidRPr="00C45157" w:rsidRDefault="005601D4" w:rsidP="005601D4">
      <w:pPr>
        <w:pStyle w:val="Gruss"/>
        <w:rPr>
          <w:rFonts w:ascii="KievitPro-Regular" w:hAnsi="KievitPro-Regular"/>
          <w:sz w:val="22"/>
          <w:szCs w:val="22"/>
        </w:rPr>
      </w:pPr>
      <w:r w:rsidRPr="00C45157">
        <w:rPr>
          <w:rFonts w:ascii="KievitPro-Regular" w:hAnsi="KievitPro-Regular"/>
          <w:sz w:val="22"/>
        </w:rPr>
        <w:t>Meilleures salutations</w:t>
      </w:r>
    </w:p>
    <w:p w14:paraId="200D8E2B" w14:textId="77777777" w:rsidR="005601D4" w:rsidRPr="00C45157" w:rsidRDefault="005601D4" w:rsidP="005601D4">
      <w:pPr>
        <w:pStyle w:val="Text"/>
        <w:rPr>
          <w:rFonts w:ascii="KievitPro-Regular" w:hAnsi="KievitPro-Regular"/>
          <w:sz w:val="22"/>
          <w:szCs w:val="22"/>
        </w:rPr>
      </w:pPr>
    </w:p>
    <w:p w14:paraId="4313D04D" w14:textId="094AD7FB" w:rsidR="005601D4" w:rsidRPr="00C45157" w:rsidRDefault="00B54633" w:rsidP="005601D4">
      <w:pPr>
        <w:pStyle w:val="Firma"/>
        <w:rPr>
          <w:rFonts w:ascii="KievitPro-Regular" w:hAnsi="KievitPro-Regular"/>
          <w:sz w:val="22"/>
          <w:szCs w:val="22"/>
        </w:rPr>
      </w:pPr>
      <w:r w:rsidRPr="00C45157">
        <w:rPr>
          <w:rFonts w:ascii="KievitPro-Regular" w:hAnsi="KievitPro-Regular"/>
          <w:sz w:val="22"/>
        </w:rPr>
        <w:t>Société de révision SA</w:t>
      </w:r>
    </w:p>
    <w:p w14:paraId="6A2AFB27" w14:textId="77777777" w:rsidR="005601D4" w:rsidRPr="00C45157" w:rsidRDefault="005601D4" w:rsidP="005601D4">
      <w:pPr>
        <w:pStyle w:val="Text"/>
        <w:rPr>
          <w:rFonts w:ascii="KievitPro-Regular" w:hAnsi="KievitPro-Regular"/>
        </w:rPr>
      </w:pPr>
    </w:p>
    <w:p w14:paraId="6F253288" w14:textId="77777777" w:rsidR="005601D4" w:rsidRPr="00C45157" w:rsidRDefault="005601D4" w:rsidP="005601D4">
      <w:pPr>
        <w:pStyle w:val="Text"/>
        <w:rPr>
          <w:rFonts w:ascii="KievitPro-Regular" w:hAnsi="KievitPro-Regular"/>
        </w:rPr>
      </w:pPr>
    </w:p>
    <w:p w14:paraId="01107DAD" w14:textId="77777777" w:rsidR="005601D4" w:rsidRPr="00C45157" w:rsidRDefault="005601D4" w:rsidP="005601D4">
      <w:pPr>
        <w:pStyle w:val="Text"/>
        <w:rPr>
          <w:rFonts w:ascii="KievitPro-Regular" w:hAnsi="KievitPro-Regular"/>
          <w:sz w:val="22"/>
          <w:szCs w:val="22"/>
        </w:rPr>
      </w:pPr>
    </w:p>
    <w:p w14:paraId="70B20978" w14:textId="77777777" w:rsidR="005601D4" w:rsidRPr="00C45157" w:rsidRDefault="005601D4" w:rsidP="005601D4">
      <w:pPr>
        <w:pStyle w:val="Unterschrift1"/>
        <w:tabs>
          <w:tab w:val="left" w:pos="4820"/>
        </w:tabs>
        <w:rPr>
          <w:rFonts w:ascii="KievitPro-Regular" w:hAnsi="KievitPro-Regular"/>
          <w:sz w:val="20"/>
        </w:rPr>
      </w:pPr>
      <w:r w:rsidRPr="00C45157">
        <w:rPr>
          <w:rFonts w:ascii="KievitPro-Regular" w:hAnsi="KievitPro-Regular"/>
          <w:sz w:val="22"/>
        </w:rPr>
        <w:t>Prénom modèle Nom modèle</w:t>
      </w:r>
      <w:r w:rsidRPr="00C45157">
        <w:rPr>
          <w:rFonts w:ascii="KievitPro-Regular" w:hAnsi="KievitPro-Regular"/>
          <w:sz w:val="20"/>
        </w:rPr>
        <w:tab/>
      </w:r>
    </w:p>
    <w:p w14:paraId="79224690" w14:textId="00D40BB5" w:rsidR="0043211C" w:rsidRPr="00C45157" w:rsidRDefault="0043211C" w:rsidP="005601D4">
      <w:pPr>
        <w:pStyle w:val="Unterschrift1"/>
        <w:tabs>
          <w:tab w:val="left" w:pos="4820"/>
        </w:tabs>
        <w:rPr>
          <w:rFonts w:ascii="KievitPro-Regular" w:hAnsi="KievitPro-Regular"/>
          <w:i/>
          <w:iCs/>
        </w:rPr>
      </w:pPr>
      <w:r w:rsidRPr="00C45157">
        <w:rPr>
          <w:rFonts w:ascii="KievitPro-Regular" w:hAnsi="KievitPro-Regular"/>
          <w:i/>
          <w:iCs/>
        </w:rPr>
        <w:t>Réviseur agréé ou expert-réviseur agréé</w:t>
      </w:r>
      <w:r w:rsidR="005601D4" w:rsidRPr="00C45157">
        <w:rPr>
          <w:rFonts w:ascii="KievitPro-Regular" w:hAnsi="KievitPro-Regular"/>
          <w:i/>
          <w:iCs/>
        </w:rPr>
        <w:tab/>
      </w:r>
    </w:p>
    <w:p w14:paraId="73B57005" w14:textId="77777777" w:rsidR="0043211C" w:rsidRPr="00C45157" w:rsidRDefault="0043211C">
      <w:pPr>
        <w:jc w:val="left"/>
        <w:rPr>
          <w:rFonts w:ascii="KievitPro-Regular" w:hAnsi="KievitPro-Regular" w:cs="Arial"/>
          <w:i/>
          <w:iCs/>
          <w:snapToGrid/>
          <w:sz w:val="16"/>
          <w:szCs w:val="24"/>
        </w:rPr>
      </w:pPr>
      <w:r w:rsidRPr="00C45157">
        <w:rPr>
          <w:rFonts w:ascii="KievitPro-Regular" w:hAnsi="KievitPro-Regular"/>
          <w:i/>
          <w:iCs/>
        </w:rPr>
        <w:br w:type="page"/>
      </w:r>
    </w:p>
    <w:p w14:paraId="5ED5363F" w14:textId="492D91C2" w:rsidR="0043211C" w:rsidRPr="00C45157" w:rsidRDefault="0043211C" w:rsidP="0043211C">
      <w:pPr>
        <w:pStyle w:val="berschrift1"/>
        <w:keepNext w:val="0"/>
        <w:numPr>
          <w:ilvl w:val="1"/>
          <w:numId w:val="17"/>
        </w:numPr>
        <w:spacing w:before="480" w:after="240" w:line="276" w:lineRule="auto"/>
        <w:contextualSpacing/>
        <w:jc w:val="left"/>
        <w:rPr>
          <w:rFonts w:ascii="KievitPro-Regular" w:hAnsi="KievitPro-Regular" w:cs="Arial"/>
          <w:smallCaps/>
          <w:snapToGrid/>
          <w:spacing w:val="5"/>
          <w:kern w:val="0"/>
          <w:sz w:val="24"/>
          <w:szCs w:val="24"/>
          <w:lang w:eastAsia="en-US"/>
        </w:rPr>
      </w:pPr>
      <w:bookmarkStart w:id="62" w:name="_Toc231482660"/>
      <w:r w:rsidRPr="00C45157">
        <w:rPr>
          <w:rFonts w:ascii="KievitPro-Regular" w:hAnsi="KievitPro-Regular" w:cs="Arial"/>
          <w:smallCaps/>
          <w:snapToGrid/>
          <w:spacing w:val="5"/>
          <w:kern w:val="0"/>
          <w:sz w:val="24"/>
          <w:szCs w:val="24"/>
          <w:lang w:eastAsia="en-US"/>
        </w:rPr>
        <w:lastRenderedPageBreak/>
        <w:t>Manuel modèle de gestion de la qualité selon l’IGQ</w:t>
      </w:r>
      <w:bookmarkEnd w:id="62"/>
    </w:p>
    <w:p w14:paraId="6D5262D4" w14:textId="77777777" w:rsidR="00243C2A" w:rsidRPr="00C45157" w:rsidRDefault="00243C2A" w:rsidP="00243C2A">
      <w:pPr>
        <w:rPr>
          <w:rFonts w:ascii="KievitPro-Regular" w:hAnsi="KievitPro-Regular"/>
          <w:sz w:val="22"/>
          <w:szCs w:val="22"/>
          <w:lang w:eastAsia="en-US"/>
        </w:rPr>
      </w:pPr>
    </w:p>
    <w:p w14:paraId="6B7A029C" w14:textId="63DBED34" w:rsidR="0043211C" w:rsidRPr="00C45157" w:rsidRDefault="0043211C" w:rsidP="00243C2A">
      <w:pPr>
        <w:pStyle w:val="Unterschrift1"/>
        <w:tabs>
          <w:tab w:val="left" w:pos="4820"/>
        </w:tabs>
        <w:rPr>
          <w:rFonts w:ascii="KievitPro-Regular" w:hAnsi="KievitPro-Regular"/>
          <w:sz w:val="22"/>
          <w:szCs w:val="22"/>
        </w:rPr>
      </w:pPr>
      <w:r w:rsidRPr="00C45157">
        <w:rPr>
          <w:rFonts w:ascii="KievitPro-Regular" w:hAnsi="KievitPro-Regular"/>
          <w:sz w:val="22"/>
          <w:szCs w:val="22"/>
        </w:rPr>
        <w:t xml:space="preserve">Le manuel modèle de gestion de la qualité est mis gratuitement à la disposition des membres dans </w:t>
      </w:r>
      <w:r w:rsidR="00F07456" w:rsidRPr="00C45157">
        <w:rPr>
          <w:rFonts w:ascii="KievitPro-Regular" w:hAnsi="KievitPro-Regular"/>
          <w:sz w:val="22"/>
          <w:szCs w:val="22"/>
        </w:rPr>
        <w:t>la section des membres de</w:t>
      </w:r>
      <w:r w:rsidRPr="00C45157">
        <w:rPr>
          <w:rFonts w:ascii="KievitPro-Regular" w:hAnsi="KievitPro-Regular"/>
          <w:sz w:val="22"/>
          <w:szCs w:val="22"/>
        </w:rPr>
        <w:t xml:space="preserve"> FIDUCIAIRE|SUISSE.</w:t>
      </w:r>
    </w:p>
    <w:p w14:paraId="0E386FF4" w14:textId="77777777" w:rsidR="005601D4" w:rsidRPr="00C45157" w:rsidRDefault="005601D4" w:rsidP="005601D4">
      <w:pPr>
        <w:pStyle w:val="Unterschrift1"/>
        <w:tabs>
          <w:tab w:val="left" w:pos="4820"/>
        </w:tabs>
        <w:rPr>
          <w:rFonts w:ascii="KievitPro-Regular" w:hAnsi="KievitPro-Regular"/>
          <w:i/>
          <w:iCs/>
        </w:rPr>
      </w:pPr>
    </w:p>
    <w:sectPr w:rsidR="005601D4" w:rsidRPr="00C45157" w:rsidSect="005601D4">
      <w:headerReference w:type="default" r:id="rId12"/>
      <w:footerReference w:type="default" r:id="rId13"/>
      <w:headerReference w:type="first" r:id="rId14"/>
      <w:footerReference w:type="first" r:id="rId15"/>
      <w:pgSz w:w="11907" w:h="16840"/>
      <w:pgMar w:top="1418" w:right="992" w:bottom="851" w:left="1418" w:header="0" w:footer="17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E0A5" w14:textId="77777777" w:rsidR="00FC09D0" w:rsidRPr="00255F95" w:rsidRDefault="00FC09D0">
      <w:r w:rsidRPr="00255F95">
        <w:separator/>
      </w:r>
    </w:p>
  </w:endnote>
  <w:endnote w:type="continuationSeparator" w:id="0">
    <w:p w14:paraId="35220A46" w14:textId="77777777" w:rsidR="00FC09D0" w:rsidRPr="00255F95" w:rsidRDefault="00FC09D0">
      <w:r w:rsidRPr="00255F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ievitPro-Regular">
    <w:altName w:val="Calibri"/>
    <w:panose1 w:val="00000000000000000000"/>
    <w:charset w:val="00"/>
    <w:family w:val="swiss"/>
    <w:notTrueType/>
    <w:pitch w:val="variable"/>
    <w:sig w:usb0="A00002FF" w:usb1="4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529883"/>
      <w:docPartObj>
        <w:docPartGallery w:val="Page Numbers (Bottom of Page)"/>
        <w:docPartUnique/>
      </w:docPartObj>
    </w:sdtPr>
    <w:sdtContent>
      <w:p w14:paraId="128D5518" w14:textId="1B60A846" w:rsidR="0015513E" w:rsidRPr="00255F95" w:rsidRDefault="005601D4" w:rsidP="0015513E">
        <w:pPr>
          <w:pStyle w:val="Fuzeile"/>
          <w:jc w:val="center"/>
        </w:pPr>
        <w:r w:rsidRPr="00255F95">
          <w:rPr>
            <w:rFonts w:ascii="KievitPro-Regular" w:hAnsi="KievitPro-Regular"/>
          </w:rPr>
          <w:fldChar w:fldCharType="begin"/>
        </w:r>
        <w:r w:rsidRPr="00255F95">
          <w:rPr>
            <w:rFonts w:ascii="KievitPro-Regular" w:hAnsi="KievitPro-Regular"/>
          </w:rPr>
          <w:instrText xml:space="preserve"> PAGE   \* MERGEFORMAT </w:instrText>
        </w:r>
        <w:r w:rsidRPr="00255F95">
          <w:rPr>
            <w:rFonts w:ascii="KievitPro-Regular" w:hAnsi="KievitPro-Regular"/>
          </w:rPr>
          <w:fldChar w:fldCharType="separate"/>
        </w:r>
        <w:r w:rsidR="00F94B17" w:rsidRPr="00255F95">
          <w:rPr>
            <w:rFonts w:ascii="KievitPro-Regular" w:hAnsi="KievitPro-Regular"/>
          </w:rPr>
          <w:t>3</w:t>
        </w:r>
        <w:r w:rsidRPr="00255F95">
          <w:rPr>
            <w:rFonts w:ascii="KievitPro-Regular" w:hAnsi="KievitPro-Regular"/>
          </w:rPr>
          <w:fldChar w:fldCharType="end"/>
        </w:r>
        <w:r w:rsidR="00985540" w:rsidRPr="00255F95">
          <w:rPr>
            <w:rFonts w:ascii="KievitPro-Regular" w:hAnsi="KievitPro-Regular"/>
          </w:rPr>
          <w:tab/>
        </w:r>
        <w:r w:rsidR="00985540" w:rsidRPr="00255F95">
          <w:rPr>
            <w:rFonts w:ascii="KievitPro-Regular" w:hAnsi="KievitPro-Regular"/>
          </w:rPr>
          <w:tab/>
          <w:t>www.fiduciairesuisse.ch</w:t>
        </w:r>
        <w:r w:rsidR="000027D7" w:rsidRPr="00255F95">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573571"/>
      <w:docPartObj>
        <w:docPartGallery w:val="Page Numbers (Bottom of Page)"/>
        <w:docPartUnique/>
      </w:docPartObj>
    </w:sdtPr>
    <w:sdtEndPr>
      <w:rPr>
        <w:rFonts w:ascii="KievitPro-Regular" w:hAnsi="KievitPro-Regular"/>
      </w:rPr>
    </w:sdtEndPr>
    <w:sdtContent>
      <w:p w14:paraId="367DFB9E" w14:textId="6B3A83DF" w:rsidR="00E80C21" w:rsidRPr="00255F95" w:rsidRDefault="00E80C21" w:rsidP="00E80C21">
        <w:pPr>
          <w:pStyle w:val="Fuzeile"/>
          <w:rPr>
            <w:rFonts w:ascii="KievitPro-Regular" w:hAnsi="KievitPro-Regular"/>
          </w:rPr>
        </w:pPr>
        <w:r w:rsidRPr="00255F95">
          <w:rPr>
            <w:rFonts w:ascii="KievitPro-Regular" w:hAnsi="KievitPro-Regular"/>
          </w:rPr>
          <w:tab/>
        </w:r>
        <w:r w:rsidRPr="00255F95">
          <w:rPr>
            <w:rFonts w:ascii="KievitPro-Regular" w:hAnsi="KievitPro-Regular"/>
          </w:rPr>
          <w:tab/>
          <w:t>www.fiduciairesuisse.ch</w:t>
        </w:r>
      </w:p>
    </w:sdtContent>
  </w:sdt>
  <w:p w14:paraId="7FB366B5" w14:textId="0AA6A7BF" w:rsidR="0015513E" w:rsidRPr="00255F95" w:rsidRDefault="001551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C460" w14:textId="77777777" w:rsidR="00FC09D0" w:rsidRPr="00255F95" w:rsidRDefault="00FC09D0">
      <w:r w:rsidRPr="00255F95">
        <w:separator/>
      </w:r>
    </w:p>
  </w:footnote>
  <w:footnote w:type="continuationSeparator" w:id="0">
    <w:p w14:paraId="56F9C6B9" w14:textId="77777777" w:rsidR="00FC09D0" w:rsidRPr="00255F95" w:rsidRDefault="00FC09D0">
      <w:r w:rsidRPr="00255F95">
        <w:continuationSeparator/>
      </w:r>
    </w:p>
  </w:footnote>
  <w:footnote w:id="1">
    <w:p w14:paraId="0BE15420" w14:textId="5FAF9CC3" w:rsidR="00D709F2" w:rsidRPr="00255F95" w:rsidRDefault="00D709F2" w:rsidP="00D13467">
      <w:pPr>
        <w:pStyle w:val="Funotentext"/>
        <w:spacing w:before="60" w:after="60"/>
        <w:rPr>
          <w:sz w:val="14"/>
          <w:szCs w:val="14"/>
        </w:rPr>
      </w:pPr>
      <w:r w:rsidRPr="00255F95">
        <w:rPr>
          <w:rStyle w:val="Funotenzeichen"/>
          <w:sz w:val="14"/>
          <w:szCs w:val="14"/>
        </w:rPr>
        <w:footnoteRef/>
      </w:r>
      <w:r w:rsidRPr="00255F95">
        <w:rPr>
          <w:sz w:val="14"/>
          <w:szCs w:val="14"/>
        </w:rPr>
        <w:t xml:space="preserve"> Loi fédérale sur la prévoyance professionnelle vieillesse, survivants et invalidité du 25 juin 1982 (LPP ; RS 831.40).</w:t>
      </w:r>
    </w:p>
  </w:footnote>
  <w:footnote w:id="2">
    <w:p w14:paraId="58CC0B0F" w14:textId="6F1DCC8A" w:rsidR="00D709F2" w:rsidRPr="00255F95" w:rsidRDefault="00D709F2" w:rsidP="00D13467">
      <w:pPr>
        <w:pStyle w:val="Funotentext"/>
        <w:spacing w:before="60" w:after="60"/>
        <w:rPr>
          <w:sz w:val="14"/>
          <w:szCs w:val="14"/>
        </w:rPr>
      </w:pPr>
      <w:r w:rsidRPr="00255F95">
        <w:rPr>
          <w:rStyle w:val="Funotenzeichen"/>
          <w:sz w:val="14"/>
          <w:szCs w:val="14"/>
        </w:rPr>
        <w:footnoteRef/>
      </w:r>
      <w:r w:rsidRPr="00255F95">
        <w:rPr>
          <w:sz w:val="14"/>
          <w:szCs w:val="14"/>
        </w:rPr>
        <w:t xml:space="preserve"> Loi fédérale du 26 septembre 2014 sur la surveillance de l’assurance-maladie sociale (LSAMal ; RS 832.12).</w:t>
      </w:r>
    </w:p>
  </w:footnote>
  <w:footnote w:id="3">
    <w:p w14:paraId="3E0E6BD0" w14:textId="653CB2F5" w:rsidR="00D709F2" w:rsidRPr="00255F95" w:rsidRDefault="00D709F2" w:rsidP="00D13467">
      <w:pPr>
        <w:pStyle w:val="Funotentext"/>
        <w:spacing w:before="60" w:after="60"/>
        <w:rPr>
          <w:sz w:val="14"/>
          <w:szCs w:val="14"/>
        </w:rPr>
      </w:pPr>
      <w:r w:rsidRPr="00255F95">
        <w:rPr>
          <w:rStyle w:val="Funotenzeichen"/>
          <w:sz w:val="14"/>
          <w:szCs w:val="14"/>
        </w:rPr>
        <w:footnoteRef/>
      </w:r>
      <w:r w:rsidRPr="00255F95">
        <w:rPr>
          <w:sz w:val="14"/>
          <w:szCs w:val="14"/>
        </w:rPr>
        <w:t xml:space="preserve"> Loi fédérale sur les jeux d’argent du 29 septembre 2017 (LJAr ; RS 935.51).</w:t>
      </w:r>
    </w:p>
  </w:footnote>
  <w:footnote w:id="4">
    <w:p w14:paraId="231E6181" w14:textId="64AA3F56" w:rsidR="00D709F2" w:rsidRPr="00255F95" w:rsidRDefault="00D709F2" w:rsidP="00D13467">
      <w:pPr>
        <w:pStyle w:val="Funotentext"/>
        <w:spacing w:before="60" w:after="60"/>
        <w:rPr>
          <w:sz w:val="14"/>
          <w:szCs w:val="14"/>
        </w:rPr>
      </w:pPr>
      <w:r w:rsidRPr="00255F95">
        <w:rPr>
          <w:rStyle w:val="Funotenzeichen"/>
          <w:sz w:val="14"/>
          <w:szCs w:val="14"/>
        </w:rPr>
        <w:footnoteRef/>
      </w:r>
      <w:r w:rsidRPr="00255F95">
        <w:rPr>
          <w:sz w:val="14"/>
          <w:szCs w:val="14"/>
        </w:rPr>
        <w:t xml:space="preserve"> Loi fédérale sur l’assurance-vieillesse et survivants du 20 décembre 1946 (LAVS ; RS 831.10).</w:t>
      </w:r>
    </w:p>
  </w:footnote>
  <w:footnote w:id="5">
    <w:p w14:paraId="5FE08A96" w14:textId="724CBA61" w:rsidR="00D13467" w:rsidRPr="00255F95" w:rsidRDefault="00D13467" w:rsidP="00D13467">
      <w:pPr>
        <w:pStyle w:val="Funotentext"/>
        <w:spacing w:before="60" w:after="60"/>
        <w:rPr>
          <w:rFonts w:cs="Arial"/>
          <w:sz w:val="14"/>
          <w:szCs w:val="14"/>
        </w:rPr>
      </w:pPr>
      <w:r w:rsidRPr="00255F95">
        <w:rPr>
          <w:rStyle w:val="Funotenzeichen"/>
          <w:sz w:val="14"/>
          <w:szCs w:val="14"/>
        </w:rPr>
        <w:footnoteRef/>
      </w:r>
      <w:r w:rsidRPr="00255F95">
        <w:rPr>
          <w:sz w:val="14"/>
          <w:szCs w:val="14"/>
        </w:rPr>
        <w:t xml:space="preserve"> </w:t>
      </w:r>
      <w:r w:rsidRPr="00255F95">
        <w:rPr>
          <w:rFonts w:cs="Arial"/>
          <w:color w:val="333333"/>
          <w:sz w:val="14"/>
          <w:szCs w:val="14"/>
        </w:rPr>
        <w:t>L’Autorité fédérale de surveillance en matière de révision (ASR) a publié, dans une circulaire (« Circ. 1/2014 concernant l’assurance-qualité interne des entreprises de révision »), des précisions relatives aux normes applicables au système interne de gestion de la qualité des entreprises de révision. En outre, l’annexe de cette circulaire contient un tableau récapitulatif relatif à la gestion de la qualité des prestations de révision prescrites par la loi, dont peuvent être déduites les exigences minimales applicables au système interne de gestion de la qualité.</w:t>
      </w:r>
    </w:p>
  </w:footnote>
  <w:footnote w:id="6">
    <w:p w14:paraId="0DA925FF" w14:textId="3064F5EA" w:rsidR="00532D72" w:rsidRPr="00255F95" w:rsidRDefault="00532D72" w:rsidP="00532D72">
      <w:pPr>
        <w:pStyle w:val="Funotentext"/>
        <w:rPr>
          <w:sz w:val="14"/>
          <w:szCs w:val="14"/>
        </w:rPr>
      </w:pPr>
      <w:r w:rsidRPr="00255F95">
        <w:rPr>
          <w:rStyle w:val="Funotenzeichen"/>
          <w:sz w:val="14"/>
          <w:szCs w:val="14"/>
        </w:rPr>
        <w:footnoteRef/>
      </w:r>
      <w:r w:rsidRPr="00255F95">
        <w:rPr>
          <w:sz w:val="14"/>
          <w:szCs w:val="14"/>
        </w:rPr>
        <w:t xml:space="preserve"> </w:t>
      </w:r>
      <w:r w:rsidR="00641AE0" w:rsidRPr="00255F95">
        <w:rPr>
          <w:sz w:val="14"/>
          <w:szCs w:val="14"/>
        </w:rPr>
        <w:t>Loi fédérale du 16 décembre 2025 sur l’agrément et la surveillance des réviseurs (LSR ; RS 221.302).</w:t>
      </w:r>
    </w:p>
  </w:footnote>
  <w:footnote w:id="7">
    <w:p w14:paraId="0449D031" w14:textId="777C7772" w:rsidR="00532D72" w:rsidRPr="00255F95" w:rsidRDefault="00532D72" w:rsidP="00532D72">
      <w:pPr>
        <w:pStyle w:val="Funotentext"/>
      </w:pPr>
      <w:r w:rsidRPr="00255F95">
        <w:rPr>
          <w:rStyle w:val="Funotenzeichen"/>
          <w:sz w:val="14"/>
          <w:szCs w:val="14"/>
        </w:rPr>
        <w:footnoteRef/>
      </w:r>
      <w:r w:rsidRPr="00255F95">
        <w:rPr>
          <w:sz w:val="14"/>
          <w:szCs w:val="14"/>
        </w:rPr>
        <w:t xml:space="preserve"> </w:t>
      </w:r>
      <w:r w:rsidR="00641AE0" w:rsidRPr="00255F95">
        <w:rPr>
          <w:sz w:val="14"/>
          <w:szCs w:val="14"/>
        </w:rPr>
        <w:t>Ordonnance du Conseil fédéral du 22 août 2027 sur l’agrément et la surveillance des réviseurs (OSRev ; RS 221.302.3).</w:t>
      </w:r>
    </w:p>
  </w:footnote>
  <w:footnote w:id="8">
    <w:p w14:paraId="5A3C4D78" w14:textId="38DA160F" w:rsidR="00AE5B50" w:rsidRPr="00255F95" w:rsidRDefault="00AE5B50" w:rsidP="00AE5B50">
      <w:pPr>
        <w:pStyle w:val="Funotentext"/>
        <w:rPr>
          <w:sz w:val="14"/>
          <w:szCs w:val="14"/>
        </w:rPr>
      </w:pPr>
      <w:r w:rsidRPr="00255F95">
        <w:rPr>
          <w:rStyle w:val="Funotenzeichen"/>
          <w:sz w:val="14"/>
          <w:szCs w:val="14"/>
        </w:rPr>
        <w:footnoteRef/>
      </w:r>
      <w:r w:rsidRPr="00255F95">
        <w:rPr>
          <w:sz w:val="14"/>
          <w:szCs w:val="14"/>
        </w:rPr>
        <w:t xml:space="preserve"> </w:t>
      </w:r>
      <w:r w:rsidR="007D663D" w:rsidRPr="00255F95">
        <w:rPr>
          <w:sz w:val="14"/>
          <w:szCs w:val="14"/>
        </w:rPr>
        <w:t>Au</w:t>
      </w:r>
      <w:r w:rsidRPr="00255F95">
        <w:rPr>
          <w:sz w:val="14"/>
          <w:szCs w:val="14"/>
        </w:rPr>
        <w:t xml:space="preserve"> moins une fois par année et selon les besoins ;</w:t>
      </w:r>
    </w:p>
  </w:footnote>
  <w:footnote w:id="9">
    <w:p w14:paraId="04EBBC97" w14:textId="74945D8D" w:rsidR="00AE5B50" w:rsidRPr="00255F95" w:rsidRDefault="00AE5B50" w:rsidP="00AE5B50">
      <w:pPr>
        <w:pStyle w:val="Funotentext"/>
      </w:pPr>
      <w:r w:rsidRPr="00255F95">
        <w:rPr>
          <w:rStyle w:val="Funotenzeichen"/>
          <w:sz w:val="14"/>
          <w:szCs w:val="14"/>
        </w:rPr>
        <w:footnoteRef/>
      </w:r>
      <w:r w:rsidRPr="00255F95">
        <w:rPr>
          <w:sz w:val="14"/>
          <w:szCs w:val="14"/>
        </w:rPr>
        <w:t xml:space="preserve"> Proposition de procédure : en présence de quatre réviseurs responsables (1re année : réviseurs responsables A et B ; 2e année : réviseurs responsables C et D). </w:t>
      </w:r>
      <w:r w:rsidRPr="00255F95">
        <w:rPr>
          <w:b/>
          <w:bCs/>
          <w:sz w:val="14"/>
          <w:szCs w:val="14"/>
        </w:rPr>
        <w:t>ATTENTION :</w:t>
      </w:r>
      <w:r w:rsidRPr="00255F95">
        <w:rPr>
          <w:sz w:val="14"/>
          <w:szCs w:val="14"/>
        </w:rPr>
        <w:t xml:space="preserve"> au moins un réviseur responsable doit soumettre chaque année un mandat de révision au processus de surveillance interne.</w:t>
      </w:r>
    </w:p>
  </w:footnote>
  <w:footnote w:id="10">
    <w:p w14:paraId="22CD108B" w14:textId="28E88CD4" w:rsidR="00E07204" w:rsidRDefault="00E07204" w:rsidP="00E07204">
      <w:pPr>
        <w:pStyle w:val="Funotentext"/>
      </w:pPr>
      <w:r w:rsidRPr="00B54633">
        <w:rPr>
          <w:rStyle w:val="Funotenzeichen"/>
          <w:sz w:val="14"/>
          <w:szCs w:val="14"/>
        </w:rPr>
        <w:footnoteRef/>
      </w:r>
      <w:r w:rsidRPr="00B54633">
        <w:rPr>
          <w:sz w:val="14"/>
          <w:szCs w:val="14"/>
        </w:rPr>
        <w:t xml:space="preserve"> </w:t>
      </w:r>
      <w:r w:rsidR="00B54633" w:rsidRPr="00B54633">
        <w:rPr>
          <w:sz w:val="14"/>
          <w:szCs w:val="14"/>
        </w:rPr>
        <w:t>La vérification doit être effectuée au moins une fois par année, sans interruption entre les différentes périodes de vérification. La période de vérification peut être définie de manière à couvrir l’intervalle allant du jour suivant la dernière surveillance interne jusqu’à la surveillance interne en cours. La direction de l’entreprise fixe la période de référence et veille à ce que la vérification soit effectuée chaque année. L’Autorité fédérale de surveillance en matière de révision recommande une période fixe de 12 mois.</w:t>
      </w:r>
      <w:r w:rsidR="00B5463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CD71" w14:textId="4D8614AC" w:rsidR="006A55E4" w:rsidRPr="00255F95" w:rsidRDefault="00D9704D" w:rsidP="00985540">
    <w:pPr>
      <w:pStyle w:val="Kopfzeile"/>
      <w:tabs>
        <w:tab w:val="clear" w:pos="9072"/>
        <w:tab w:val="right" w:pos="9498"/>
      </w:tabs>
      <w:ind w:left="-1418"/>
      <w:rPr>
        <w:sz w:val="16"/>
      </w:rPr>
    </w:pPr>
    <w:r w:rsidRPr="00255F95">
      <w:rPr>
        <w:noProof/>
        <w:lang w:eastAsia="de-CH"/>
      </w:rPr>
      <w:drawing>
        <wp:inline distT="0" distB="0" distL="0" distR="0" wp14:anchorId="471D829E" wp14:editId="481E4D3E">
          <wp:extent cx="7591425" cy="685800"/>
          <wp:effectExtent l="0" t="0" r="9525" b="0"/>
          <wp:docPr id="3" name="Grafik 3" descr="50744_Treuhand_Suisse_Dokument_Kopfzeile_210x19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744_Treuhand_Suisse_Dokument_Kopfzeile_210x19_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800"/>
                  </a:xfrm>
                  <a:prstGeom prst="rect">
                    <a:avLst/>
                  </a:prstGeom>
                  <a:noFill/>
                  <a:ln>
                    <a:noFill/>
                  </a:ln>
                </pic:spPr>
              </pic:pic>
            </a:graphicData>
          </a:graphic>
        </wp:inline>
      </w:drawing>
    </w:r>
    <w:r w:rsidR="006A55E4" w:rsidRPr="00255F95">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B6A0" w14:textId="3AE2AD95" w:rsidR="0015513E" w:rsidRPr="00255F95" w:rsidRDefault="00D9704D" w:rsidP="00985540">
    <w:pPr>
      <w:pStyle w:val="Kopfzeile"/>
      <w:ind w:left="-1418"/>
    </w:pPr>
    <w:r w:rsidRPr="00255F95">
      <w:rPr>
        <w:noProof/>
        <w:lang w:eastAsia="de-CH"/>
      </w:rPr>
      <w:drawing>
        <wp:inline distT="0" distB="0" distL="0" distR="0" wp14:anchorId="16D8AC97" wp14:editId="22914A78">
          <wp:extent cx="7591425" cy="685800"/>
          <wp:effectExtent l="0" t="0" r="9525" b="0"/>
          <wp:docPr id="4" name="Grafik 4" descr="50744_Treuhand_Suisse_Dokument_Kopfzeile_210x19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744_Treuhand_Suisse_Dokument_Kopfzeile_210x19_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E6A4E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EAC57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49ACC4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88279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52453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14E6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90262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B4A8D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4C28C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83ACCFD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8275F9"/>
    <w:multiLevelType w:val="hybridMultilevel"/>
    <w:tmpl w:val="61BCDD56"/>
    <w:lvl w:ilvl="0" w:tplc="0C3EFED6">
      <w:start w:val="1"/>
      <w:numFmt w:val="bullet"/>
      <w:lvlText w:val="­"/>
      <w:lvlJc w:val="left"/>
      <w:pPr>
        <w:tabs>
          <w:tab w:val="num" w:pos="1068"/>
        </w:tabs>
        <w:ind w:left="1068" w:hanging="360"/>
      </w:pPr>
      <w:rPr>
        <w:rFonts w:ascii="Times New Roman" w:hAnsi="Times New Roman" w:cs="Times New Roman"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083635EA"/>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80077"/>
    <w:multiLevelType w:val="multilevel"/>
    <w:tmpl w:val="B432897C"/>
    <w:lvl w:ilvl="0">
      <w:start w:val="1"/>
      <w:numFmt w:val="bullet"/>
      <w:lvlText w:val="-"/>
      <w:lvlJc w:val="left"/>
      <w:pPr>
        <w:tabs>
          <w:tab w:val="num" w:pos="360"/>
        </w:tabs>
        <w:ind w:left="360" w:hanging="360"/>
      </w:pPr>
      <w:rPr>
        <w:rFonts w:ascii="STXingkai" w:eastAsia="STXingkai" w:hAnsi="Symbol" w:hint="eastAsia"/>
        <w:sz w:val="20"/>
      </w:rPr>
    </w:lvl>
    <w:lvl w:ilvl="1">
      <w:start w:val="1"/>
      <w:numFmt w:val="bullet"/>
      <w:lvlText w:val="-"/>
      <w:lvlJc w:val="left"/>
      <w:pPr>
        <w:ind w:left="360" w:hanging="360"/>
      </w:pPr>
      <w:rPr>
        <w:rFonts w:ascii="STXingkai" w:eastAsia="STXingkai" w:hAnsi="Symbol" w:hint="eastAsia"/>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1F34D2F"/>
    <w:multiLevelType w:val="hybridMultilevel"/>
    <w:tmpl w:val="C24C5768"/>
    <w:lvl w:ilvl="0" w:tplc="C0CE3DC0">
      <w:start w:val="1"/>
      <w:numFmt w:val="bullet"/>
      <w:lvlText w:val="-"/>
      <w:lvlJc w:val="left"/>
      <w:pPr>
        <w:ind w:left="360" w:hanging="360"/>
      </w:pPr>
      <w:rPr>
        <w:rFonts w:ascii="STXingkai" w:eastAsia="STXingkai" w:hAnsi="Symbol" w:hint="eastAsia"/>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16B95C9D"/>
    <w:multiLevelType w:val="hybridMultilevel"/>
    <w:tmpl w:val="04D6E1F2"/>
    <w:lvl w:ilvl="0" w:tplc="0AC21F24">
      <w:start w:val="1"/>
      <w:numFmt w:val="decimal"/>
      <w:lvlText w:val="%1."/>
      <w:lvlJc w:val="left"/>
      <w:pPr>
        <w:ind w:left="705" w:hanging="705"/>
      </w:pPr>
    </w:lvl>
    <w:lvl w:ilvl="1" w:tplc="08070019">
      <w:start w:val="1"/>
      <w:numFmt w:val="lowerLetter"/>
      <w:lvlText w:val="%2."/>
      <w:lvlJc w:val="left"/>
      <w:pPr>
        <w:ind w:left="1080" w:hanging="360"/>
      </w:pPr>
    </w:lvl>
    <w:lvl w:ilvl="2" w:tplc="0807001B">
      <w:start w:val="1"/>
      <w:numFmt w:val="lowerRoman"/>
      <w:lvlText w:val="%3."/>
      <w:lvlJc w:val="right"/>
      <w:pPr>
        <w:ind w:left="1800" w:hanging="180"/>
      </w:pPr>
    </w:lvl>
    <w:lvl w:ilvl="3" w:tplc="0807000F">
      <w:start w:val="1"/>
      <w:numFmt w:val="decimal"/>
      <w:lvlText w:val="%4."/>
      <w:lvlJc w:val="left"/>
      <w:pPr>
        <w:ind w:left="2520" w:hanging="360"/>
      </w:pPr>
    </w:lvl>
    <w:lvl w:ilvl="4" w:tplc="08070019">
      <w:start w:val="1"/>
      <w:numFmt w:val="lowerLetter"/>
      <w:lvlText w:val="%5."/>
      <w:lvlJc w:val="left"/>
      <w:pPr>
        <w:ind w:left="3240" w:hanging="360"/>
      </w:pPr>
    </w:lvl>
    <w:lvl w:ilvl="5" w:tplc="0807001B">
      <w:start w:val="1"/>
      <w:numFmt w:val="lowerRoman"/>
      <w:lvlText w:val="%6."/>
      <w:lvlJc w:val="right"/>
      <w:pPr>
        <w:ind w:left="3960" w:hanging="180"/>
      </w:pPr>
    </w:lvl>
    <w:lvl w:ilvl="6" w:tplc="0807000F">
      <w:start w:val="1"/>
      <w:numFmt w:val="decimal"/>
      <w:lvlText w:val="%7."/>
      <w:lvlJc w:val="left"/>
      <w:pPr>
        <w:ind w:left="4680" w:hanging="360"/>
      </w:pPr>
    </w:lvl>
    <w:lvl w:ilvl="7" w:tplc="08070019">
      <w:start w:val="1"/>
      <w:numFmt w:val="lowerLetter"/>
      <w:lvlText w:val="%8."/>
      <w:lvlJc w:val="left"/>
      <w:pPr>
        <w:ind w:left="5400" w:hanging="360"/>
      </w:pPr>
    </w:lvl>
    <w:lvl w:ilvl="8" w:tplc="0807001B">
      <w:start w:val="1"/>
      <w:numFmt w:val="lowerRoman"/>
      <w:lvlText w:val="%9."/>
      <w:lvlJc w:val="right"/>
      <w:pPr>
        <w:ind w:left="6120" w:hanging="180"/>
      </w:pPr>
    </w:lvl>
  </w:abstractNum>
  <w:abstractNum w:abstractNumId="15" w15:restartNumberingAfterBreak="0">
    <w:nsid w:val="1B57128F"/>
    <w:multiLevelType w:val="multilevel"/>
    <w:tmpl w:val="0BB8DB06"/>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5C51D5F"/>
    <w:multiLevelType w:val="hybridMultilevel"/>
    <w:tmpl w:val="04686C54"/>
    <w:lvl w:ilvl="0" w:tplc="6C3CD6DA">
      <w:start w:val="1"/>
      <w:numFmt w:val="bullet"/>
      <w:lvlText w:val="-"/>
      <w:lvlJc w:val="left"/>
      <w:pPr>
        <w:ind w:left="-357" w:hanging="360"/>
      </w:pPr>
      <w:rPr>
        <w:rFonts w:ascii="Arial" w:hAnsi="Arial" w:hint="default"/>
        <w:b w:val="0"/>
        <w:i w:val="0"/>
        <w:sz w:val="22"/>
      </w:rPr>
    </w:lvl>
    <w:lvl w:ilvl="1" w:tplc="08070003">
      <w:start w:val="1"/>
      <w:numFmt w:val="bullet"/>
      <w:lvlText w:val="o"/>
      <w:lvlJc w:val="left"/>
      <w:pPr>
        <w:ind w:left="363" w:hanging="360"/>
      </w:pPr>
      <w:rPr>
        <w:rFonts w:ascii="Courier New" w:hAnsi="Courier New" w:cs="Courier New" w:hint="default"/>
      </w:rPr>
    </w:lvl>
    <w:lvl w:ilvl="2" w:tplc="08070005">
      <w:start w:val="1"/>
      <w:numFmt w:val="bullet"/>
      <w:lvlText w:val=""/>
      <w:lvlJc w:val="left"/>
      <w:pPr>
        <w:ind w:left="1083" w:hanging="360"/>
      </w:pPr>
      <w:rPr>
        <w:rFonts w:ascii="Wingdings" w:hAnsi="Wingdings" w:hint="default"/>
      </w:rPr>
    </w:lvl>
    <w:lvl w:ilvl="3" w:tplc="08070001" w:tentative="1">
      <w:start w:val="1"/>
      <w:numFmt w:val="bullet"/>
      <w:lvlText w:val=""/>
      <w:lvlJc w:val="left"/>
      <w:pPr>
        <w:ind w:left="1803" w:hanging="360"/>
      </w:pPr>
      <w:rPr>
        <w:rFonts w:ascii="Symbol" w:hAnsi="Symbol" w:hint="default"/>
      </w:rPr>
    </w:lvl>
    <w:lvl w:ilvl="4" w:tplc="08070003" w:tentative="1">
      <w:start w:val="1"/>
      <w:numFmt w:val="bullet"/>
      <w:lvlText w:val="o"/>
      <w:lvlJc w:val="left"/>
      <w:pPr>
        <w:ind w:left="2523" w:hanging="360"/>
      </w:pPr>
      <w:rPr>
        <w:rFonts w:ascii="Courier New" w:hAnsi="Courier New" w:cs="Courier New" w:hint="default"/>
      </w:rPr>
    </w:lvl>
    <w:lvl w:ilvl="5" w:tplc="08070005" w:tentative="1">
      <w:start w:val="1"/>
      <w:numFmt w:val="bullet"/>
      <w:lvlText w:val=""/>
      <w:lvlJc w:val="left"/>
      <w:pPr>
        <w:ind w:left="3243" w:hanging="360"/>
      </w:pPr>
      <w:rPr>
        <w:rFonts w:ascii="Wingdings" w:hAnsi="Wingdings" w:hint="default"/>
      </w:rPr>
    </w:lvl>
    <w:lvl w:ilvl="6" w:tplc="08070001" w:tentative="1">
      <w:start w:val="1"/>
      <w:numFmt w:val="bullet"/>
      <w:lvlText w:val=""/>
      <w:lvlJc w:val="left"/>
      <w:pPr>
        <w:ind w:left="3963" w:hanging="360"/>
      </w:pPr>
      <w:rPr>
        <w:rFonts w:ascii="Symbol" w:hAnsi="Symbol" w:hint="default"/>
      </w:rPr>
    </w:lvl>
    <w:lvl w:ilvl="7" w:tplc="08070003" w:tentative="1">
      <w:start w:val="1"/>
      <w:numFmt w:val="bullet"/>
      <w:lvlText w:val="o"/>
      <w:lvlJc w:val="left"/>
      <w:pPr>
        <w:ind w:left="4683" w:hanging="360"/>
      </w:pPr>
      <w:rPr>
        <w:rFonts w:ascii="Courier New" w:hAnsi="Courier New" w:cs="Courier New" w:hint="default"/>
      </w:rPr>
    </w:lvl>
    <w:lvl w:ilvl="8" w:tplc="08070005" w:tentative="1">
      <w:start w:val="1"/>
      <w:numFmt w:val="bullet"/>
      <w:lvlText w:val=""/>
      <w:lvlJc w:val="left"/>
      <w:pPr>
        <w:ind w:left="5403" w:hanging="360"/>
      </w:pPr>
      <w:rPr>
        <w:rFonts w:ascii="Wingdings" w:hAnsi="Wingdings" w:hint="default"/>
      </w:rPr>
    </w:lvl>
  </w:abstractNum>
  <w:abstractNum w:abstractNumId="17" w15:restartNumberingAfterBreak="0">
    <w:nsid w:val="27884402"/>
    <w:multiLevelType w:val="multilevel"/>
    <w:tmpl w:val="8F0E9E3C"/>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8AA38D3"/>
    <w:multiLevelType w:val="multilevel"/>
    <w:tmpl w:val="3AAC36C2"/>
    <w:lvl w:ilvl="0">
      <w:start w:val="1"/>
      <w:numFmt w:val="decimal"/>
      <w:lvlText w:val="%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1833F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1A66A1"/>
    <w:multiLevelType w:val="multilevel"/>
    <w:tmpl w:val="8F0E9E3C"/>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5A42356"/>
    <w:multiLevelType w:val="multilevel"/>
    <w:tmpl w:val="81F29C76"/>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B4A45CE"/>
    <w:multiLevelType w:val="multilevel"/>
    <w:tmpl w:val="D1706920"/>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0803675"/>
    <w:multiLevelType w:val="multilevel"/>
    <w:tmpl w:val="DC02EE62"/>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0DE39D6"/>
    <w:multiLevelType w:val="multilevel"/>
    <w:tmpl w:val="22743C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44BC2865"/>
    <w:multiLevelType w:val="hybridMultilevel"/>
    <w:tmpl w:val="A4C0E508"/>
    <w:lvl w:ilvl="0" w:tplc="61FC686E">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26" w15:restartNumberingAfterBreak="0">
    <w:nsid w:val="4C0107F2"/>
    <w:multiLevelType w:val="multilevel"/>
    <w:tmpl w:val="B7CA6588"/>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4AB61F4"/>
    <w:multiLevelType w:val="multilevel"/>
    <w:tmpl w:val="B0D8DC78"/>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5E03E9A"/>
    <w:multiLevelType w:val="multilevel"/>
    <w:tmpl w:val="B784BCA0"/>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20C32E1"/>
    <w:multiLevelType w:val="multilevel"/>
    <w:tmpl w:val="41BE6916"/>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D54006C"/>
    <w:multiLevelType w:val="hybridMultilevel"/>
    <w:tmpl w:val="9C26C5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6E4F0BAA"/>
    <w:multiLevelType w:val="hybridMultilevel"/>
    <w:tmpl w:val="33443E5E"/>
    <w:lvl w:ilvl="0" w:tplc="C0CE3DC0">
      <w:start w:val="1"/>
      <w:numFmt w:val="bullet"/>
      <w:lvlText w:val="-"/>
      <w:lvlJc w:val="left"/>
      <w:pPr>
        <w:ind w:left="360" w:hanging="360"/>
      </w:pPr>
      <w:rPr>
        <w:rFonts w:ascii="STXingkai" w:eastAsia="STXingkai" w:hAnsi="Symbol" w:hint="eastAsia"/>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2" w15:restartNumberingAfterBreak="0">
    <w:nsid w:val="71D67861"/>
    <w:multiLevelType w:val="multilevel"/>
    <w:tmpl w:val="83001BD6"/>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357319A"/>
    <w:multiLevelType w:val="hybridMultilevel"/>
    <w:tmpl w:val="0C8CA1FC"/>
    <w:lvl w:ilvl="0" w:tplc="943C7098">
      <w:start w:val="1"/>
      <w:numFmt w:val="upperRoman"/>
      <w:lvlText w:val="%1."/>
      <w:lvlJc w:val="left"/>
      <w:pPr>
        <w:tabs>
          <w:tab w:val="num" w:pos="1080"/>
        </w:tabs>
        <w:ind w:left="1080" w:hanging="72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4" w15:restartNumberingAfterBreak="0">
    <w:nsid w:val="76BD77CE"/>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9F6D49"/>
    <w:multiLevelType w:val="multilevel"/>
    <w:tmpl w:val="921C9F6E"/>
    <w:lvl w:ilvl="0">
      <w:start w:val="1"/>
      <w:numFmt w:val="bullet"/>
      <w:lvlText w:val="-"/>
      <w:lvlJc w:val="left"/>
      <w:pPr>
        <w:tabs>
          <w:tab w:val="num" w:pos="360"/>
        </w:tabs>
        <w:ind w:left="360" w:hanging="360"/>
      </w:pPr>
      <w:rPr>
        <w:rFonts w:ascii="STXingkai" w:eastAsia="STXingkai" w:hAnsi="Symbol" w:hint="eastAsi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C4D575A"/>
    <w:multiLevelType w:val="multilevel"/>
    <w:tmpl w:val="04070025"/>
    <w:lvl w:ilvl="0">
      <w:start w:val="1"/>
      <w:numFmt w:val="decimal"/>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num w:numId="1" w16cid:durableId="495147168">
    <w:abstractNumId w:val="9"/>
  </w:num>
  <w:num w:numId="2" w16cid:durableId="596909772">
    <w:abstractNumId w:val="7"/>
  </w:num>
  <w:num w:numId="3" w16cid:durableId="1581014947">
    <w:abstractNumId w:val="6"/>
  </w:num>
  <w:num w:numId="4" w16cid:durableId="990252271">
    <w:abstractNumId w:val="5"/>
  </w:num>
  <w:num w:numId="5" w16cid:durableId="304159964">
    <w:abstractNumId w:val="4"/>
  </w:num>
  <w:num w:numId="6" w16cid:durableId="256207847">
    <w:abstractNumId w:val="8"/>
  </w:num>
  <w:num w:numId="7" w16cid:durableId="1784037174">
    <w:abstractNumId w:val="3"/>
  </w:num>
  <w:num w:numId="8" w16cid:durableId="5989226">
    <w:abstractNumId w:val="2"/>
  </w:num>
  <w:num w:numId="9" w16cid:durableId="1258950058">
    <w:abstractNumId w:val="1"/>
  </w:num>
  <w:num w:numId="10" w16cid:durableId="213665699">
    <w:abstractNumId w:val="0"/>
  </w:num>
  <w:num w:numId="11" w16cid:durableId="395855415">
    <w:abstractNumId w:val="16"/>
  </w:num>
  <w:num w:numId="12" w16cid:durableId="868492162">
    <w:abstractNumId w:val="10"/>
  </w:num>
  <w:num w:numId="13" w16cid:durableId="1111779732">
    <w:abstractNumId w:val="33"/>
  </w:num>
  <w:num w:numId="14" w16cid:durableId="1548180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7703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945149">
    <w:abstractNumId w:val="25"/>
  </w:num>
  <w:num w:numId="17" w16cid:durableId="66652641">
    <w:abstractNumId w:val="34"/>
  </w:num>
  <w:num w:numId="18" w16cid:durableId="292759655">
    <w:abstractNumId w:val="36"/>
  </w:num>
  <w:num w:numId="19" w16cid:durableId="1800488981">
    <w:abstractNumId w:val="13"/>
  </w:num>
  <w:num w:numId="20" w16cid:durableId="1756391233">
    <w:abstractNumId w:val="30"/>
  </w:num>
  <w:num w:numId="21" w16cid:durableId="1904170121">
    <w:abstractNumId w:val="32"/>
  </w:num>
  <w:num w:numId="22" w16cid:durableId="2107384265">
    <w:abstractNumId w:val="26"/>
  </w:num>
  <w:num w:numId="23" w16cid:durableId="1114328047">
    <w:abstractNumId w:val="17"/>
  </w:num>
  <w:num w:numId="24" w16cid:durableId="600572415">
    <w:abstractNumId w:val="20"/>
  </w:num>
  <w:num w:numId="25" w16cid:durableId="1490705376">
    <w:abstractNumId w:val="23"/>
  </w:num>
  <w:num w:numId="26" w16cid:durableId="1205409564">
    <w:abstractNumId w:val="21"/>
  </w:num>
  <w:num w:numId="27" w16cid:durableId="931082089">
    <w:abstractNumId w:val="18"/>
  </w:num>
  <w:num w:numId="28" w16cid:durableId="1425371052">
    <w:abstractNumId w:val="31"/>
  </w:num>
  <w:num w:numId="29" w16cid:durableId="915625872">
    <w:abstractNumId w:val="22"/>
  </w:num>
  <w:num w:numId="30" w16cid:durableId="694965061">
    <w:abstractNumId w:val="27"/>
  </w:num>
  <w:num w:numId="31" w16cid:durableId="1321424635">
    <w:abstractNumId w:val="24"/>
  </w:num>
  <w:num w:numId="32" w16cid:durableId="251748070">
    <w:abstractNumId w:val="12"/>
  </w:num>
  <w:num w:numId="33" w16cid:durableId="1763333130">
    <w:abstractNumId w:val="28"/>
  </w:num>
  <w:num w:numId="34" w16cid:durableId="1776289697">
    <w:abstractNumId w:val="35"/>
  </w:num>
  <w:num w:numId="35" w16cid:durableId="599072109">
    <w:abstractNumId w:val="15"/>
  </w:num>
  <w:num w:numId="36" w16cid:durableId="635724383">
    <w:abstractNumId w:val="29"/>
  </w:num>
  <w:num w:numId="37" w16cid:durableId="1564365520">
    <w:abstractNumId w:val="14"/>
  </w:num>
  <w:num w:numId="38" w16cid:durableId="560482371">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PSpeechSession$" w:val="FALSE"/>
    <w:docVar w:name="IPSpeechSessionSaved$" w:val="FALSE"/>
  </w:docVars>
  <w:rsids>
    <w:rsidRoot w:val="00B06F23"/>
    <w:rsid w:val="000027D7"/>
    <w:rsid w:val="00011F65"/>
    <w:rsid w:val="00014FE7"/>
    <w:rsid w:val="00022146"/>
    <w:rsid w:val="00030A1D"/>
    <w:rsid w:val="00031143"/>
    <w:rsid w:val="00034EC8"/>
    <w:rsid w:val="00035E1B"/>
    <w:rsid w:val="00043367"/>
    <w:rsid w:val="00044DA3"/>
    <w:rsid w:val="0004654A"/>
    <w:rsid w:val="00051E56"/>
    <w:rsid w:val="00056F2D"/>
    <w:rsid w:val="00060285"/>
    <w:rsid w:val="0006474C"/>
    <w:rsid w:val="00066A1A"/>
    <w:rsid w:val="00072264"/>
    <w:rsid w:val="00077D95"/>
    <w:rsid w:val="000808C6"/>
    <w:rsid w:val="000842A0"/>
    <w:rsid w:val="00096A19"/>
    <w:rsid w:val="000A4888"/>
    <w:rsid w:val="000A7994"/>
    <w:rsid w:val="000B6002"/>
    <w:rsid w:val="000B7B7E"/>
    <w:rsid w:val="000C1B45"/>
    <w:rsid w:val="000C2409"/>
    <w:rsid w:val="000C6262"/>
    <w:rsid w:val="000C7C33"/>
    <w:rsid w:val="000D3F3A"/>
    <w:rsid w:val="000D6B47"/>
    <w:rsid w:val="000E11F3"/>
    <w:rsid w:val="000E747F"/>
    <w:rsid w:val="000F1A95"/>
    <w:rsid w:val="000F325B"/>
    <w:rsid w:val="000F66A2"/>
    <w:rsid w:val="00101061"/>
    <w:rsid w:val="00102EBF"/>
    <w:rsid w:val="00110148"/>
    <w:rsid w:val="00116FD8"/>
    <w:rsid w:val="00122CD9"/>
    <w:rsid w:val="0012328F"/>
    <w:rsid w:val="0012347A"/>
    <w:rsid w:val="00130DF4"/>
    <w:rsid w:val="00133D1B"/>
    <w:rsid w:val="0013786E"/>
    <w:rsid w:val="00144323"/>
    <w:rsid w:val="00145A51"/>
    <w:rsid w:val="00152F04"/>
    <w:rsid w:val="0015437A"/>
    <w:rsid w:val="0015513E"/>
    <w:rsid w:val="00164C3A"/>
    <w:rsid w:val="001662A4"/>
    <w:rsid w:val="001679DB"/>
    <w:rsid w:val="00170985"/>
    <w:rsid w:val="001725F0"/>
    <w:rsid w:val="00174A28"/>
    <w:rsid w:val="00174A88"/>
    <w:rsid w:val="0018046C"/>
    <w:rsid w:val="001A2677"/>
    <w:rsid w:val="001A4D24"/>
    <w:rsid w:val="001A54D8"/>
    <w:rsid w:val="001B0079"/>
    <w:rsid w:val="001B18F0"/>
    <w:rsid w:val="001C6928"/>
    <w:rsid w:val="001D2316"/>
    <w:rsid w:val="001D2452"/>
    <w:rsid w:val="001E530F"/>
    <w:rsid w:val="001F7D87"/>
    <w:rsid w:val="00204444"/>
    <w:rsid w:val="0020565C"/>
    <w:rsid w:val="002120A4"/>
    <w:rsid w:val="0021610B"/>
    <w:rsid w:val="00226832"/>
    <w:rsid w:val="00230144"/>
    <w:rsid w:val="002356A0"/>
    <w:rsid w:val="00240800"/>
    <w:rsid w:val="00243C2A"/>
    <w:rsid w:val="002456E2"/>
    <w:rsid w:val="00255F95"/>
    <w:rsid w:val="002568E8"/>
    <w:rsid w:val="002653C6"/>
    <w:rsid w:val="002718A0"/>
    <w:rsid w:val="002723DB"/>
    <w:rsid w:val="0027665E"/>
    <w:rsid w:val="00280014"/>
    <w:rsid w:val="00281641"/>
    <w:rsid w:val="002A7AFF"/>
    <w:rsid w:val="002B0BE7"/>
    <w:rsid w:val="002C20A2"/>
    <w:rsid w:val="002C2C7D"/>
    <w:rsid w:val="002C74FC"/>
    <w:rsid w:val="002D2F05"/>
    <w:rsid w:val="002E3EF6"/>
    <w:rsid w:val="002E6CCA"/>
    <w:rsid w:val="002F4559"/>
    <w:rsid w:val="002F5F8A"/>
    <w:rsid w:val="00304E79"/>
    <w:rsid w:val="00310D19"/>
    <w:rsid w:val="003149D7"/>
    <w:rsid w:val="00315E83"/>
    <w:rsid w:val="00323419"/>
    <w:rsid w:val="003314C9"/>
    <w:rsid w:val="00335118"/>
    <w:rsid w:val="00337F3E"/>
    <w:rsid w:val="003429F7"/>
    <w:rsid w:val="00345540"/>
    <w:rsid w:val="003565AD"/>
    <w:rsid w:val="00375A89"/>
    <w:rsid w:val="003817F7"/>
    <w:rsid w:val="00383EAE"/>
    <w:rsid w:val="00384BBA"/>
    <w:rsid w:val="00393036"/>
    <w:rsid w:val="00394B1E"/>
    <w:rsid w:val="00394E38"/>
    <w:rsid w:val="003B004B"/>
    <w:rsid w:val="003B7168"/>
    <w:rsid w:val="003E1BCC"/>
    <w:rsid w:val="003E1C3E"/>
    <w:rsid w:val="003E26AD"/>
    <w:rsid w:val="003E2702"/>
    <w:rsid w:val="003E3625"/>
    <w:rsid w:val="003E6141"/>
    <w:rsid w:val="003E69D0"/>
    <w:rsid w:val="003F12C0"/>
    <w:rsid w:val="00421161"/>
    <w:rsid w:val="00422058"/>
    <w:rsid w:val="004303D5"/>
    <w:rsid w:val="0043211C"/>
    <w:rsid w:val="00434971"/>
    <w:rsid w:val="004377F1"/>
    <w:rsid w:val="00441B9B"/>
    <w:rsid w:val="00443E5B"/>
    <w:rsid w:val="004578A8"/>
    <w:rsid w:val="004601B6"/>
    <w:rsid w:val="0046052A"/>
    <w:rsid w:val="00465695"/>
    <w:rsid w:val="00467CDC"/>
    <w:rsid w:val="00470147"/>
    <w:rsid w:val="004735F8"/>
    <w:rsid w:val="00474CAF"/>
    <w:rsid w:val="004759BC"/>
    <w:rsid w:val="00476B5A"/>
    <w:rsid w:val="0048052C"/>
    <w:rsid w:val="004862FE"/>
    <w:rsid w:val="00491672"/>
    <w:rsid w:val="00491BE7"/>
    <w:rsid w:val="00493F6A"/>
    <w:rsid w:val="004A1404"/>
    <w:rsid w:val="004A3868"/>
    <w:rsid w:val="004B4A5E"/>
    <w:rsid w:val="004B7FCC"/>
    <w:rsid w:val="004C17BC"/>
    <w:rsid w:val="004C391A"/>
    <w:rsid w:val="004C7F44"/>
    <w:rsid w:val="004D06E9"/>
    <w:rsid w:val="004D6744"/>
    <w:rsid w:val="004D67B5"/>
    <w:rsid w:val="004F2FF0"/>
    <w:rsid w:val="004F4557"/>
    <w:rsid w:val="004F73AE"/>
    <w:rsid w:val="00504080"/>
    <w:rsid w:val="0050586D"/>
    <w:rsid w:val="005107ED"/>
    <w:rsid w:val="00522300"/>
    <w:rsid w:val="00522AC4"/>
    <w:rsid w:val="0052374B"/>
    <w:rsid w:val="00526F16"/>
    <w:rsid w:val="00532D72"/>
    <w:rsid w:val="00535282"/>
    <w:rsid w:val="00546D74"/>
    <w:rsid w:val="0055087A"/>
    <w:rsid w:val="00553D0A"/>
    <w:rsid w:val="00554016"/>
    <w:rsid w:val="005601D4"/>
    <w:rsid w:val="00564EE4"/>
    <w:rsid w:val="00571136"/>
    <w:rsid w:val="00573278"/>
    <w:rsid w:val="005825E4"/>
    <w:rsid w:val="005878B2"/>
    <w:rsid w:val="005A2704"/>
    <w:rsid w:val="005A2741"/>
    <w:rsid w:val="005B719D"/>
    <w:rsid w:val="005C676F"/>
    <w:rsid w:val="005E05A8"/>
    <w:rsid w:val="005E25CD"/>
    <w:rsid w:val="005E495B"/>
    <w:rsid w:val="005F1CC3"/>
    <w:rsid w:val="005F4A29"/>
    <w:rsid w:val="006003C8"/>
    <w:rsid w:val="00602170"/>
    <w:rsid w:val="0060673D"/>
    <w:rsid w:val="00607B2C"/>
    <w:rsid w:val="006147ED"/>
    <w:rsid w:val="006213EC"/>
    <w:rsid w:val="006238F4"/>
    <w:rsid w:val="00631204"/>
    <w:rsid w:val="00634458"/>
    <w:rsid w:val="00635E7E"/>
    <w:rsid w:val="00641AE0"/>
    <w:rsid w:val="00642E5B"/>
    <w:rsid w:val="006435D0"/>
    <w:rsid w:val="00644AE7"/>
    <w:rsid w:val="00650B30"/>
    <w:rsid w:val="00653D31"/>
    <w:rsid w:val="00655803"/>
    <w:rsid w:val="006607B9"/>
    <w:rsid w:val="00662FF0"/>
    <w:rsid w:val="00663EC4"/>
    <w:rsid w:val="00667ABF"/>
    <w:rsid w:val="00675162"/>
    <w:rsid w:val="006759D8"/>
    <w:rsid w:val="0069052E"/>
    <w:rsid w:val="00692882"/>
    <w:rsid w:val="006945D8"/>
    <w:rsid w:val="006A0E6E"/>
    <w:rsid w:val="006A55E4"/>
    <w:rsid w:val="006B2AE1"/>
    <w:rsid w:val="006B5914"/>
    <w:rsid w:val="006B7908"/>
    <w:rsid w:val="006C1F7E"/>
    <w:rsid w:val="006C34ED"/>
    <w:rsid w:val="006C390B"/>
    <w:rsid w:val="006D6F4B"/>
    <w:rsid w:val="006D71E7"/>
    <w:rsid w:val="006E5CE6"/>
    <w:rsid w:val="00704FB2"/>
    <w:rsid w:val="00705010"/>
    <w:rsid w:val="00711B71"/>
    <w:rsid w:val="007163FC"/>
    <w:rsid w:val="007203AC"/>
    <w:rsid w:val="00725C63"/>
    <w:rsid w:val="00733415"/>
    <w:rsid w:val="00743283"/>
    <w:rsid w:val="0074346B"/>
    <w:rsid w:val="00760CD8"/>
    <w:rsid w:val="00762F93"/>
    <w:rsid w:val="00767821"/>
    <w:rsid w:val="0077055E"/>
    <w:rsid w:val="00776ED8"/>
    <w:rsid w:val="007827CA"/>
    <w:rsid w:val="007A2A1B"/>
    <w:rsid w:val="007A76AA"/>
    <w:rsid w:val="007B091F"/>
    <w:rsid w:val="007B2DA9"/>
    <w:rsid w:val="007B75FB"/>
    <w:rsid w:val="007C2F13"/>
    <w:rsid w:val="007C31AA"/>
    <w:rsid w:val="007C690B"/>
    <w:rsid w:val="007D32FC"/>
    <w:rsid w:val="007D663D"/>
    <w:rsid w:val="007E5835"/>
    <w:rsid w:val="007E58AA"/>
    <w:rsid w:val="007E5E0A"/>
    <w:rsid w:val="007F538A"/>
    <w:rsid w:val="00802B8C"/>
    <w:rsid w:val="00810A6C"/>
    <w:rsid w:val="00813ED9"/>
    <w:rsid w:val="008160B9"/>
    <w:rsid w:val="008166D1"/>
    <w:rsid w:val="00822233"/>
    <w:rsid w:val="00824E43"/>
    <w:rsid w:val="00825C49"/>
    <w:rsid w:val="008275E3"/>
    <w:rsid w:val="008326B5"/>
    <w:rsid w:val="008547EE"/>
    <w:rsid w:val="00864782"/>
    <w:rsid w:val="00865C66"/>
    <w:rsid w:val="008672C9"/>
    <w:rsid w:val="00867A45"/>
    <w:rsid w:val="0088750A"/>
    <w:rsid w:val="00887554"/>
    <w:rsid w:val="008903D9"/>
    <w:rsid w:val="008A07B1"/>
    <w:rsid w:val="008A0983"/>
    <w:rsid w:val="008A429E"/>
    <w:rsid w:val="008A6A5E"/>
    <w:rsid w:val="008B188A"/>
    <w:rsid w:val="008B644E"/>
    <w:rsid w:val="008C2574"/>
    <w:rsid w:val="008D12D6"/>
    <w:rsid w:val="008D5272"/>
    <w:rsid w:val="008D5662"/>
    <w:rsid w:val="008E58BF"/>
    <w:rsid w:val="008F28AB"/>
    <w:rsid w:val="008F4738"/>
    <w:rsid w:val="008F560D"/>
    <w:rsid w:val="008F5A12"/>
    <w:rsid w:val="0090004A"/>
    <w:rsid w:val="00902D7B"/>
    <w:rsid w:val="009051A9"/>
    <w:rsid w:val="009143B5"/>
    <w:rsid w:val="009256B0"/>
    <w:rsid w:val="00930E67"/>
    <w:rsid w:val="00934B08"/>
    <w:rsid w:val="00944CD6"/>
    <w:rsid w:val="009467F8"/>
    <w:rsid w:val="009471A3"/>
    <w:rsid w:val="009478D6"/>
    <w:rsid w:val="00951D5B"/>
    <w:rsid w:val="0095267C"/>
    <w:rsid w:val="0095497A"/>
    <w:rsid w:val="00965BEB"/>
    <w:rsid w:val="0096746E"/>
    <w:rsid w:val="00970DCB"/>
    <w:rsid w:val="009738B8"/>
    <w:rsid w:val="00980258"/>
    <w:rsid w:val="0098247B"/>
    <w:rsid w:val="009845E8"/>
    <w:rsid w:val="00985540"/>
    <w:rsid w:val="009950BD"/>
    <w:rsid w:val="00997D54"/>
    <w:rsid w:val="009A2785"/>
    <w:rsid w:val="009A5E3F"/>
    <w:rsid w:val="009A6A3C"/>
    <w:rsid w:val="009A7C41"/>
    <w:rsid w:val="009B5205"/>
    <w:rsid w:val="009C0B54"/>
    <w:rsid w:val="009C448E"/>
    <w:rsid w:val="009D1E4F"/>
    <w:rsid w:val="009D4FD9"/>
    <w:rsid w:val="009D6127"/>
    <w:rsid w:val="009D7702"/>
    <w:rsid w:val="009E0B29"/>
    <w:rsid w:val="009E6D77"/>
    <w:rsid w:val="009F0FF3"/>
    <w:rsid w:val="00A0143D"/>
    <w:rsid w:val="00A023CC"/>
    <w:rsid w:val="00A13812"/>
    <w:rsid w:val="00A168F8"/>
    <w:rsid w:val="00A16ECF"/>
    <w:rsid w:val="00A307C8"/>
    <w:rsid w:val="00A325D1"/>
    <w:rsid w:val="00A41B20"/>
    <w:rsid w:val="00A44292"/>
    <w:rsid w:val="00A46E00"/>
    <w:rsid w:val="00A5100D"/>
    <w:rsid w:val="00A55AA7"/>
    <w:rsid w:val="00A57521"/>
    <w:rsid w:val="00A7402A"/>
    <w:rsid w:val="00A75EF5"/>
    <w:rsid w:val="00A76ABE"/>
    <w:rsid w:val="00A7761B"/>
    <w:rsid w:val="00A8442B"/>
    <w:rsid w:val="00A84AF9"/>
    <w:rsid w:val="00A84FE2"/>
    <w:rsid w:val="00A879D9"/>
    <w:rsid w:val="00A95016"/>
    <w:rsid w:val="00A971BA"/>
    <w:rsid w:val="00AA4C8C"/>
    <w:rsid w:val="00AB0C6B"/>
    <w:rsid w:val="00AB20E7"/>
    <w:rsid w:val="00AB2E7C"/>
    <w:rsid w:val="00AB32DB"/>
    <w:rsid w:val="00AB434A"/>
    <w:rsid w:val="00AD1BF5"/>
    <w:rsid w:val="00AD4626"/>
    <w:rsid w:val="00AE469E"/>
    <w:rsid w:val="00AE4EF4"/>
    <w:rsid w:val="00AE5A0C"/>
    <w:rsid w:val="00AE5B50"/>
    <w:rsid w:val="00AF309D"/>
    <w:rsid w:val="00B06F23"/>
    <w:rsid w:val="00B1040B"/>
    <w:rsid w:val="00B16EC7"/>
    <w:rsid w:val="00B17EDA"/>
    <w:rsid w:val="00B21A8F"/>
    <w:rsid w:val="00B224E2"/>
    <w:rsid w:val="00B24B1C"/>
    <w:rsid w:val="00B26A26"/>
    <w:rsid w:val="00B27B41"/>
    <w:rsid w:val="00B35FA8"/>
    <w:rsid w:val="00B43B78"/>
    <w:rsid w:val="00B47370"/>
    <w:rsid w:val="00B54633"/>
    <w:rsid w:val="00B5583A"/>
    <w:rsid w:val="00B62A15"/>
    <w:rsid w:val="00B62FDF"/>
    <w:rsid w:val="00B7114F"/>
    <w:rsid w:val="00B75A44"/>
    <w:rsid w:val="00B76B82"/>
    <w:rsid w:val="00B775E1"/>
    <w:rsid w:val="00B8021D"/>
    <w:rsid w:val="00B81835"/>
    <w:rsid w:val="00B8513F"/>
    <w:rsid w:val="00B866E3"/>
    <w:rsid w:val="00B91A92"/>
    <w:rsid w:val="00B9453C"/>
    <w:rsid w:val="00B972B5"/>
    <w:rsid w:val="00BA2AFB"/>
    <w:rsid w:val="00BB69AA"/>
    <w:rsid w:val="00BB7389"/>
    <w:rsid w:val="00BC2DC7"/>
    <w:rsid w:val="00BC5263"/>
    <w:rsid w:val="00BD4F8D"/>
    <w:rsid w:val="00BE49E8"/>
    <w:rsid w:val="00BF165F"/>
    <w:rsid w:val="00BF5D9C"/>
    <w:rsid w:val="00BF62D1"/>
    <w:rsid w:val="00C012D3"/>
    <w:rsid w:val="00C0342D"/>
    <w:rsid w:val="00C0466B"/>
    <w:rsid w:val="00C06F70"/>
    <w:rsid w:val="00C07E4D"/>
    <w:rsid w:val="00C2424B"/>
    <w:rsid w:val="00C310F5"/>
    <w:rsid w:val="00C3472E"/>
    <w:rsid w:val="00C36DEB"/>
    <w:rsid w:val="00C44883"/>
    <w:rsid w:val="00C45157"/>
    <w:rsid w:val="00C479DD"/>
    <w:rsid w:val="00C5100B"/>
    <w:rsid w:val="00C55E55"/>
    <w:rsid w:val="00C61EAC"/>
    <w:rsid w:val="00C678B1"/>
    <w:rsid w:val="00C70B6F"/>
    <w:rsid w:val="00C84A8B"/>
    <w:rsid w:val="00C85AAF"/>
    <w:rsid w:val="00C86CC1"/>
    <w:rsid w:val="00C87E74"/>
    <w:rsid w:val="00C94A72"/>
    <w:rsid w:val="00C95DDE"/>
    <w:rsid w:val="00CA62C6"/>
    <w:rsid w:val="00CB0753"/>
    <w:rsid w:val="00CB391A"/>
    <w:rsid w:val="00CB6C33"/>
    <w:rsid w:val="00CB7581"/>
    <w:rsid w:val="00CC07D8"/>
    <w:rsid w:val="00CC1CB1"/>
    <w:rsid w:val="00CC502D"/>
    <w:rsid w:val="00CC7C9E"/>
    <w:rsid w:val="00CD451B"/>
    <w:rsid w:val="00CD79B0"/>
    <w:rsid w:val="00CE5E8E"/>
    <w:rsid w:val="00CF4B3F"/>
    <w:rsid w:val="00D03E9E"/>
    <w:rsid w:val="00D11B1C"/>
    <w:rsid w:val="00D13467"/>
    <w:rsid w:val="00D15BA5"/>
    <w:rsid w:val="00D20CE5"/>
    <w:rsid w:val="00D27B96"/>
    <w:rsid w:val="00D30D7A"/>
    <w:rsid w:val="00D35A2D"/>
    <w:rsid w:val="00D5243F"/>
    <w:rsid w:val="00D53C30"/>
    <w:rsid w:val="00D5432F"/>
    <w:rsid w:val="00D546B1"/>
    <w:rsid w:val="00D5764A"/>
    <w:rsid w:val="00D613EB"/>
    <w:rsid w:val="00D634BB"/>
    <w:rsid w:val="00D65B18"/>
    <w:rsid w:val="00D709F2"/>
    <w:rsid w:val="00D73F42"/>
    <w:rsid w:val="00D8046F"/>
    <w:rsid w:val="00D84062"/>
    <w:rsid w:val="00D84224"/>
    <w:rsid w:val="00D9704D"/>
    <w:rsid w:val="00DA2416"/>
    <w:rsid w:val="00DB1BE3"/>
    <w:rsid w:val="00DB4C51"/>
    <w:rsid w:val="00DB701A"/>
    <w:rsid w:val="00DC402E"/>
    <w:rsid w:val="00DD42D6"/>
    <w:rsid w:val="00DE084F"/>
    <w:rsid w:val="00DF141B"/>
    <w:rsid w:val="00DF2447"/>
    <w:rsid w:val="00DF2D46"/>
    <w:rsid w:val="00DF58D6"/>
    <w:rsid w:val="00E07034"/>
    <w:rsid w:val="00E07204"/>
    <w:rsid w:val="00E10547"/>
    <w:rsid w:val="00E11D75"/>
    <w:rsid w:val="00E14F83"/>
    <w:rsid w:val="00E17F7A"/>
    <w:rsid w:val="00E20681"/>
    <w:rsid w:val="00E22AF9"/>
    <w:rsid w:val="00E24752"/>
    <w:rsid w:val="00E25EFC"/>
    <w:rsid w:val="00E26038"/>
    <w:rsid w:val="00E3110D"/>
    <w:rsid w:val="00E47614"/>
    <w:rsid w:val="00E527F0"/>
    <w:rsid w:val="00E5723C"/>
    <w:rsid w:val="00E60D1E"/>
    <w:rsid w:val="00E618C5"/>
    <w:rsid w:val="00E733A6"/>
    <w:rsid w:val="00E74884"/>
    <w:rsid w:val="00E80C21"/>
    <w:rsid w:val="00E83F13"/>
    <w:rsid w:val="00E86BDC"/>
    <w:rsid w:val="00E87ACF"/>
    <w:rsid w:val="00E87B97"/>
    <w:rsid w:val="00E92557"/>
    <w:rsid w:val="00E93342"/>
    <w:rsid w:val="00E93447"/>
    <w:rsid w:val="00EA2946"/>
    <w:rsid w:val="00EA41AB"/>
    <w:rsid w:val="00EB114D"/>
    <w:rsid w:val="00EB4F43"/>
    <w:rsid w:val="00EB5313"/>
    <w:rsid w:val="00EB65CC"/>
    <w:rsid w:val="00EB70BB"/>
    <w:rsid w:val="00EC04FE"/>
    <w:rsid w:val="00EC664F"/>
    <w:rsid w:val="00EC7915"/>
    <w:rsid w:val="00ED3956"/>
    <w:rsid w:val="00ED4046"/>
    <w:rsid w:val="00ED414C"/>
    <w:rsid w:val="00EE1788"/>
    <w:rsid w:val="00EF0045"/>
    <w:rsid w:val="00F06E5F"/>
    <w:rsid w:val="00F071AA"/>
    <w:rsid w:val="00F072F9"/>
    <w:rsid w:val="00F07456"/>
    <w:rsid w:val="00F1182D"/>
    <w:rsid w:val="00F17425"/>
    <w:rsid w:val="00F20EE9"/>
    <w:rsid w:val="00F232BC"/>
    <w:rsid w:val="00F25AB9"/>
    <w:rsid w:val="00F26DE6"/>
    <w:rsid w:val="00F347B6"/>
    <w:rsid w:val="00F35AA7"/>
    <w:rsid w:val="00F37313"/>
    <w:rsid w:val="00F45778"/>
    <w:rsid w:val="00F51D85"/>
    <w:rsid w:val="00F667AB"/>
    <w:rsid w:val="00F70736"/>
    <w:rsid w:val="00F76FC2"/>
    <w:rsid w:val="00F94B17"/>
    <w:rsid w:val="00F9751C"/>
    <w:rsid w:val="00FA3551"/>
    <w:rsid w:val="00FA3DCC"/>
    <w:rsid w:val="00FB5C5C"/>
    <w:rsid w:val="00FC09D0"/>
    <w:rsid w:val="00FC49ED"/>
    <w:rsid w:val="00FC4AA1"/>
    <w:rsid w:val="00FD15E2"/>
    <w:rsid w:val="00FD17EF"/>
    <w:rsid w:val="00FE1A2B"/>
    <w:rsid w:val="00FE39CA"/>
    <w:rsid w:val="00FE6C36"/>
    <w:rsid w:val="00FF2099"/>
    <w:rsid w:val="00FF28D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6BBD8"/>
  <w15:docId w15:val="{9A8CCC11-0F88-4BEA-8E86-64A17751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Arial" w:hAnsi="Arial"/>
      <w:snapToGrid w:val="0"/>
      <w:lang w:val="fr-CH" w:eastAsia="de-DE"/>
    </w:rPr>
  </w:style>
  <w:style w:type="paragraph" w:styleId="berschrift1">
    <w:name w:val="heading 1"/>
    <w:basedOn w:val="Standard"/>
    <w:next w:val="Standard"/>
    <w:link w:val="berschrift1Zchn"/>
    <w:uiPriority w:val="9"/>
    <w:qFormat/>
    <w:pPr>
      <w:keepNext/>
      <w:outlineLvl w:val="0"/>
    </w:pPr>
    <w:rPr>
      <w:b/>
      <w:kern w:val="28"/>
    </w:rPr>
  </w:style>
  <w:style w:type="paragraph" w:styleId="berschrift2">
    <w:name w:val="heading 2"/>
    <w:basedOn w:val="Standard"/>
    <w:next w:val="Standard"/>
    <w:qFormat/>
    <w:pPr>
      <w:keepNext/>
      <w:numPr>
        <w:ilvl w:val="1"/>
        <w:numId w:val="18"/>
      </w:numPr>
      <w:outlineLvl w:val="1"/>
    </w:pPr>
    <w:rPr>
      <w:b/>
    </w:rPr>
  </w:style>
  <w:style w:type="paragraph" w:styleId="berschrift3">
    <w:name w:val="heading 3"/>
    <w:basedOn w:val="Standard"/>
    <w:next w:val="Standard"/>
    <w:qFormat/>
    <w:pPr>
      <w:keepNext/>
      <w:numPr>
        <w:ilvl w:val="2"/>
        <w:numId w:val="18"/>
      </w:numPr>
      <w:outlineLvl w:val="2"/>
    </w:pPr>
    <w:rPr>
      <w:b/>
      <w:i/>
    </w:rPr>
  </w:style>
  <w:style w:type="paragraph" w:styleId="berschrift4">
    <w:name w:val="heading 4"/>
    <w:basedOn w:val="Standard"/>
    <w:next w:val="Standard"/>
    <w:qFormat/>
    <w:pPr>
      <w:keepNext/>
      <w:numPr>
        <w:ilvl w:val="3"/>
        <w:numId w:val="18"/>
      </w:numPr>
      <w:outlineLvl w:val="3"/>
    </w:pPr>
  </w:style>
  <w:style w:type="paragraph" w:styleId="berschrift5">
    <w:name w:val="heading 5"/>
    <w:basedOn w:val="Standard"/>
    <w:next w:val="Standard"/>
    <w:qFormat/>
    <w:pPr>
      <w:keepNext/>
      <w:numPr>
        <w:ilvl w:val="4"/>
        <w:numId w:val="18"/>
      </w:numPr>
      <w:pBdr>
        <w:top w:val="single" w:sz="6" w:space="1" w:color="auto"/>
        <w:left w:val="single" w:sz="6" w:space="1" w:color="auto"/>
        <w:bottom w:val="single" w:sz="6" w:space="1" w:color="auto"/>
        <w:right w:val="single" w:sz="6" w:space="1" w:color="auto"/>
      </w:pBdr>
      <w:tabs>
        <w:tab w:val="left" w:pos="567"/>
        <w:tab w:val="left" w:pos="1134"/>
        <w:tab w:val="left" w:pos="2268"/>
        <w:tab w:val="left" w:pos="5103"/>
        <w:tab w:val="left" w:pos="6804"/>
        <w:tab w:val="right" w:pos="9356"/>
      </w:tabs>
      <w:outlineLvl w:val="4"/>
    </w:pPr>
    <w:rPr>
      <w:b/>
    </w:rPr>
  </w:style>
  <w:style w:type="paragraph" w:styleId="berschrift6">
    <w:name w:val="heading 6"/>
    <w:basedOn w:val="Standard"/>
    <w:next w:val="Standard"/>
    <w:qFormat/>
    <w:pPr>
      <w:numPr>
        <w:ilvl w:val="5"/>
        <w:numId w:val="18"/>
      </w:numPr>
      <w:spacing w:before="240" w:after="60"/>
      <w:outlineLvl w:val="5"/>
    </w:pPr>
    <w:rPr>
      <w:rFonts w:ascii="Times New Roman" w:hAnsi="Times New Roman"/>
      <w:i/>
    </w:rPr>
  </w:style>
  <w:style w:type="paragraph" w:styleId="berschrift7">
    <w:name w:val="heading 7"/>
    <w:basedOn w:val="Standard"/>
    <w:next w:val="Standard"/>
    <w:qFormat/>
    <w:pPr>
      <w:numPr>
        <w:ilvl w:val="6"/>
        <w:numId w:val="18"/>
      </w:numPr>
      <w:spacing w:before="240" w:after="60"/>
      <w:outlineLvl w:val="6"/>
    </w:pPr>
  </w:style>
  <w:style w:type="paragraph" w:styleId="berschrift8">
    <w:name w:val="heading 8"/>
    <w:basedOn w:val="Standard"/>
    <w:next w:val="Standard"/>
    <w:qFormat/>
    <w:pPr>
      <w:numPr>
        <w:ilvl w:val="7"/>
        <w:numId w:val="18"/>
      </w:numPr>
      <w:spacing w:before="240" w:after="60"/>
      <w:outlineLvl w:val="7"/>
    </w:pPr>
    <w:rPr>
      <w:i/>
    </w:rPr>
  </w:style>
  <w:style w:type="paragraph" w:styleId="berschrift9">
    <w:name w:val="heading 9"/>
    <w:basedOn w:val="Standard"/>
    <w:next w:val="Standard"/>
    <w:qFormat/>
    <w:pPr>
      <w:numPr>
        <w:ilvl w:val="8"/>
        <w:numId w:val="18"/>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tabs>
        <w:tab w:val="left" w:pos="567"/>
        <w:tab w:val="left" w:pos="1134"/>
        <w:tab w:val="left" w:pos="2268"/>
        <w:tab w:val="left" w:pos="5103"/>
        <w:tab w:val="left" w:pos="6804"/>
        <w:tab w:val="right" w:pos="9356"/>
      </w:tabs>
    </w:pPr>
  </w:style>
  <w:style w:type="paragraph" w:styleId="Verzeichnis9">
    <w:name w:val="toc 9"/>
    <w:basedOn w:val="Standard"/>
    <w:next w:val="Standard"/>
    <w:autoRedefine/>
    <w:semiHidden/>
    <w:pPr>
      <w:ind w:left="1760"/>
    </w:pPr>
  </w:style>
  <w:style w:type="paragraph" w:styleId="Index1">
    <w:name w:val="index 1"/>
    <w:basedOn w:val="Standard"/>
    <w:next w:val="Standard"/>
    <w:autoRedefine/>
    <w:semiHidden/>
    <w:pPr>
      <w:ind w:left="220" w:hanging="220"/>
    </w:pPr>
  </w:style>
  <w:style w:type="paragraph" w:styleId="Verzeichnis2">
    <w:name w:val="toc 2"/>
    <w:basedOn w:val="Standard"/>
    <w:next w:val="Standard"/>
    <w:autoRedefine/>
    <w:uiPriority w:val="39"/>
    <w:pPr>
      <w:tabs>
        <w:tab w:val="left" w:pos="440"/>
        <w:tab w:val="left" w:pos="993"/>
        <w:tab w:val="right" w:leader="dot" w:pos="9345"/>
      </w:tabs>
      <w:spacing w:after="120"/>
      <w:ind w:left="425"/>
    </w:pPr>
    <w:rPr>
      <w:noProof/>
    </w:rPr>
  </w:style>
  <w:style w:type="paragraph" w:styleId="Verzeichnis1">
    <w:name w:val="toc 1"/>
    <w:basedOn w:val="Standard"/>
    <w:next w:val="Standard"/>
    <w:autoRedefine/>
    <w:uiPriority w:val="39"/>
    <w:rsid w:val="00C45157"/>
    <w:pPr>
      <w:tabs>
        <w:tab w:val="left" w:pos="426"/>
        <w:tab w:val="right" w:leader="dot" w:pos="9345"/>
      </w:tabs>
      <w:jc w:val="left"/>
    </w:pPr>
    <w:rPr>
      <w:noProof/>
      <w:szCs w:val="22"/>
    </w:rPr>
  </w:style>
  <w:style w:type="paragraph" w:styleId="Verzeichnis4">
    <w:name w:val="toc 4"/>
    <w:basedOn w:val="Standard"/>
    <w:next w:val="Standard"/>
    <w:autoRedefine/>
    <w:semiHidden/>
    <w:pPr>
      <w:ind w:left="660"/>
    </w:pPr>
  </w:style>
  <w:style w:type="paragraph" w:styleId="Verzeichnis3">
    <w:name w:val="toc 3"/>
    <w:basedOn w:val="Standard"/>
    <w:next w:val="Standard"/>
    <w:autoRedefine/>
    <w:uiPriority w:val="39"/>
    <w:pPr>
      <w:tabs>
        <w:tab w:val="left" w:pos="1701"/>
        <w:tab w:val="left" w:pos="1985"/>
        <w:tab w:val="right" w:leader="dot" w:pos="9345"/>
      </w:tabs>
      <w:spacing w:after="120"/>
      <w:ind w:left="992"/>
    </w:pPr>
    <w:rPr>
      <w:noProof/>
    </w:r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Titel">
    <w:name w:val="Title"/>
    <w:basedOn w:val="Standard"/>
    <w:link w:val="TitelZchn"/>
    <w:uiPriority w:val="10"/>
    <w:qFormat/>
    <w:pPr>
      <w:pBdr>
        <w:top w:val="single" w:sz="6" w:space="1" w:color="auto"/>
        <w:left w:val="single" w:sz="6" w:space="4" w:color="auto"/>
        <w:bottom w:val="single" w:sz="6" w:space="1" w:color="auto"/>
        <w:right w:val="single" w:sz="6" w:space="4" w:color="auto"/>
      </w:pBdr>
      <w:jc w:val="center"/>
    </w:pPr>
    <w:rPr>
      <w:b/>
      <w:sz w:val="32"/>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Abbildungsverzeichnis">
    <w:name w:val="table of figures"/>
    <w:basedOn w:val="Standard"/>
    <w:next w:val="Standard"/>
    <w:semiHidden/>
    <w:pPr>
      <w:ind w:left="440" w:hanging="440"/>
    </w:pPr>
  </w:style>
  <w:style w:type="paragraph" w:styleId="Anrede">
    <w:name w:val="Salutation"/>
    <w:basedOn w:val="Standard"/>
    <w:next w:val="Standard"/>
    <w:semiHidden/>
  </w:style>
  <w:style w:type="paragraph" w:styleId="Aufzhlungszeichen">
    <w:name w:val="List Bullet"/>
    <w:basedOn w:val="Standard"/>
    <w:autoRedefine/>
    <w:semiHidden/>
    <w:pPr>
      <w:numPr>
        <w:numId w:val="1"/>
      </w:numPr>
    </w:pPr>
  </w:style>
  <w:style w:type="paragraph" w:styleId="Aufzhlungszeichen2">
    <w:name w:val="List Bullet 2"/>
    <w:basedOn w:val="Standard"/>
    <w:autoRedefine/>
    <w:semiHidden/>
    <w:pPr>
      <w:numPr>
        <w:numId w:val="2"/>
      </w:numPr>
    </w:pPr>
  </w:style>
  <w:style w:type="paragraph" w:styleId="Aufzhlungszeichen3">
    <w:name w:val="List Bullet 3"/>
    <w:basedOn w:val="Standard"/>
    <w:autoRedefine/>
    <w:semiHidden/>
    <w:pPr>
      <w:numPr>
        <w:numId w:val="3"/>
      </w:numPr>
    </w:pPr>
  </w:style>
  <w:style w:type="paragraph" w:styleId="Aufzhlungszeichen4">
    <w:name w:val="List Bullet 4"/>
    <w:basedOn w:val="Standard"/>
    <w:autoRedefine/>
    <w:semiHidden/>
    <w:pPr>
      <w:numPr>
        <w:numId w:val="4"/>
      </w:numPr>
    </w:pPr>
  </w:style>
  <w:style w:type="paragraph" w:styleId="Aufzhlungszeichen5">
    <w:name w:val="List Bullet 5"/>
    <w:basedOn w:val="Standard"/>
    <w:autoRedefine/>
    <w:semiHidden/>
    <w:pPr>
      <w:numPr>
        <w:numId w:val="5"/>
      </w:numPr>
    </w:pPr>
  </w:style>
  <w:style w:type="paragraph" w:styleId="Beschriftung">
    <w:name w:val="caption"/>
    <w:basedOn w:val="Standard"/>
    <w:next w:val="Standard"/>
    <w:qFormat/>
    <w:pPr>
      <w:spacing w:before="120" w:after="120"/>
    </w:pPr>
    <w:rPr>
      <w:b/>
      <w:bCs/>
    </w:rPr>
  </w:style>
  <w:style w:type="paragraph" w:styleId="Blocktext">
    <w:name w:val="Block Text"/>
    <w:basedOn w:val="Standard"/>
    <w:semiHidden/>
    <w:pPr>
      <w:spacing w:after="120"/>
      <w:ind w:left="1440" w:right="1440"/>
    </w:pPr>
  </w:style>
  <w:style w:type="paragraph" w:styleId="Datum">
    <w:name w:val="Date"/>
    <w:basedOn w:val="Standard"/>
    <w:next w:val="Standard"/>
    <w:link w:val="DatumZchn"/>
    <w:semiHidden/>
  </w:style>
  <w:style w:type="paragraph" w:styleId="Dokumentstruktur">
    <w:name w:val="Document Map"/>
    <w:basedOn w:val="Standard"/>
    <w:semiHidden/>
    <w:pPr>
      <w:shd w:val="clear" w:color="auto" w:fill="000080"/>
    </w:pPr>
    <w:rPr>
      <w:rFonts w:ascii="Tahoma" w:hAnsi="Tahoma" w:cs="Tahoma"/>
    </w:rPr>
  </w:style>
  <w:style w:type="paragraph" w:styleId="E-Mail-Signatur">
    <w:name w:val="E-mail Signature"/>
    <w:basedOn w:val="Standard"/>
    <w:semiHidden/>
  </w:style>
  <w:style w:type="paragraph" w:styleId="Endnotentext">
    <w:name w:val="endnote text"/>
    <w:basedOn w:val="Standard"/>
    <w:semiHidden/>
  </w:style>
  <w:style w:type="paragraph" w:styleId="Fu-Endnotenberschrift">
    <w:name w:val="Note Heading"/>
    <w:basedOn w:val="Standard"/>
    <w:next w:val="Standard"/>
    <w:semiHidden/>
  </w:style>
  <w:style w:type="paragraph" w:styleId="Funotentext">
    <w:name w:val="footnote text"/>
    <w:basedOn w:val="Standard"/>
    <w:link w:val="FunotentextZchn"/>
  </w:style>
  <w:style w:type="paragraph" w:styleId="Gruformel">
    <w:name w:val="Closing"/>
    <w:basedOn w:val="Standard"/>
    <w:semiHidden/>
    <w:pPr>
      <w:ind w:left="4252"/>
    </w:pPr>
  </w:style>
  <w:style w:type="paragraph" w:styleId="HTMLAdresse">
    <w:name w:val="HTML Address"/>
    <w:basedOn w:val="Standard"/>
    <w:semiHidden/>
    <w:rPr>
      <w:i/>
      <w:iCs/>
    </w:rPr>
  </w:style>
  <w:style w:type="paragraph" w:styleId="HTMLVorformatiert">
    <w:name w:val="HTML Preformatted"/>
    <w:basedOn w:val="Standard"/>
    <w:semiHidden/>
    <w:rPr>
      <w:rFonts w:ascii="Courier New" w:hAnsi="Courier New" w:cs="Courier New"/>
    </w:r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rFonts w:cs="Arial"/>
      <w:b/>
      <w:bCs/>
    </w:rPr>
  </w:style>
  <w:style w:type="paragraph" w:styleId="Kommentartext">
    <w:name w:val="annotation text"/>
    <w:basedOn w:val="Standard"/>
    <w:link w:val="KommentartextZchn"/>
    <w:semiHidden/>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6"/>
      </w:numPr>
    </w:pPr>
  </w:style>
  <w:style w:type="paragraph" w:styleId="Listennummer2">
    <w:name w:val="List Number 2"/>
    <w:basedOn w:val="Standard"/>
    <w:semiHidden/>
    <w:pPr>
      <w:numPr>
        <w:numId w:val="7"/>
      </w:numPr>
    </w:pPr>
  </w:style>
  <w:style w:type="paragraph" w:styleId="Listennummer3">
    <w:name w:val="List Number 3"/>
    <w:basedOn w:val="Standard"/>
    <w:semiHidden/>
    <w:pPr>
      <w:numPr>
        <w:numId w:val="8"/>
      </w:numPr>
    </w:pPr>
  </w:style>
  <w:style w:type="paragraph" w:styleId="Listennummer4">
    <w:name w:val="List Number 4"/>
    <w:basedOn w:val="Standard"/>
    <w:semiHidden/>
    <w:pPr>
      <w:numPr>
        <w:numId w:val="9"/>
      </w:numPr>
    </w:pPr>
  </w:style>
  <w:style w:type="paragraph" w:styleId="Listennummer5">
    <w:name w:val="List Number 5"/>
    <w:basedOn w:val="Standard"/>
    <w:semiHidden/>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snapToGrid w:val="0"/>
      <w:lang w:eastAsia="de-DE"/>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urText">
    <w:name w:val="Plain Text"/>
    <w:basedOn w:val="Standard"/>
    <w:link w:val="NurTextZchn"/>
    <w:uiPriority w:val="99"/>
    <w:rPr>
      <w:rFonts w:ascii="Courier New" w:hAnsi="Courier New" w:cs="Courier New"/>
    </w:rPr>
  </w:style>
  <w:style w:type="paragraph" w:styleId="Rechtsgrundlagenverzeichnis">
    <w:name w:val="table of authorities"/>
    <w:basedOn w:val="Standard"/>
    <w:next w:val="Standard"/>
    <w:semiHidden/>
    <w:pPr>
      <w:ind w:left="220" w:hanging="220"/>
    </w:pPr>
  </w:style>
  <w:style w:type="paragraph" w:styleId="RGV-berschrift">
    <w:name w:val="toa heading"/>
    <w:basedOn w:val="Standard"/>
    <w:next w:val="Standard"/>
    <w:semiHidden/>
    <w:pPr>
      <w:spacing w:before="120"/>
    </w:pPr>
    <w:rPr>
      <w:rFonts w:cs="Arial"/>
      <w:b/>
      <w:bCs/>
      <w:sz w:val="24"/>
      <w:szCs w:val="24"/>
    </w:rPr>
  </w:style>
  <w:style w:type="paragraph" w:styleId="StandardWeb">
    <w:name w:val="Normal (Web)"/>
    <w:basedOn w:val="Standard"/>
    <w:uiPriority w:val="99"/>
    <w:semiHidden/>
    <w:rPr>
      <w:rFonts w:ascii="Times New Roman" w:hAnsi="Times New Roman"/>
      <w:sz w:val="24"/>
      <w:szCs w:val="24"/>
    </w:rPr>
  </w:style>
  <w:style w:type="paragraph" w:styleId="Standardeinzug">
    <w:name w:val="Normal Indent"/>
    <w:basedOn w:val="Standard"/>
    <w:semiHidden/>
    <w:pPr>
      <w:ind w:left="708"/>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tabs>
        <w:tab w:val="clear" w:pos="567"/>
        <w:tab w:val="clear" w:pos="1134"/>
        <w:tab w:val="clear" w:pos="2268"/>
        <w:tab w:val="clear" w:pos="5103"/>
        <w:tab w:val="clear" w:pos="6804"/>
        <w:tab w:val="clear" w:pos="9356"/>
      </w:tabs>
      <w:spacing w:after="120"/>
      <w:ind w:firstLine="210"/>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cs="Arial"/>
    </w:rPr>
  </w:style>
  <w:style w:type="paragraph" w:styleId="Umschlagadresse">
    <w:name w:val="envelope address"/>
    <w:basedOn w:val="Standard"/>
    <w:semiHidden/>
    <w:pPr>
      <w:framePr w:w="4320" w:h="2160" w:hRule="exact" w:hSpace="141" w:wrap="auto" w:hAnchor="page" w:xAlign="center" w:yAlign="bottom"/>
      <w:ind w:left="1"/>
    </w:pPr>
    <w:rPr>
      <w:rFonts w:cs="Arial"/>
      <w:sz w:val="24"/>
      <w:szCs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cs="Arial"/>
      <w:sz w:val="24"/>
      <w:szCs w:val="24"/>
    </w:rPr>
  </w:style>
  <w:style w:type="paragraph" w:styleId="Sprechblasentext">
    <w:name w:val="Balloon Text"/>
    <w:basedOn w:val="Standard"/>
    <w:link w:val="SprechblasentextZchn"/>
    <w:uiPriority w:val="99"/>
    <w:semiHidden/>
    <w:unhideWhenUsed/>
    <w:rsid w:val="00B06F23"/>
    <w:rPr>
      <w:rFonts w:ascii="Tahoma" w:hAnsi="Tahoma" w:cs="Tahoma"/>
      <w:sz w:val="16"/>
      <w:szCs w:val="16"/>
    </w:rPr>
  </w:style>
  <w:style w:type="character" w:customStyle="1" w:styleId="SprechblasentextZchn">
    <w:name w:val="Sprechblasentext Zchn"/>
    <w:link w:val="Sprechblasentext"/>
    <w:uiPriority w:val="99"/>
    <w:semiHidden/>
    <w:rsid w:val="00B06F23"/>
    <w:rPr>
      <w:rFonts w:ascii="Tahoma" w:hAnsi="Tahoma" w:cs="Tahoma"/>
      <w:snapToGrid w:val="0"/>
      <w:sz w:val="16"/>
      <w:szCs w:val="16"/>
      <w:lang w:eastAsia="de-DE"/>
    </w:rPr>
  </w:style>
  <w:style w:type="table" w:styleId="Tabellenraster">
    <w:name w:val="Table Grid"/>
    <w:basedOn w:val="NormaleTabelle"/>
    <w:uiPriority w:val="39"/>
    <w:rsid w:val="00E11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rTextZchn">
    <w:name w:val="Nur Text Zchn"/>
    <w:link w:val="NurText"/>
    <w:uiPriority w:val="99"/>
    <w:rsid w:val="004862FE"/>
    <w:rPr>
      <w:rFonts w:ascii="Courier New" w:hAnsi="Courier New" w:cs="Courier New"/>
      <w:snapToGrid w:val="0"/>
      <w:lang w:eastAsia="de-DE"/>
    </w:rPr>
  </w:style>
  <w:style w:type="paragraph" w:styleId="Listenabsatz">
    <w:name w:val="List Paragraph"/>
    <w:basedOn w:val="Standard"/>
    <w:uiPriority w:val="34"/>
    <w:qFormat/>
    <w:rsid w:val="004862FE"/>
    <w:pPr>
      <w:ind w:left="708"/>
    </w:pPr>
  </w:style>
  <w:style w:type="character" w:styleId="Hyperlink">
    <w:name w:val="Hyperlink"/>
    <w:uiPriority w:val="99"/>
    <w:unhideWhenUsed/>
    <w:rsid w:val="00B21A8F"/>
    <w:rPr>
      <w:color w:val="0563C1"/>
      <w:u w:val="single"/>
    </w:rPr>
  </w:style>
  <w:style w:type="character" w:styleId="BesuchterLink">
    <w:name w:val="FollowedHyperlink"/>
    <w:uiPriority w:val="99"/>
    <w:semiHidden/>
    <w:unhideWhenUsed/>
    <w:rsid w:val="00522AC4"/>
    <w:rPr>
      <w:color w:val="954F72"/>
      <w:u w:val="single"/>
    </w:rPr>
  </w:style>
  <w:style w:type="paragraph" w:styleId="berarbeitung">
    <w:name w:val="Revision"/>
    <w:hidden/>
    <w:uiPriority w:val="99"/>
    <w:semiHidden/>
    <w:rsid w:val="001D2316"/>
    <w:rPr>
      <w:rFonts w:ascii="Arial" w:hAnsi="Arial"/>
      <w:snapToGrid w:val="0"/>
      <w:lang w:eastAsia="de-DE"/>
    </w:rPr>
  </w:style>
  <w:style w:type="character" w:styleId="Fett">
    <w:name w:val="Strong"/>
    <w:uiPriority w:val="22"/>
    <w:qFormat/>
    <w:rsid w:val="00CD79B0"/>
    <w:rPr>
      <w:b/>
      <w:bCs/>
    </w:rPr>
  </w:style>
  <w:style w:type="character" w:customStyle="1" w:styleId="FuzeileZchn">
    <w:name w:val="Fußzeile Zchn"/>
    <w:basedOn w:val="Absatz-Standardschriftart"/>
    <w:link w:val="Fuzeile"/>
    <w:uiPriority w:val="99"/>
    <w:rsid w:val="0015513E"/>
    <w:rPr>
      <w:rFonts w:ascii="Arial" w:hAnsi="Arial"/>
      <w:snapToGrid w:val="0"/>
      <w:lang w:eastAsia="de-DE"/>
    </w:rPr>
  </w:style>
  <w:style w:type="character" w:styleId="Kommentarzeichen">
    <w:name w:val="annotation reference"/>
    <w:basedOn w:val="Absatz-Standardschriftart"/>
    <w:uiPriority w:val="99"/>
    <w:semiHidden/>
    <w:unhideWhenUsed/>
    <w:rsid w:val="00E07034"/>
    <w:rPr>
      <w:sz w:val="16"/>
      <w:szCs w:val="16"/>
    </w:rPr>
  </w:style>
  <w:style w:type="paragraph" w:styleId="Kommentarthema">
    <w:name w:val="annotation subject"/>
    <w:basedOn w:val="Kommentartext"/>
    <w:next w:val="Kommentartext"/>
    <w:link w:val="KommentarthemaZchn"/>
    <w:uiPriority w:val="99"/>
    <w:semiHidden/>
    <w:unhideWhenUsed/>
    <w:rsid w:val="00E07034"/>
    <w:rPr>
      <w:b/>
      <w:bCs/>
    </w:rPr>
  </w:style>
  <w:style w:type="character" w:customStyle="1" w:styleId="KommentartextZchn">
    <w:name w:val="Kommentartext Zchn"/>
    <w:basedOn w:val="Absatz-Standardschriftart"/>
    <w:link w:val="Kommentartext"/>
    <w:semiHidden/>
    <w:rsid w:val="00E07034"/>
    <w:rPr>
      <w:rFonts w:ascii="Arial" w:hAnsi="Arial"/>
      <w:snapToGrid w:val="0"/>
      <w:lang w:eastAsia="de-DE"/>
    </w:rPr>
  </w:style>
  <w:style w:type="character" w:customStyle="1" w:styleId="KommentarthemaZchn">
    <w:name w:val="Kommentarthema Zchn"/>
    <w:basedOn w:val="KommentartextZchn"/>
    <w:link w:val="Kommentarthema"/>
    <w:uiPriority w:val="99"/>
    <w:semiHidden/>
    <w:rsid w:val="00E07034"/>
    <w:rPr>
      <w:rFonts w:ascii="Arial" w:hAnsi="Arial"/>
      <w:b/>
      <w:bCs/>
      <w:snapToGrid w:val="0"/>
      <w:lang w:eastAsia="de-DE"/>
    </w:rPr>
  </w:style>
  <w:style w:type="character" w:customStyle="1" w:styleId="TitelZchn">
    <w:name w:val="Titel Zchn"/>
    <w:basedOn w:val="Absatz-Standardschriftart"/>
    <w:link w:val="Titel"/>
    <w:uiPriority w:val="10"/>
    <w:rsid w:val="00D9704D"/>
    <w:rPr>
      <w:rFonts w:ascii="Arial" w:hAnsi="Arial"/>
      <w:b/>
      <w:snapToGrid w:val="0"/>
      <w:sz w:val="32"/>
      <w:lang w:eastAsia="de-DE"/>
    </w:rPr>
  </w:style>
  <w:style w:type="character" w:customStyle="1" w:styleId="FunotentextZchn">
    <w:name w:val="Fußnotentext Zchn"/>
    <w:basedOn w:val="Absatz-Standardschriftart"/>
    <w:link w:val="Funotentext"/>
    <w:rsid w:val="00D9704D"/>
    <w:rPr>
      <w:rFonts w:ascii="Arial" w:hAnsi="Arial"/>
      <w:snapToGrid w:val="0"/>
      <w:lang w:eastAsia="de-DE"/>
    </w:rPr>
  </w:style>
  <w:style w:type="character" w:styleId="Funotenzeichen">
    <w:name w:val="footnote reference"/>
    <w:basedOn w:val="Absatz-Standardschriftart"/>
    <w:unhideWhenUsed/>
    <w:rsid w:val="00D9704D"/>
    <w:rPr>
      <w:sz w:val="22"/>
      <w:vertAlign w:val="superscript"/>
    </w:rPr>
  </w:style>
  <w:style w:type="paragraph" w:customStyle="1" w:styleId="Absatz">
    <w:name w:val="Absatz"/>
    <w:basedOn w:val="Standard"/>
    <w:qFormat/>
    <w:rsid w:val="00D9704D"/>
    <w:pPr>
      <w:spacing w:after="120"/>
      <w:ind w:left="425"/>
      <w:jc w:val="left"/>
    </w:pPr>
    <w:rPr>
      <w:rFonts w:eastAsiaTheme="minorHAnsi" w:cstheme="minorBidi"/>
      <w:snapToGrid/>
      <w:kern w:val="2"/>
      <w:sz w:val="22"/>
      <w:szCs w:val="22"/>
      <w:lang w:eastAsia="en-US"/>
      <w14:ligatures w14:val="standardContextual"/>
    </w:rPr>
  </w:style>
  <w:style w:type="character" w:customStyle="1" w:styleId="DatumZchn">
    <w:name w:val="Datum Zchn"/>
    <w:basedOn w:val="Absatz-Standardschriftart"/>
    <w:link w:val="Datum"/>
    <w:semiHidden/>
    <w:rsid w:val="005601D4"/>
    <w:rPr>
      <w:rFonts w:ascii="Arial" w:hAnsi="Arial"/>
      <w:snapToGrid w:val="0"/>
      <w:lang w:eastAsia="de-DE"/>
    </w:rPr>
  </w:style>
  <w:style w:type="paragraph" w:styleId="KeinLeerraum">
    <w:name w:val="No Spacing"/>
    <w:uiPriority w:val="1"/>
    <w:qFormat/>
    <w:rsid w:val="005601D4"/>
    <w:pPr>
      <w:snapToGrid w:val="0"/>
      <w:jc w:val="both"/>
    </w:pPr>
    <w:rPr>
      <w:rFonts w:ascii="Arial" w:hAnsi="Arial"/>
      <w:lang w:val="fr-CH" w:eastAsia="de-DE"/>
    </w:rPr>
  </w:style>
  <w:style w:type="paragraph" w:customStyle="1" w:styleId="Adresse">
    <w:name w:val="Adresse"/>
    <w:basedOn w:val="Standard"/>
    <w:rsid w:val="005601D4"/>
    <w:rPr>
      <w:rFonts w:cs="Arial"/>
      <w:snapToGrid/>
      <w:szCs w:val="24"/>
    </w:rPr>
  </w:style>
  <w:style w:type="paragraph" w:customStyle="1" w:styleId="Gruss">
    <w:name w:val="Gruss"/>
    <w:basedOn w:val="Adresse"/>
    <w:rsid w:val="005601D4"/>
  </w:style>
  <w:style w:type="paragraph" w:customStyle="1" w:styleId="Firma">
    <w:name w:val="Firma"/>
    <w:basedOn w:val="Adresse"/>
    <w:rsid w:val="005601D4"/>
    <w:rPr>
      <w:b/>
    </w:rPr>
  </w:style>
  <w:style w:type="paragraph" w:customStyle="1" w:styleId="Text">
    <w:name w:val="Text"/>
    <w:basedOn w:val="Standard"/>
    <w:rsid w:val="005601D4"/>
    <w:rPr>
      <w:rFonts w:cs="Arial"/>
      <w:snapToGrid/>
      <w:szCs w:val="24"/>
    </w:rPr>
  </w:style>
  <w:style w:type="paragraph" w:customStyle="1" w:styleId="Unterschrift1">
    <w:name w:val="Unterschrift1"/>
    <w:basedOn w:val="Standard"/>
    <w:rsid w:val="005601D4"/>
    <w:rPr>
      <w:rFonts w:cs="Arial"/>
      <w:snapToGrid/>
      <w:sz w:val="16"/>
      <w:szCs w:val="24"/>
    </w:rPr>
  </w:style>
  <w:style w:type="paragraph" w:customStyle="1" w:styleId="Betreff">
    <w:name w:val="Betreff"/>
    <w:basedOn w:val="Unterschrift1"/>
    <w:rsid w:val="005601D4"/>
    <w:rPr>
      <w:b/>
      <w:sz w:val="24"/>
    </w:rPr>
  </w:style>
  <w:style w:type="character" w:customStyle="1" w:styleId="berschrift1Zchn">
    <w:name w:val="Überschrift 1 Zchn"/>
    <w:link w:val="berschrift1"/>
    <w:uiPriority w:val="9"/>
    <w:rsid w:val="00133D1B"/>
    <w:rPr>
      <w:rFonts w:ascii="Arial" w:hAnsi="Arial"/>
      <w:b/>
      <w:snapToGrid w:val="0"/>
      <w:kern w:val="28"/>
      <w:lang w:eastAsia="de-DE"/>
    </w:rPr>
  </w:style>
  <w:style w:type="paragraph" w:styleId="Inhaltsverzeichnisberschrift">
    <w:name w:val="TOC Heading"/>
    <w:basedOn w:val="berschrift1"/>
    <w:next w:val="Standard"/>
    <w:uiPriority w:val="39"/>
    <w:unhideWhenUsed/>
    <w:qFormat/>
    <w:rsid w:val="006213EC"/>
    <w:pPr>
      <w:keepLines/>
      <w:spacing w:before="240" w:line="259" w:lineRule="auto"/>
      <w:jc w:val="left"/>
      <w:outlineLvl w:val="9"/>
    </w:pPr>
    <w:rPr>
      <w:rFonts w:asciiTheme="majorHAnsi" w:eastAsiaTheme="majorEastAsia" w:hAnsiTheme="majorHAnsi" w:cstheme="majorBidi"/>
      <w:b w:val="0"/>
      <w:snapToGrid/>
      <w:color w:val="2E74B5" w:themeColor="accent1" w:themeShade="BF"/>
      <w:kern w:val="0"/>
      <w:sz w:val="32"/>
      <w:szCs w:val="32"/>
      <w:lang w:eastAsia="de-CH"/>
    </w:rPr>
  </w:style>
  <w:style w:type="paragraph" w:customStyle="1" w:styleId="isselectedend">
    <w:name w:val="isselectedend"/>
    <w:basedOn w:val="Standard"/>
    <w:rsid w:val="00D13467"/>
    <w:pPr>
      <w:spacing w:before="100" w:beforeAutospacing="1" w:after="100" w:afterAutospacing="1"/>
      <w:jc w:val="left"/>
    </w:pPr>
    <w:rPr>
      <w:rFonts w:ascii="Times New Roman" w:hAnsi="Times New Roman"/>
      <w:snapToGrid/>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7081">
      <w:bodyDiv w:val="1"/>
      <w:marLeft w:val="0"/>
      <w:marRight w:val="0"/>
      <w:marTop w:val="0"/>
      <w:marBottom w:val="0"/>
      <w:divBdr>
        <w:top w:val="none" w:sz="0" w:space="0" w:color="auto"/>
        <w:left w:val="none" w:sz="0" w:space="0" w:color="auto"/>
        <w:bottom w:val="none" w:sz="0" w:space="0" w:color="auto"/>
        <w:right w:val="none" w:sz="0" w:space="0" w:color="auto"/>
      </w:divBdr>
    </w:div>
    <w:div w:id="68117444">
      <w:bodyDiv w:val="1"/>
      <w:marLeft w:val="0"/>
      <w:marRight w:val="0"/>
      <w:marTop w:val="0"/>
      <w:marBottom w:val="0"/>
      <w:divBdr>
        <w:top w:val="none" w:sz="0" w:space="0" w:color="auto"/>
        <w:left w:val="none" w:sz="0" w:space="0" w:color="auto"/>
        <w:bottom w:val="none" w:sz="0" w:space="0" w:color="auto"/>
        <w:right w:val="none" w:sz="0" w:space="0" w:color="auto"/>
      </w:divBdr>
    </w:div>
    <w:div w:id="165831972">
      <w:bodyDiv w:val="1"/>
      <w:marLeft w:val="0"/>
      <w:marRight w:val="0"/>
      <w:marTop w:val="0"/>
      <w:marBottom w:val="0"/>
      <w:divBdr>
        <w:top w:val="none" w:sz="0" w:space="0" w:color="auto"/>
        <w:left w:val="none" w:sz="0" w:space="0" w:color="auto"/>
        <w:bottom w:val="none" w:sz="0" w:space="0" w:color="auto"/>
        <w:right w:val="none" w:sz="0" w:space="0" w:color="auto"/>
      </w:divBdr>
    </w:div>
    <w:div w:id="918636601">
      <w:bodyDiv w:val="1"/>
      <w:marLeft w:val="0"/>
      <w:marRight w:val="0"/>
      <w:marTop w:val="0"/>
      <w:marBottom w:val="0"/>
      <w:divBdr>
        <w:top w:val="none" w:sz="0" w:space="0" w:color="auto"/>
        <w:left w:val="none" w:sz="0" w:space="0" w:color="auto"/>
        <w:bottom w:val="none" w:sz="0" w:space="0" w:color="auto"/>
        <w:right w:val="none" w:sz="0" w:space="0" w:color="auto"/>
      </w:divBdr>
    </w:div>
    <w:div w:id="956520619">
      <w:bodyDiv w:val="1"/>
      <w:marLeft w:val="0"/>
      <w:marRight w:val="0"/>
      <w:marTop w:val="0"/>
      <w:marBottom w:val="0"/>
      <w:divBdr>
        <w:top w:val="none" w:sz="0" w:space="0" w:color="auto"/>
        <w:left w:val="none" w:sz="0" w:space="0" w:color="auto"/>
        <w:bottom w:val="none" w:sz="0" w:space="0" w:color="auto"/>
        <w:right w:val="none" w:sz="0" w:space="0" w:color="auto"/>
      </w:divBdr>
    </w:div>
    <w:div w:id="988827504">
      <w:bodyDiv w:val="1"/>
      <w:marLeft w:val="0"/>
      <w:marRight w:val="0"/>
      <w:marTop w:val="0"/>
      <w:marBottom w:val="0"/>
      <w:divBdr>
        <w:top w:val="none" w:sz="0" w:space="0" w:color="auto"/>
        <w:left w:val="none" w:sz="0" w:space="0" w:color="auto"/>
        <w:bottom w:val="none" w:sz="0" w:space="0" w:color="auto"/>
        <w:right w:val="none" w:sz="0" w:space="0" w:color="auto"/>
      </w:divBdr>
    </w:div>
    <w:div w:id="1200973951">
      <w:bodyDiv w:val="1"/>
      <w:marLeft w:val="0"/>
      <w:marRight w:val="0"/>
      <w:marTop w:val="0"/>
      <w:marBottom w:val="0"/>
      <w:divBdr>
        <w:top w:val="none" w:sz="0" w:space="0" w:color="auto"/>
        <w:left w:val="none" w:sz="0" w:space="0" w:color="auto"/>
        <w:bottom w:val="none" w:sz="0" w:space="0" w:color="auto"/>
        <w:right w:val="none" w:sz="0" w:space="0" w:color="auto"/>
      </w:divBdr>
    </w:div>
    <w:div w:id="1326014436">
      <w:bodyDiv w:val="1"/>
      <w:marLeft w:val="0"/>
      <w:marRight w:val="0"/>
      <w:marTop w:val="0"/>
      <w:marBottom w:val="0"/>
      <w:divBdr>
        <w:top w:val="none" w:sz="0" w:space="0" w:color="auto"/>
        <w:left w:val="none" w:sz="0" w:space="0" w:color="auto"/>
        <w:bottom w:val="none" w:sz="0" w:space="0" w:color="auto"/>
        <w:right w:val="none" w:sz="0" w:space="0" w:color="auto"/>
      </w:divBdr>
    </w:div>
    <w:div w:id="1453016737">
      <w:bodyDiv w:val="1"/>
      <w:marLeft w:val="0"/>
      <w:marRight w:val="0"/>
      <w:marTop w:val="0"/>
      <w:marBottom w:val="0"/>
      <w:divBdr>
        <w:top w:val="none" w:sz="0" w:space="0" w:color="auto"/>
        <w:left w:val="none" w:sz="0" w:space="0" w:color="auto"/>
        <w:bottom w:val="none" w:sz="0" w:space="0" w:color="auto"/>
        <w:right w:val="none" w:sz="0" w:space="0" w:color="auto"/>
      </w:divBdr>
      <w:divsChild>
        <w:div w:id="1767336476">
          <w:marLeft w:val="0"/>
          <w:marRight w:val="0"/>
          <w:marTop w:val="0"/>
          <w:marBottom w:val="0"/>
          <w:divBdr>
            <w:top w:val="none" w:sz="0" w:space="0" w:color="auto"/>
            <w:left w:val="none" w:sz="0" w:space="0" w:color="auto"/>
            <w:bottom w:val="none" w:sz="0" w:space="0" w:color="auto"/>
            <w:right w:val="none" w:sz="0" w:space="0" w:color="auto"/>
          </w:divBdr>
          <w:divsChild>
            <w:div w:id="352732531">
              <w:marLeft w:val="0"/>
              <w:marRight w:val="0"/>
              <w:marTop w:val="0"/>
              <w:marBottom w:val="0"/>
              <w:divBdr>
                <w:top w:val="none" w:sz="0" w:space="0" w:color="auto"/>
                <w:left w:val="none" w:sz="0" w:space="0" w:color="auto"/>
                <w:bottom w:val="none" w:sz="0" w:space="0" w:color="auto"/>
                <w:right w:val="none" w:sz="0" w:space="0" w:color="auto"/>
              </w:divBdr>
              <w:divsChild>
                <w:div w:id="389814941">
                  <w:marLeft w:val="0"/>
                  <w:marRight w:val="0"/>
                  <w:marTop w:val="0"/>
                  <w:marBottom w:val="0"/>
                  <w:divBdr>
                    <w:top w:val="none" w:sz="0" w:space="0" w:color="auto"/>
                    <w:left w:val="none" w:sz="0" w:space="0" w:color="auto"/>
                    <w:bottom w:val="none" w:sz="0" w:space="0" w:color="auto"/>
                    <w:right w:val="none" w:sz="0" w:space="0" w:color="auto"/>
                  </w:divBdr>
                  <w:divsChild>
                    <w:div w:id="711923047">
                      <w:marLeft w:val="0"/>
                      <w:marRight w:val="0"/>
                      <w:marTop w:val="0"/>
                      <w:marBottom w:val="0"/>
                      <w:divBdr>
                        <w:top w:val="none" w:sz="0" w:space="0" w:color="auto"/>
                        <w:left w:val="none" w:sz="0" w:space="0" w:color="auto"/>
                        <w:bottom w:val="none" w:sz="0" w:space="0" w:color="auto"/>
                        <w:right w:val="none" w:sz="0" w:space="0" w:color="auto"/>
                      </w:divBdr>
                      <w:divsChild>
                        <w:div w:id="1914969671">
                          <w:marLeft w:val="0"/>
                          <w:marRight w:val="0"/>
                          <w:marTop w:val="0"/>
                          <w:marBottom w:val="0"/>
                          <w:divBdr>
                            <w:top w:val="none" w:sz="0" w:space="0" w:color="auto"/>
                            <w:left w:val="none" w:sz="0" w:space="0" w:color="auto"/>
                            <w:bottom w:val="none" w:sz="0" w:space="0" w:color="auto"/>
                            <w:right w:val="none" w:sz="0" w:space="0" w:color="auto"/>
                          </w:divBdr>
                          <w:divsChild>
                            <w:div w:id="9040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8155">
      <w:bodyDiv w:val="1"/>
      <w:marLeft w:val="0"/>
      <w:marRight w:val="0"/>
      <w:marTop w:val="0"/>
      <w:marBottom w:val="0"/>
      <w:divBdr>
        <w:top w:val="none" w:sz="0" w:space="0" w:color="auto"/>
        <w:left w:val="none" w:sz="0" w:space="0" w:color="auto"/>
        <w:bottom w:val="none" w:sz="0" w:space="0" w:color="auto"/>
        <w:right w:val="none" w:sz="0" w:space="0" w:color="auto"/>
      </w:divBdr>
    </w:div>
    <w:div w:id="1592663128">
      <w:bodyDiv w:val="1"/>
      <w:marLeft w:val="0"/>
      <w:marRight w:val="0"/>
      <w:marTop w:val="0"/>
      <w:marBottom w:val="0"/>
      <w:divBdr>
        <w:top w:val="none" w:sz="0" w:space="0" w:color="auto"/>
        <w:left w:val="none" w:sz="0" w:space="0" w:color="auto"/>
        <w:bottom w:val="none" w:sz="0" w:space="0" w:color="auto"/>
        <w:right w:val="none" w:sz="0" w:space="0" w:color="auto"/>
      </w:divBdr>
    </w:div>
    <w:div w:id="1599367118">
      <w:bodyDiv w:val="1"/>
      <w:marLeft w:val="0"/>
      <w:marRight w:val="0"/>
      <w:marTop w:val="0"/>
      <w:marBottom w:val="0"/>
      <w:divBdr>
        <w:top w:val="none" w:sz="0" w:space="0" w:color="auto"/>
        <w:left w:val="none" w:sz="0" w:space="0" w:color="auto"/>
        <w:bottom w:val="none" w:sz="0" w:space="0" w:color="auto"/>
        <w:right w:val="none" w:sz="0" w:space="0" w:color="auto"/>
      </w:divBdr>
    </w:div>
    <w:div w:id="1603338799">
      <w:bodyDiv w:val="1"/>
      <w:marLeft w:val="0"/>
      <w:marRight w:val="0"/>
      <w:marTop w:val="0"/>
      <w:marBottom w:val="0"/>
      <w:divBdr>
        <w:top w:val="none" w:sz="0" w:space="0" w:color="auto"/>
        <w:left w:val="none" w:sz="0" w:space="0" w:color="auto"/>
        <w:bottom w:val="none" w:sz="0" w:space="0" w:color="auto"/>
        <w:right w:val="none" w:sz="0" w:space="0" w:color="auto"/>
      </w:divBdr>
    </w:div>
    <w:div w:id="1673603513">
      <w:bodyDiv w:val="1"/>
      <w:marLeft w:val="0"/>
      <w:marRight w:val="0"/>
      <w:marTop w:val="0"/>
      <w:marBottom w:val="0"/>
      <w:divBdr>
        <w:top w:val="none" w:sz="0" w:space="0" w:color="auto"/>
        <w:left w:val="none" w:sz="0" w:space="0" w:color="auto"/>
        <w:bottom w:val="none" w:sz="0" w:space="0" w:color="auto"/>
        <w:right w:val="none" w:sz="0" w:space="0" w:color="auto"/>
      </w:divBdr>
    </w:div>
    <w:div w:id="210884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13921d-21f0-4573-8d4e-bd292985cd35" xsi:nil="true"/>
    <lcf76f155ced4ddcb4097134ff3c332f xmlns="286d5ab8-99ae-448d-82c6-b4c98b783d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D0D2D109C6E2F542AF36C3EE91E069E8" ma:contentTypeVersion="15" ma:contentTypeDescription="Creare un nuovo documento." ma:contentTypeScope="" ma:versionID="d02a1cea2e2b2368edec73d620f4c82b">
  <xsd:schema xmlns:xsd="http://www.w3.org/2001/XMLSchema" xmlns:xs="http://www.w3.org/2001/XMLSchema" xmlns:p="http://schemas.microsoft.com/office/2006/metadata/properties" xmlns:ns2="286d5ab8-99ae-448d-82c6-b4c98b783dd3" xmlns:ns3="9113921d-21f0-4573-8d4e-bd292985cd35" targetNamespace="http://schemas.microsoft.com/office/2006/metadata/properties" ma:root="true" ma:fieldsID="65d8b48e50c58c7f38f660615dfbb200" ns2:_="" ns3:_="">
    <xsd:import namespace="286d5ab8-99ae-448d-82c6-b4c98b783dd3"/>
    <xsd:import namespace="9113921d-21f0-4573-8d4e-bd292985cd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d5ab8-99ae-448d-82c6-b4c98b783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82efce1e-3aa7-44c3-9579-3d4b057aba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13921d-21f0-4573-8d4e-bd292985cd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4e7580-8e4c-4746-9f95-cb3cb96a557b}" ma:internalName="TaxCatchAll" ma:showField="CatchAllData" ma:web="9113921d-21f0-4573-8d4e-bd292985cd3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5963A3-A77B-4A04-84E4-4FB00AB1203A}">
  <ds:schemaRefs>
    <ds:schemaRef ds:uri="http://schemas.microsoft.com/office/2006/metadata/properties"/>
    <ds:schemaRef ds:uri="http://schemas.microsoft.com/office/infopath/2007/PartnerControls"/>
    <ds:schemaRef ds:uri="9113921d-21f0-4573-8d4e-bd292985cd35"/>
    <ds:schemaRef ds:uri="286d5ab8-99ae-448d-82c6-b4c98b783dd3"/>
  </ds:schemaRefs>
</ds:datastoreItem>
</file>

<file path=customXml/itemProps2.xml><?xml version="1.0" encoding="utf-8"?>
<ds:datastoreItem xmlns:ds="http://schemas.openxmlformats.org/officeDocument/2006/customXml" ds:itemID="{99C6D75B-2CC0-423F-8F97-424F37E92EDA}">
  <ds:schemaRefs>
    <ds:schemaRef ds:uri="http://schemas.microsoft.com/sharepoint/v3/contenttype/forms"/>
  </ds:schemaRefs>
</ds:datastoreItem>
</file>

<file path=customXml/itemProps3.xml><?xml version="1.0" encoding="utf-8"?>
<ds:datastoreItem xmlns:ds="http://schemas.openxmlformats.org/officeDocument/2006/customXml" ds:itemID="{9ABE09B6-5D02-445A-AE5D-0DAD5AD759AC}">
  <ds:schemaRefs>
    <ds:schemaRef ds:uri="http://schemas.openxmlformats.org/officeDocument/2006/bibliography"/>
  </ds:schemaRefs>
</ds:datastoreItem>
</file>

<file path=customXml/itemProps4.xml><?xml version="1.0" encoding="utf-8"?>
<ds:datastoreItem xmlns:ds="http://schemas.openxmlformats.org/officeDocument/2006/customXml" ds:itemID="{0F6092F8-A11E-4D63-9DA8-2E14010F4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d5ab8-99ae-448d-82c6-b4c98b783dd3"/>
    <ds:schemaRef ds:uri="9113921d-21f0-4573-8d4e-bd292985cd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9107</Words>
  <Characters>57378</Characters>
  <Application>Microsoft Office Word</Application>
  <DocSecurity>0</DocSecurity>
  <Lines>478</Lines>
  <Paragraphs>132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Partnerschaftskonzept D</vt:lpstr>
      <vt:lpstr>AKTENNOTITZ____6. November 1995</vt:lpstr>
    </vt:vector>
  </TitlesOfParts>
  <Company>TREUHAND|SUISSE</Company>
  <LinksUpToDate>false</LinksUpToDate>
  <CharactersWithSpaces>66353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Partnerschaftskonzept D</dc:title>
  <dc:creator>Vanessa J. Lincoln</dc:creator>
  <cp:lastModifiedBy>Daniela Salkim</cp:lastModifiedBy>
  <cp:revision>6</cp:revision>
  <cp:lastPrinted>2026-06-03T12:08:00Z</cp:lastPrinted>
  <dcterms:created xsi:type="dcterms:W3CDTF">2026-06-18T06:36:00Z</dcterms:created>
  <dcterms:modified xsi:type="dcterms:W3CDTF">2026-06-18T07:07:00Z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0x010100D0D2D109C6E2F542AF36C3EE91E069E8</vt:lpwstr>
  </property>
  <property fmtid="{D5CDD505-2E9C-101B-9397-08002B2CF9AE}" pid="3" name="MediaServiceImageTags">
    <vt:lpwstr/>
  </property>
</Properties>
</file>