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3A82CA" w14:textId="4D54C8CB" w:rsidR="00ED414C" w:rsidRPr="006213EC" w:rsidRDefault="00ED414C" w:rsidP="008A6A5E">
      <w:pPr>
        <w:rPr>
          <w:lang w:val="fr-CH"/>
        </w:rPr>
      </w:pPr>
    </w:p>
    <w:p w14:paraId="48A7E1BF" w14:textId="449A8F91" w:rsidR="008A6A5E" w:rsidRPr="006213EC" w:rsidRDefault="008A6A5E" w:rsidP="008A6A5E">
      <w:pPr>
        <w:rPr>
          <w:lang w:val="fr-CH"/>
        </w:rPr>
      </w:pPr>
    </w:p>
    <w:p w14:paraId="788293CD" w14:textId="294E222D" w:rsidR="008A6A5E" w:rsidRPr="006213EC" w:rsidRDefault="008A6A5E" w:rsidP="008A6A5E">
      <w:pPr>
        <w:rPr>
          <w:lang w:val="fr-CH"/>
        </w:rPr>
      </w:pPr>
    </w:p>
    <w:p w14:paraId="3581D9C3" w14:textId="114E5470" w:rsidR="008A6A5E" w:rsidRPr="006213EC" w:rsidRDefault="008A6A5E" w:rsidP="008A6A5E">
      <w:pPr>
        <w:rPr>
          <w:lang w:val="fr-CH"/>
        </w:rPr>
      </w:pPr>
    </w:p>
    <w:p w14:paraId="050A15BF" w14:textId="0FF846E5" w:rsidR="008A6A5E" w:rsidRPr="006213EC" w:rsidRDefault="008A6A5E" w:rsidP="008A6A5E">
      <w:pPr>
        <w:rPr>
          <w:lang w:val="fr-CH"/>
        </w:rPr>
      </w:pPr>
    </w:p>
    <w:p w14:paraId="42C48121" w14:textId="77777777" w:rsidR="008A6A5E" w:rsidRPr="006213EC" w:rsidRDefault="008A6A5E" w:rsidP="008A6A5E">
      <w:pPr>
        <w:rPr>
          <w:lang w:val="fr-CH"/>
        </w:rPr>
      </w:pPr>
    </w:p>
    <w:p w14:paraId="0497DFFA" w14:textId="289DD1F2" w:rsidR="008A6A5E" w:rsidRPr="006213EC" w:rsidRDefault="008A6A5E" w:rsidP="008A6A5E">
      <w:pPr>
        <w:rPr>
          <w:lang w:val="fr-CH"/>
        </w:rPr>
      </w:pPr>
    </w:p>
    <w:p w14:paraId="1BA59D42" w14:textId="61C22241" w:rsidR="008A6A5E" w:rsidRPr="006213EC" w:rsidRDefault="008A6A5E" w:rsidP="008A6A5E">
      <w:pPr>
        <w:spacing w:after="480"/>
        <w:jc w:val="center"/>
        <w:rPr>
          <w:rFonts w:ascii="KievitPro-Regular" w:hAnsi="KievitPro-Regular" w:cs="Arial"/>
          <w:b/>
          <w:sz w:val="56"/>
          <w:szCs w:val="56"/>
          <w:lang w:val="fr-CH"/>
        </w:rPr>
      </w:pPr>
      <w:r w:rsidRPr="006213EC">
        <w:rPr>
          <w:rFonts w:ascii="KievitPro-Regular" w:hAnsi="KievitPro-Regular" w:cs="Arial"/>
          <w:b/>
          <w:sz w:val="56"/>
          <w:szCs w:val="56"/>
          <w:lang w:val="fr-CH"/>
        </w:rPr>
        <w:t>Instructions</w:t>
      </w:r>
    </w:p>
    <w:p w14:paraId="45E60D89" w14:textId="58770F24" w:rsidR="008A6A5E" w:rsidRPr="006213EC" w:rsidRDefault="008A6A5E" w:rsidP="008A6A5E">
      <w:pPr>
        <w:spacing w:after="480"/>
        <w:jc w:val="center"/>
        <w:rPr>
          <w:rFonts w:ascii="KievitPro-Regular" w:hAnsi="KievitPro-Regular" w:cs="Arial"/>
          <w:b/>
          <w:sz w:val="56"/>
          <w:szCs w:val="56"/>
          <w:lang w:val="fr-CH"/>
        </w:rPr>
      </w:pPr>
      <w:bookmarkStart w:id="0" w:name="_GoBack"/>
      <w:r w:rsidRPr="006213EC">
        <w:rPr>
          <w:rFonts w:ascii="KievitPro-Regular" w:hAnsi="KievitPro-Regular" w:cs="Arial"/>
          <w:b/>
          <w:sz w:val="56"/>
          <w:szCs w:val="56"/>
          <w:lang w:val="fr-CH"/>
        </w:rPr>
        <w:t>sur l</w:t>
      </w:r>
      <w:r w:rsidR="00F94B17">
        <w:rPr>
          <w:rFonts w:ascii="KievitPro-Regular" w:hAnsi="KievitPro-Regular" w:cs="Arial"/>
          <w:b/>
          <w:sz w:val="56"/>
          <w:szCs w:val="56"/>
          <w:lang w:val="fr-CH"/>
        </w:rPr>
        <w:t>’assurance-qualité</w:t>
      </w:r>
      <w:bookmarkEnd w:id="0"/>
      <w:r w:rsidR="00F94B17">
        <w:rPr>
          <w:rFonts w:ascii="KievitPro-Regular" w:hAnsi="KievitPro-Regular" w:cs="Arial"/>
          <w:b/>
          <w:sz w:val="56"/>
          <w:szCs w:val="56"/>
          <w:lang w:val="fr-CH"/>
        </w:rPr>
        <w:t xml:space="preserve"> </w:t>
      </w:r>
    </w:p>
    <w:p w14:paraId="25A21943" w14:textId="288B73D1" w:rsidR="008A6A5E" w:rsidRPr="006213EC" w:rsidRDefault="00F94B17" w:rsidP="008A6A5E">
      <w:pPr>
        <w:spacing w:after="480"/>
        <w:jc w:val="center"/>
        <w:rPr>
          <w:rFonts w:ascii="KievitPro-Regular" w:hAnsi="KievitPro-Regular" w:cs="Arial"/>
          <w:b/>
          <w:sz w:val="56"/>
          <w:szCs w:val="56"/>
          <w:lang w:val="fr-CH"/>
        </w:rPr>
      </w:pPr>
      <w:r>
        <w:rPr>
          <w:rFonts w:ascii="KievitPro-Regular" w:hAnsi="KievitPro-Regular" w:cs="Arial"/>
          <w:b/>
          <w:sz w:val="56"/>
          <w:szCs w:val="56"/>
          <w:lang w:val="fr-CH"/>
        </w:rPr>
        <w:t xml:space="preserve">dans les </w:t>
      </w:r>
      <w:r w:rsidR="008A6A5E" w:rsidRPr="006213EC">
        <w:rPr>
          <w:rFonts w:ascii="KievitPro-Regular" w:hAnsi="KievitPro-Regular" w:cs="Arial"/>
          <w:b/>
          <w:sz w:val="56"/>
          <w:szCs w:val="56"/>
          <w:lang w:val="fr-CH"/>
        </w:rPr>
        <w:t>petites et moyennes</w:t>
      </w:r>
    </w:p>
    <w:p w14:paraId="56AFE6AC" w14:textId="77777777" w:rsidR="008A6A5E" w:rsidRPr="006213EC" w:rsidRDefault="008A6A5E" w:rsidP="008A6A5E">
      <w:pPr>
        <w:spacing w:after="480"/>
        <w:jc w:val="center"/>
        <w:rPr>
          <w:rFonts w:ascii="KievitPro-Regular" w:hAnsi="KievitPro-Regular" w:cs="Arial"/>
          <w:b/>
          <w:sz w:val="56"/>
          <w:szCs w:val="56"/>
          <w:lang w:val="fr-CH"/>
        </w:rPr>
      </w:pPr>
      <w:r w:rsidRPr="006213EC">
        <w:rPr>
          <w:rFonts w:ascii="KievitPro-Regular" w:hAnsi="KievitPro-Regular" w:cs="Arial"/>
          <w:b/>
          <w:sz w:val="56"/>
          <w:szCs w:val="56"/>
          <w:lang w:val="fr-CH"/>
        </w:rPr>
        <w:t>entreprises de révision</w:t>
      </w:r>
    </w:p>
    <w:p w14:paraId="498BEEBB" w14:textId="4794B9DC" w:rsidR="008A6A5E" w:rsidRPr="006213EC" w:rsidRDefault="008A6A5E" w:rsidP="008A6A5E">
      <w:pPr>
        <w:jc w:val="center"/>
        <w:rPr>
          <w:lang w:val="fr-CH"/>
        </w:rPr>
      </w:pPr>
    </w:p>
    <w:p w14:paraId="2FAB0676" w14:textId="0B54749A" w:rsidR="008A6A5E" w:rsidRPr="006213EC" w:rsidRDefault="008A6A5E" w:rsidP="008A6A5E">
      <w:pPr>
        <w:jc w:val="center"/>
        <w:rPr>
          <w:lang w:val="fr-CH"/>
        </w:rPr>
      </w:pPr>
    </w:p>
    <w:p w14:paraId="4209EB6C" w14:textId="7A4F34B5" w:rsidR="008A6A5E" w:rsidRPr="006213EC" w:rsidRDefault="008A6A5E" w:rsidP="008A6A5E">
      <w:pPr>
        <w:jc w:val="center"/>
        <w:rPr>
          <w:lang w:val="fr-CH"/>
        </w:rPr>
      </w:pPr>
    </w:p>
    <w:p w14:paraId="4BA5F5DF" w14:textId="44AD3B28" w:rsidR="008A6A5E" w:rsidRPr="006213EC" w:rsidRDefault="008A6A5E" w:rsidP="008A6A5E">
      <w:pPr>
        <w:jc w:val="center"/>
        <w:rPr>
          <w:lang w:val="fr-CH"/>
        </w:rPr>
      </w:pPr>
    </w:p>
    <w:p w14:paraId="44C3438D" w14:textId="5CD8DE1D" w:rsidR="008A6A5E" w:rsidRPr="006213EC" w:rsidRDefault="008A6A5E" w:rsidP="008A6A5E">
      <w:pPr>
        <w:jc w:val="center"/>
        <w:rPr>
          <w:lang w:val="fr-CH"/>
        </w:rPr>
      </w:pPr>
    </w:p>
    <w:p w14:paraId="335BE61F" w14:textId="77777777" w:rsidR="008A6A5E" w:rsidRPr="005E25CD" w:rsidRDefault="008A6A5E" w:rsidP="008A6A5E">
      <w:pPr>
        <w:spacing w:line="360" w:lineRule="auto"/>
        <w:rPr>
          <w:rFonts w:ascii="KievitPro-Regular" w:hAnsi="KievitPro-Regular" w:cs="Arial"/>
          <w:b/>
          <w:sz w:val="44"/>
          <w:szCs w:val="44"/>
          <w:lang w:val="fr-CH"/>
        </w:rPr>
      </w:pPr>
    </w:p>
    <w:p w14:paraId="6798077B" w14:textId="77777777" w:rsidR="008A6A5E" w:rsidRPr="005E25CD" w:rsidRDefault="008A6A5E" w:rsidP="008A6A5E">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lang w:val="fr-CH"/>
        </w:rPr>
      </w:pPr>
    </w:p>
    <w:p w14:paraId="4E63D9D1" w14:textId="726C222D" w:rsidR="008A6A5E" w:rsidRPr="005E25CD" w:rsidRDefault="008A6A5E" w:rsidP="008A6A5E">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lang w:val="fr-CH"/>
        </w:rPr>
      </w:pPr>
      <w:r w:rsidRPr="005E25CD">
        <w:rPr>
          <w:rFonts w:ascii="KievitPro-Regular" w:hAnsi="KievitPro-Regular" w:cs="Arial"/>
          <w:sz w:val="22"/>
          <w:szCs w:val="22"/>
          <w:lang w:val="fr-CH"/>
        </w:rPr>
        <w:t>Les présentes instructions sur le contrôle qualité constituent la mise en œuvre des exigences posées aux petites et moyennes entreprises de révision telles qu’elles sont formulées dans l’ISA-CH-220 ; elles ont été approuvées par la direction de FIDUCIAIRE|SUISSE le 10.08.2023.</w:t>
      </w:r>
    </w:p>
    <w:p w14:paraId="67A8027C" w14:textId="77777777" w:rsidR="008A6A5E" w:rsidRPr="005E25CD" w:rsidRDefault="008A6A5E" w:rsidP="008A6A5E">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lang w:val="fr-CH"/>
        </w:rPr>
      </w:pPr>
    </w:p>
    <w:p w14:paraId="33744DE7" w14:textId="41414953" w:rsidR="008A6A5E" w:rsidRPr="005E25CD" w:rsidRDefault="008A6A5E" w:rsidP="008A6A5E">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KievitPro-Regular" w:hAnsi="KievitPro-Regular" w:cs="Arial"/>
          <w:sz w:val="22"/>
          <w:szCs w:val="22"/>
          <w:lang w:val="fr-CH"/>
        </w:rPr>
      </w:pPr>
      <w:r w:rsidRPr="005E25CD">
        <w:rPr>
          <w:rFonts w:ascii="KievitPro-Regular" w:hAnsi="KievitPro-Regular"/>
          <w:sz w:val="22"/>
          <w:szCs w:val="22"/>
          <w:lang w:val="fr-CH"/>
        </w:rPr>
        <w:t xml:space="preserve">Ces instructions remplacent la version de FIDUCIAIRE|SUISSE et </w:t>
      </w:r>
      <w:r w:rsidR="005601D4" w:rsidRPr="005E25CD">
        <w:rPr>
          <w:rFonts w:ascii="KievitPro-Regular" w:hAnsi="KievitPro-Regular"/>
          <w:sz w:val="22"/>
          <w:szCs w:val="22"/>
          <w:lang w:val="fr-CH"/>
        </w:rPr>
        <w:t>d’EXPERTsuisse</w:t>
      </w:r>
      <w:r w:rsidRPr="005E25CD">
        <w:rPr>
          <w:rFonts w:ascii="KievitPro-Regular" w:hAnsi="KievitPro-Regular"/>
          <w:sz w:val="22"/>
          <w:szCs w:val="22"/>
          <w:lang w:val="fr-CH"/>
        </w:rPr>
        <w:t xml:space="preserve"> (anciennement Chambre fiduciaire) du 27 juin 2017 ainsi que la version de FIDUCIAIRE|SUISSE du 20 mai 2020.</w:t>
      </w:r>
    </w:p>
    <w:p w14:paraId="0FDD5E41" w14:textId="77777777" w:rsidR="008A6A5E" w:rsidRPr="006213EC" w:rsidRDefault="008A6A5E" w:rsidP="008A6A5E">
      <w:pPr>
        <w:rPr>
          <w:rFonts w:cs="Arial"/>
          <w:b/>
          <w:sz w:val="44"/>
          <w:szCs w:val="44"/>
          <w:lang w:val="fr-CH"/>
        </w:rPr>
      </w:pPr>
    </w:p>
    <w:p w14:paraId="06CDE471" w14:textId="5B1726E9" w:rsidR="008A6A5E" w:rsidRPr="006213EC" w:rsidRDefault="008A6A5E" w:rsidP="008A6A5E">
      <w:pPr>
        <w:jc w:val="center"/>
        <w:rPr>
          <w:lang w:val="fr-CH"/>
        </w:rPr>
      </w:pPr>
    </w:p>
    <w:p w14:paraId="223C9BDA" w14:textId="0A33C08E" w:rsidR="008A6A5E" w:rsidRPr="006213EC" w:rsidRDefault="008A6A5E" w:rsidP="008A6A5E">
      <w:pPr>
        <w:jc w:val="center"/>
        <w:rPr>
          <w:lang w:val="fr-CH"/>
        </w:rPr>
      </w:pPr>
    </w:p>
    <w:p w14:paraId="7E6ED090" w14:textId="7C44215D" w:rsidR="008A6A5E" w:rsidRPr="006213EC" w:rsidRDefault="008A6A5E" w:rsidP="008A6A5E">
      <w:pPr>
        <w:jc w:val="center"/>
        <w:rPr>
          <w:lang w:val="fr-CH"/>
        </w:rPr>
      </w:pPr>
    </w:p>
    <w:p w14:paraId="5CC0F321" w14:textId="0C703E1F" w:rsidR="008A6A5E" w:rsidRPr="006213EC" w:rsidRDefault="008A6A5E" w:rsidP="008A6A5E">
      <w:pPr>
        <w:jc w:val="center"/>
        <w:rPr>
          <w:lang w:val="fr-CH"/>
        </w:rPr>
      </w:pPr>
    </w:p>
    <w:p w14:paraId="490BEC73" w14:textId="577BC9DB" w:rsidR="008A6A5E" w:rsidRPr="006213EC" w:rsidRDefault="008A6A5E" w:rsidP="008A6A5E">
      <w:pPr>
        <w:jc w:val="center"/>
        <w:rPr>
          <w:lang w:val="fr-CH"/>
        </w:rPr>
      </w:pPr>
    </w:p>
    <w:p w14:paraId="42FBB4F8" w14:textId="419B1CBA" w:rsidR="008A6A5E" w:rsidRPr="006213EC" w:rsidRDefault="008A6A5E" w:rsidP="008A6A5E">
      <w:pPr>
        <w:jc w:val="center"/>
        <w:rPr>
          <w:lang w:val="fr-CH"/>
        </w:rPr>
      </w:pPr>
    </w:p>
    <w:p w14:paraId="76A9EBB3" w14:textId="49E971CC" w:rsidR="008A6A5E" w:rsidRPr="006213EC" w:rsidRDefault="008A6A5E" w:rsidP="008A6A5E">
      <w:pPr>
        <w:jc w:val="center"/>
        <w:rPr>
          <w:lang w:val="fr-CH"/>
        </w:rPr>
      </w:pPr>
    </w:p>
    <w:p w14:paraId="1BBF8B29" w14:textId="4BACE43C" w:rsidR="008A6A5E" w:rsidRPr="006213EC" w:rsidRDefault="008A6A5E" w:rsidP="008A6A5E">
      <w:pPr>
        <w:jc w:val="center"/>
        <w:rPr>
          <w:lang w:val="fr-CH"/>
        </w:rPr>
      </w:pPr>
    </w:p>
    <w:p w14:paraId="42BCAD96" w14:textId="1A451A4B" w:rsidR="008A6A5E" w:rsidRPr="006213EC" w:rsidRDefault="008A6A5E" w:rsidP="008A6A5E">
      <w:pPr>
        <w:jc w:val="center"/>
        <w:rPr>
          <w:lang w:val="fr-CH"/>
        </w:rPr>
      </w:pPr>
    </w:p>
    <w:p w14:paraId="680E72D4" w14:textId="23CD6750" w:rsidR="008A6A5E" w:rsidRPr="006213EC" w:rsidRDefault="008A6A5E" w:rsidP="008A6A5E">
      <w:pPr>
        <w:jc w:val="center"/>
        <w:rPr>
          <w:lang w:val="fr-CH"/>
        </w:rPr>
      </w:pPr>
    </w:p>
    <w:p w14:paraId="1A011D57" w14:textId="4BFE1184" w:rsidR="008A6A5E" w:rsidRPr="006213EC" w:rsidRDefault="008A6A5E" w:rsidP="008A6A5E">
      <w:pPr>
        <w:jc w:val="center"/>
        <w:rPr>
          <w:lang w:val="fr-CH"/>
        </w:rPr>
      </w:pPr>
    </w:p>
    <w:p w14:paraId="6CF2DC6D" w14:textId="1BB00BFD" w:rsidR="008A6A5E" w:rsidRPr="006213EC" w:rsidRDefault="008A6A5E" w:rsidP="008A6A5E">
      <w:pPr>
        <w:jc w:val="center"/>
        <w:rPr>
          <w:lang w:val="fr-CH"/>
        </w:rPr>
      </w:pPr>
    </w:p>
    <w:p w14:paraId="4BC8A60D" w14:textId="1F4BFB5F" w:rsidR="008A6A5E" w:rsidRPr="006213EC" w:rsidRDefault="008A6A5E" w:rsidP="008A6A5E">
      <w:pPr>
        <w:jc w:val="center"/>
        <w:rPr>
          <w:lang w:val="fr-CH"/>
        </w:rPr>
      </w:pPr>
    </w:p>
    <w:p w14:paraId="40F7323F" w14:textId="13AED182" w:rsidR="008A6A5E" w:rsidRPr="006213EC" w:rsidRDefault="008A6A5E" w:rsidP="008A6A5E">
      <w:pPr>
        <w:jc w:val="center"/>
        <w:rPr>
          <w:lang w:val="fr-CH"/>
        </w:rPr>
      </w:pPr>
    </w:p>
    <w:p w14:paraId="34A81EA0" w14:textId="21A5D225" w:rsidR="008A6A5E" w:rsidRPr="006213EC" w:rsidRDefault="008A6A5E" w:rsidP="008A6A5E">
      <w:pPr>
        <w:jc w:val="center"/>
        <w:rPr>
          <w:lang w:val="fr-CH"/>
        </w:rPr>
      </w:pPr>
    </w:p>
    <w:p w14:paraId="717B8804" w14:textId="4452649B" w:rsidR="008A6A5E" w:rsidRPr="006213EC" w:rsidRDefault="008A6A5E" w:rsidP="008A6A5E">
      <w:pPr>
        <w:jc w:val="center"/>
        <w:rPr>
          <w:lang w:val="fr-CH"/>
        </w:rPr>
      </w:pPr>
    </w:p>
    <w:p w14:paraId="0807096A" w14:textId="456F7950" w:rsidR="008A6A5E" w:rsidRDefault="008A6A5E" w:rsidP="008A6A5E">
      <w:pPr>
        <w:jc w:val="left"/>
        <w:rPr>
          <w:lang w:val="fr-CH"/>
        </w:rPr>
      </w:pPr>
    </w:p>
    <w:p w14:paraId="608DDB2F" w14:textId="4A7BFCAB" w:rsidR="00D73F42" w:rsidRDefault="00D73F42" w:rsidP="008A6A5E">
      <w:pPr>
        <w:jc w:val="left"/>
        <w:rPr>
          <w:lang w:val="fr-CH"/>
        </w:rPr>
      </w:pPr>
    </w:p>
    <w:p w14:paraId="11990776" w14:textId="77777777" w:rsidR="00D73F42" w:rsidRPr="006213EC" w:rsidRDefault="00D73F42" w:rsidP="008A6A5E">
      <w:pPr>
        <w:jc w:val="left"/>
        <w:rPr>
          <w:lang w:val="fr-CH"/>
        </w:rPr>
      </w:pPr>
    </w:p>
    <w:sdt>
      <w:sdtPr>
        <w:rPr>
          <w:rFonts w:ascii="Arial" w:eastAsia="Times New Roman" w:hAnsi="Arial" w:cs="Times New Roman"/>
          <w:snapToGrid w:val="0"/>
          <w:color w:val="auto"/>
          <w:sz w:val="20"/>
          <w:szCs w:val="20"/>
          <w:lang w:val="de-DE" w:eastAsia="de-DE"/>
        </w:rPr>
        <w:id w:val="-456414738"/>
        <w:docPartObj>
          <w:docPartGallery w:val="Table of Contents"/>
          <w:docPartUnique/>
        </w:docPartObj>
      </w:sdtPr>
      <w:sdtEndPr>
        <w:rPr>
          <w:b/>
          <w:bCs/>
        </w:rPr>
      </w:sdtEndPr>
      <w:sdtContent>
        <w:p w14:paraId="4E8D7227" w14:textId="4D83700A" w:rsidR="006213EC" w:rsidRPr="00D73F42" w:rsidRDefault="00D73F42">
          <w:pPr>
            <w:pStyle w:val="Inhaltsverzeichnisberschrift"/>
            <w:rPr>
              <w:lang w:val="fr-CH"/>
            </w:rPr>
          </w:pPr>
          <w:r w:rsidRPr="00D73F42">
            <w:rPr>
              <w:lang w:val="fr-CH"/>
            </w:rPr>
            <w:t>Sommaire</w:t>
          </w:r>
        </w:p>
        <w:p w14:paraId="7BAC7AE3" w14:textId="77777777" w:rsidR="006213EC" w:rsidRPr="00D73F42" w:rsidRDefault="006213EC" w:rsidP="00D73F42">
          <w:pPr>
            <w:pStyle w:val="Verzeichnis1"/>
            <w:spacing w:line="360" w:lineRule="auto"/>
            <w:rPr>
              <w:rFonts w:ascii="KievitPro-Regular" w:eastAsiaTheme="minorEastAsia" w:hAnsi="KievitPro-Regular" w:cstheme="minorBidi"/>
              <w:snapToGrid/>
              <w:sz w:val="22"/>
              <w:lang w:eastAsia="de-CH"/>
            </w:rPr>
          </w:pPr>
          <w:r>
            <w:fldChar w:fldCharType="begin"/>
          </w:r>
          <w:r>
            <w:instrText xml:space="preserve"> TOC \o "1-3" \h \z \u </w:instrText>
          </w:r>
          <w:r>
            <w:fldChar w:fldCharType="separate"/>
          </w:r>
          <w:hyperlink w:anchor="_Toc157695873" w:history="1">
            <w:r w:rsidRPr="00D73F42">
              <w:rPr>
                <w:rStyle w:val="Hyperlink"/>
                <w:rFonts w:ascii="KievitPro-Regular" w:hAnsi="KievitPro-Regular" w:cs="Arial"/>
                <w:smallCaps/>
                <w:spacing w:val="5"/>
                <w:sz w:val="22"/>
                <w:lang w:val="fr-CH" w:eastAsia="en-US"/>
              </w:rPr>
              <w:t>1.</w:t>
            </w:r>
            <w:r w:rsidRPr="00D73F42">
              <w:rPr>
                <w:rFonts w:ascii="KievitPro-Regular" w:eastAsiaTheme="minorEastAsia" w:hAnsi="KievitPro-Regular" w:cstheme="minorBidi"/>
                <w:snapToGrid/>
                <w:sz w:val="22"/>
                <w:lang w:eastAsia="de-CH"/>
              </w:rPr>
              <w:tab/>
            </w:r>
            <w:r w:rsidRPr="00D73F42">
              <w:rPr>
                <w:rStyle w:val="Hyperlink"/>
                <w:rFonts w:ascii="KievitPro-Regular" w:hAnsi="KievitPro-Regular" w:cs="Arial"/>
                <w:smallCaps/>
                <w:spacing w:val="5"/>
                <w:sz w:val="22"/>
                <w:lang w:val="fr-CH" w:eastAsia="en-US"/>
              </w:rPr>
              <w:t>INTRODUCTION</w:t>
            </w:r>
            <w:r w:rsidRPr="00D73F42">
              <w:rPr>
                <w:rFonts w:ascii="KievitPro-Regular" w:hAnsi="KievitPro-Regular"/>
                <w:webHidden/>
                <w:sz w:val="22"/>
              </w:rPr>
              <w:tab/>
            </w:r>
            <w:r w:rsidRPr="00D73F42">
              <w:rPr>
                <w:rFonts w:ascii="KievitPro-Regular" w:hAnsi="KievitPro-Regular"/>
                <w:webHidden/>
                <w:sz w:val="22"/>
              </w:rPr>
              <w:fldChar w:fldCharType="begin"/>
            </w:r>
            <w:r w:rsidRPr="00D73F42">
              <w:rPr>
                <w:rFonts w:ascii="KievitPro-Regular" w:hAnsi="KievitPro-Regular"/>
                <w:webHidden/>
                <w:sz w:val="22"/>
              </w:rPr>
              <w:instrText xml:space="preserve"> PAGEREF _Toc157695873 \h </w:instrText>
            </w:r>
            <w:r w:rsidRPr="00D73F42">
              <w:rPr>
                <w:rFonts w:ascii="KievitPro-Regular" w:hAnsi="KievitPro-Regular"/>
                <w:webHidden/>
                <w:sz w:val="22"/>
              </w:rPr>
            </w:r>
            <w:r w:rsidRPr="00D73F42">
              <w:rPr>
                <w:rFonts w:ascii="KievitPro-Regular" w:hAnsi="KievitPro-Regular"/>
                <w:webHidden/>
                <w:sz w:val="22"/>
              </w:rPr>
              <w:fldChar w:fldCharType="separate"/>
            </w:r>
            <w:r w:rsidRPr="00D73F42">
              <w:rPr>
                <w:rFonts w:ascii="KievitPro-Regular" w:hAnsi="KievitPro-Regular"/>
                <w:webHidden/>
                <w:sz w:val="22"/>
              </w:rPr>
              <w:t>2</w:t>
            </w:r>
            <w:r w:rsidRPr="00D73F42">
              <w:rPr>
                <w:rFonts w:ascii="KievitPro-Regular" w:hAnsi="KievitPro-Regular"/>
                <w:webHidden/>
                <w:sz w:val="22"/>
              </w:rPr>
              <w:fldChar w:fldCharType="end"/>
            </w:r>
          </w:hyperlink>
        </w:p>
        <w:p w14:paraId="22F354F2" w14:textId="4F000314" w:rsidR="006213EC" w:rsidRPr="00D73F42" w:rsidRDefault="00F94B17" w:rsidP="00D73F42">
          <w:pPr>
            <w:pStyle w:val="Verzeichnis1"/>
            <w:spacing w:line="360" w:lineRule="auto"/>
            <w:rPr>
              <w:rFonts w:ascii="KievitPro-Regular" w:eastAsiaTheme="minorEastAsia" w:hAnsi="KievitPro-Regular" w:cstheme="minorBidi"/>
              <w:snapToGrid/>
              <w:sz w:val="22"/>
              <w:lang w:eastAsia="de-CH"/>
            </w:rPr>
          </w:pPr>
          <w:hyperlink w:anchor="_Toc157695874" w:history="1">
            <w:r w:rsidR="006213EC" w:rsidRPr="00D73F42">
              <w:rPr>
                <w:rStyle w:val="Hyperlink"/>
                <w:rFonts w:ascii="KievitPro-Regular" w:hAnsi="KievitPro-Regular" w:cs="Arial"/>
                <w:smallCaps/>
                <w:spacing w:val="5"/>
                <w:sz w:val="22"/>
                <w:lang w:val="fr-CH" w:eastAsia="en-US"/>
              </w:rPr>
              <w:t>2.</w:t>
            </w:r>
            <w:r w:rsidR="006213EC" w:rsidRPr="00D73F42">
              <w:rPr>
                <w:rFonts w:ascii="KievitPro-Regular" w:eastAsiaTheme="minorEastAsia" w:hAnsi="KievitPro-Regular" w:cstheme="minorBidi"/>
                <w:snapToGrid/>
                <w:sz w:val="22"/>
                <w:lang w:eastAsia="de-CH"/>
              </w:rPr>
              <w:tab/>
            </w:r>
            <w:r w:rsidR="006213EC" w:rsidRPr="00D73F42">
              <w:rPr>
                <w:rStyle w:val="Hyperlink"/>
                <w:rFonts w:ascii="KievitPro-Regular" w:hAnsi="KievitPro-Regular" w:cs="Arial"/>
                <w:smallCaps/>
                <w:spacing w:val="5"/>
                <w:sz w:val="22"/>
                <w:lang w:val="fr-CH" w:eastAsia="en-US"/>
              </w:rPr>
              <w:t>CONDITIONS À REMPLIR PAR LE SYSTÈME D’ASSURANCE-QUALITÉ</w:t>
            </w:r>
            <w:r w:rsidR="006213EC" w:rsidRPr="00D73F42">
              <w:rPr>
                <w:rFonts w:ascii="KievitPro-Regular" w:hAnsi="KievitPro-Regular"/>
                <w:webHidden/>
                <w:sz w:val="22"/>
              </w:rPr>
              <w:tab/>
            </w:r>
            <w:r w:rsidR="006213EC" w:rsidRPr="00D73F42">
              <w:rPr>
                <w:rFonts w:ascii="KievitPro-Regular" w:hAnsi="KievitPro-Regular"/>
                <w:webHidden/>
                <w:sz w:val="22"/>
              </w:rPr>
              <w:fldChar w:fldCharType="begin"/>
            </w:r>
            <w:r w:rsidR="006213EC" w:rsidRPr="00D73F42">
              <w:rPr>
                <w:rFonts w:ascii="KievitPro-Regular" w:hAnsi="KievitPro-Regular"/>
                <w:webHidden/>
                <w:sz w:val="22"/>
              </w:rPr>
              <w:instrText xml:space="preserve"> PAGEREF _Toc157695874 \h </w:instrText>
            </w:r>
            <w:r w:rsidR="006213EC" w:rsidRPr="00D73F42">
              <w:rPr>
                <w:rFonts w:ascii="KievitPro-Regular" w:hAnsi="KievitPro-Regular"/>
                <w:webHidden/>
                <w:sz w:val="22"/>
              </w:rPr>
            </w:r>
            <w:r w:rsidR="006213EC" w:rsidRPr="00D73F42">
              <w:rPr>
                <w:rFonts w:ascii="KievitPro-Regular" w:hAnsi="KievitPro-Regular"/>
                <w:webHidden/>
                <w:sz w:val="22"/>
              </w:rPr>
              <w:fldChar w:fldCharType="separate"/>
            </w:r>
            <w:r w:rsidR="006213EC" w:rsidRPr="00D73F42">
              <w:rPr>
                <w:rFonts w:ascii="KievitPro-Regular" w:hAnsi="KievitPro-Regular"/>
                <w:webHidden/>
                <w:sz w:val="22"/>
              </w:rPr>
              <w:t>4</w:t>
            </w:r>
            <w:r w:rsidR="006213EC" w:rsidRPr="00D73F42">
              <w:rPr>
                <w:rFonts w:ascii="KievitPro-Regular" w:hAnsi="KievitPro-Regular"/>
                <w:webHidden/>
                <w:sz w:val="22"/>
              </w:rPr>
              <w:fldChar w:fldCharType="end"/>
            </w:r>
          </w:hyperlink>
        </w:p>
        <w:p w14:paraId="6C0E92C4" w14:textId="51072662" w:rsidR="006213EC" w:rsidRPr="00D73F42" w:rsidRDefault="00F94B17" w:rsidP="00D73F42">
          <w:pPr>
            <w:pStyle w:val="Verzeichnis1"/>
            <w:spacing w:line="360" w:lineRule="auto"/>
            <w:rPr>
              <w:rFonts w:ascii="KievitPro-Regular" w:eastAsiaTheme="minorEastAsia" w:hAnsi="KievitPro-Regular" w:cstheme="minorBidi"/>
              <w:snapToGrid/>
              <w:sz w:val="22"/>
              <w:lang w:eastAsia="de-CH"/>
            </w:rPr>
          </w:pPr>
          <w:hyperlink w:anchor="_Toc157695875" w:history="1">
            <w:r w:rsidR="006213EC" w:rsidRPr="00D73F42">
              <w:rPr>
                <w:rStyle w:val="Hyperlink"/>
                <w:rFonts w:ascii="KievitPro-Regular" w:hAnsi="KievitPro-Regular" w:cs="Arial"/>
                <w:smallCaps/>
                <w:spacing w:val="5"/>
                <w:sz w:val="22"/>
                <w:lang w:val="fr-CH" w:eastAsia="en-US"/>
              </w:rPr>
              <w:t>2.1.</w:t>
            </w:r>
            <w:r w:rsidR="006213EC" w:rsidRPr="00D73F42">
              <w:rPr>
                <w:rFonts w:ascii="KievitPro-Regular" w:eastAsiaTheme="minorEastAsia" w:hAnsi="KievitPro-Regular" w:cstheme="minorBidi"/>
                <w:snapToGrid/>
                <w:sz w:val="22"/>
                <w:lang w:eastAsia="de-CH"/>
              </w:rPr>
              <w:tab/>
            </w:r>
            <w:r w:rsidR="006213EC" w:rsidRPr="00D73F42">
              <w:rPr>
                <w:rStyle w:val="Hyperlink"/>
                <w:rFonts w:ascii="KievitPro-Regular" w:hAnsi="KievitPro-Regular" w:cs="Arial"/>
                <w:smallCaps/>
                <w:spacing w:val="5"/>
                <w:sz w:val="22"/>
                <w:lang w:val="fr-CH" w:eastAsia="en-US"/>
              </w:rPr>
              <w:t>EXIGENCES LÉGALES</w:t>
            </w:r>
            <w:r w:rsidR="006213EC" w:rsidRPr="00D73F42">
              <w:rPr>
                <w:rFonts w:ascii="KievitPro-Regular" w:hAnsi="KievitPro-Regular"/>
                <w:webHidden/>
                <w:sz w:val="22"/>
              </w:rPr>
              <w:tab/>
            </w:r>
            <w:r w:rsidR="006213EC" w:rsidRPr="00D73F42">
              <w:rPr>
                <w:rFonts w:ascii="KievitPro-Regular" w:hAnsi="KievitPro-Regular"/>
                <w:webHidden/>
                <w:sz w:val="22"/>
              </w:rPr>
              <w:fldChar w:fldCharType="begin"/>
            </w:r>
            <w:r w:rsidR="006213EC" w:rsidRPr="00D73F42">
              <w:rPr>
                <w:rFonts w:ascii="KievitPro-Regular" w:hAnsi="KievitPro-Regular"/>
                <w:webHidden/>
                <w:sz w:val="22"/>
              </w:rPr>
              <w:instrText xml:space="preserve"> PAGEREF _Toc157695875 \h </w:instrText>
            </w:r>
            <w:r w:rsidR="006213EC" w:rsidRPr="00D73F42">
              <w:rPr>
                <w:rFonts w:ascii="KievitPro-Regular" w:hAnsi="KievitPro-Regular"/>
                <w:webHidden/>
                <w:sz w:val="22"/>
              </w:rPr>
            </w:r>
            <w:r w:rsidR="006213EC" w:rsidRPr="00D73F42">
              <w:rPr>
                <w:rFonts w:ascii="KievitPro-Regular" w:hAnsi="KievitPro-Regular"/>
                <w:webHidden/>
                <w:sz w:val="22"/>
              </w:rPr>
              <w:fldChar w:fldCharType="separate"/>
            </w:r>
            <w:r w:rsidR="006213EC" w:rsidRPr="00D73F42">
              <w:rPr>
                <w:rFonts w:ascii="KievitPro-Regular" w:hAnsi="KievitPro-Regular"/>
                <w:webHidden/>
                <w:sz w:val="22"/>
              </w:rPr>
              <w:t>4</w:t>
            </w:r>
            <w:r w:rsidR="006213EC" w:rsidRPr="00D73F42">
              <w:rPr>
                <w:rFonts w:ascii="KievitPro-Regular" w:hAnsi="KievitPro-Regular"/>
                <w:webHidden/>
                <w:sz w:val="22"/>
              </w:rPr>
              <w:fldChar w:fldCharType="end"/>
            </w:r>
          </w:hyperlink>
        </w:p>
        <w:p w14:paraId="062154A7" w14:textId="14780092" w:rsidR="006213EC" w:rsidRPr="00D73F42" w:rsidRDefault="00F94B17" w:rsidP="00D73F42">
          <w:pPr>
            <w:pStyle w:val="Verzeichnis1"/>
            <w:spacing w:line="360" w:lineRule="auto"/>
            <w:rPr>
              <w:rFonts w:ascii="KievitPro-Regular" w:eastAsiaTheme="minorEastAsia" w:hAnsi="KievitPro-Regular" w:cstheme="minorBidi"/>
              <w:snapToGrid/>
              <w:sz w:val="22"/>
              <w:lang w:eastAsia="de-CH"/>
            </w:rPr>
          </w:pPr>
          <w:hyperlink w:anchor="_Toc157695876" w:history="1">
            <w:r w:rsidR="006213EC" w:rsidRPr="00D73F42">
              <w:rPr>
                <w:rStyle w:val="Hyperlink"/>
                <w:rFonts w:ascii="KievitPro-Regular" w:hAnsi="KievitPro-Regular" w:cs="Arial"/>
                <w:smallCaps/>
                <w:spacing w:val="5"/>
                <w:sz w:val="22"/>
                <w:lang w:val="fr-CH" w:eastAsia="en-US"/>
              </w:rPr>
              <w:t>2.2.</w:t>
            </w:r>
            <w:r w:rsidR="006213EC" w:rsidRPr="00D73F42">
              <w:rPr>
                <w:rFonts w:ascii="KievitPro-Regular" w:eastAsiaTheme="minorEastAsia" w:hAnsi="KievitPro-Regular" w:cstheme="minorBidi"/>
                <w:snapToGrid/>
                <w:sz w:val="22"/>
                <w:lang w:eastAsia="de-CH"/>
              </w:rPr>
              <w:tab/>
            </w:r>
            <w:r w:rsidR="006213EC" w:rsidRPr="00D73F42">
              <w:rPr>
                <w:rStyle w:val="Hyperlink"/>
                <w:rFonts w:ascii="KievitPro-Regular" w:hAnsi="KievitPro-Regular" w:cs="Arial"/>
                <w:smallCaps/>
                <w:spacing w:val="5"/>
                <w:sz w:val="22"/>
                <w:lang w:val="fr-CH" w:eastAsia="en-US"/>
              </w:rPr>
              <w:t>EXIGENCES GÉNÉRALES</w:t>
            </w:r>
            <w:r w:rsidR="006213EC" w:rsidRPr="00D73F42">
              <w:rPr>
                <w:rFonts w:ascii="KievitPro-Regular" w:hAnsi="KievitPro-Regular"/>
                <w:webHidden/>
                <w:sz w:val="22"/>
              </w:rPr>
              <w:tab/>
            </w:r>
            <w:r w:rsidR="006213EC" w:rsidRPr="00D73F42">
              <w:rPr>
                <w:rFonts w:ascii="KievitPro-Regular" w:hAnsi="KievitPro-Regular"/>
                <w:webHidden/>
                <w:sz w:val="22"/>
              </w:rPr>
              <w:fldChar w:fldCharType="begin"/>
            </w:r>
            <w:r w:rsidR="006213EC" w:rsidRPr="00D73F42">
              <w:rPr>
                <w:rFonts w:ascii="KievitPro-Regular" w:hAnsi="KievitPro-Regular"/>
                <w:webHidden/>
                <w:sz w:val="22"/>
              </w:rPr>
              <w:instrText xml:space="preserve"> PAGEREF _Toc157695876 \h </w:instrText>
            </w:r>
            <w:r w:rsidR="006213EC" w:rsidRPr="00D73F42">
              <w:rPr>
                <w:rFonts w:ascii="KievitPro-Regular" w:hAnsi="KievitPro-Regular"/>
                <w:webHidden/>
                <w:sz w:val="22"/>
              </w:rPr>
            </w:r>
            <w:r w:rsidR="006213EC" w:rsidRPr="00D73F42">
              <w:rPr>
                <w:rFonts w:ascii="KievitPro-Regular" w:hAnsi="KievitPro-Regular"/>
                <w:webHidden/>
                <w:sz w:val="22"/>
              </w:rPr>
              <w:fldChar w:fldCharType="separate"/>
            </w:r>
            <w:r w:rsidR="006213EC" w:rsidRPr="00D73F42">
              <w:rPr>
                <w:rFonts w:ascii="KievitPro-Regular" w:hAnsi="KievitPro-Regular"/>
                <w:webHidden/>
                <w:sz w:val="22"/>
              </w:rPr>
              <w:t>4</w:t>
            </w:r>
            <w:r w:rsidR="006213EC" w:rsidRPr="00D73F42">
              <w:rPr>
                <w:rFonts w:ascii="KievitPro-Regular" w:hAnsi="KievitPro-Regular"/>
                <w:webHidden/>
                <w:sz w:val="22"/>
              </w:rPr>
              <w:fldChar w:fldCharType="end"/>
            </w:r>
          </w:hyperlink>
        </w:p>
        <w:p w14:paraId="47B9506D" w14:textId="75BA3D46" w:rsidR="006213EC" w:rsidRPr="00D73F42" w:rsidRDefault="00F94B17" w:rsidP="00D73F42">
          <w:pPr>
            <w:pStyle w:val="Verzeichnis1"/>
            <w:spacing w:line="360" w:lineRule="auto"/>
            <w:rPr>
              <w:rFonts w:ascii="KievitPro-Regular" w:eastAsiaTheme="minorEastAsia" w:hAnsi="KievitPro-Regular" w:cstheme="minorBidi"/>
              <w:snapToGrid/>
              <w:sz w:val="22"/>
              <w:lang w:eastAsia="de-CH"/>
            </w:rPr>
          </w:pPr>
          <w:hyperlink w:anchor="_Toc157695877" w:history="1">
            <w:r w:rsidR="006213EC" w:rsidRPr="00D73F42">
              <w:rPr>
                <w:rStyle w:val="Hyperlink"/>
                <w:rFonts w:ascii="KievitPro-Regular" w:hAnsi="KievitPro-Regular" w:cs="Arial"/>
                <w:smallCaps/>
                <w:spacing w:val="5"/>
                <w:sz w:val="22"/>
                <w:lang w:val="fr-CH" w:eastAsia="en-US"/>
              </w:rPr>
              <w:t>2.3.</w:t>
            </w:r>
            <w:r w:rsidR="006213EC" w:rsidRPr="00D73F42">
              <w:rPr>
                <w:rFonts w:ascii="KievitPro-Regular" w:eastAsiaTheme="minorEastAsia" w:hAnsi="KievitPro-Regular" w:cstheme="minorBidi"/>
                <w:snapToGrid/>
                <w:sz w:val="22"/>
                <w:lang w:eastAsia="de-CH"/>
              </w:rPr>
              <w:tab/>
            </w:r>
            <w:r w:rsidR="006213EC" w:rsidRPr="00D73F42">
              <w:rPr>
                <w:rStyle w:val="Hyperlink"/>
                <w:rFonts w:ascii="KievitPro-Regular" w:hAnsi="KievitPro-Regular" w:cs="Arial"/>
                <w:smallCaps/>
                <w:spacing w:val="5"/>
                <w:sz w:val="22"/>
                <w:lang w:val="fr-CH" w:eastAsia="en-US"/>
              </w:rPr>
              <w:t>DOCUMENTATION DU SYSTÈME D’ASSURANCE-QUALITÉ</w:t>
            </w:r>
            <w:r w:rsidR="006213EC" w:rsidRPr="00D73F42">
              <w:rPr>
                <w:rFonts w:ascii="KievitPro-Regular" w:hAnsi="KievitPro-Regular"/>
                <w:webHidden/>
                <w:sz w:val="22"/>
              </w:rPr>
              <w:tab/>
            </w:r>
            <w:r w:rsidR="006213EC" w:rsidRPr="00D73F42">
              <w:rPr>
                <w:rFonts w:ascii="KievitPro-Regular" w:hAnsi="KievitPro-Regular"/>
                <w:webHidden/>
                <w:sz w:val="22"/>
              </w:rPr>
              <w:fldChar w:fldCharType="begin"/>
            </w:r>
            <w:r w:rsidR="006213EC" w:rsidRPr="00D73F42">
              <w:rPr>
                <w:rFonts w:ascii="KievitPro-Regular" w:hAnsi="KievitPro-Regular"/>
                <w:webHidden/>
                <w:sz w:val="22"/>
              </w:rPr>
              <w:instrText xml:space="preserve"> PAGEREF _Toc157695877 \h </w:instrText>
            </w:r>
            <w:r w:rsidR="006213EC" w:rsidRPr="00D73F42">
              <w:rPr>
                <w:rFonts w:ascii="KievitPro-Regular" w:hAnsi="KievitPro-Regular"/>
                <w:webHidden/>
                <w:sz w:val="22"/>
              </w:rPr>
            </w:r>
            <w:r w:rsidR="006213EC" w:rsidRPr="00D73F42">
              <w:rPr>
                <w:rFonts w:ascii="KievitPro-Regular" w:hAnsi="KievitPro-Regular"/>
                <w:webHidden/>
                <w:sz w:val="22"/>
              </w:rPr>
              <w:fldChar w:fldCharType="separate"/>
            </w:r>
            <w:r w:rsidR="006213EC" w:rsidRPr="00D73F42">
              <w:rPr>
                <w:rFonts w:ascii="KievitPro-Regular" w:hAnsi="KievitPro-Regular"/>
                <w:webHidden/>
                <w:sz w:val="22"/>
              </w:rPr>
              <w:t>6</w:t>
            </w:r>
            <w:r w:rsidR="006213EC" w:rsidRPr="00D73F42">
              <w:rPr>
                <w:rFonts w:ascii="KievitPro-Regular" w:hAnsi="KievitPro-Regular"/>
                <w:webHidden/>
                <w:sz w:val="22"/>
              </w:rPr>
              <w:fldChar w:fldCharType="end"/>
            </w:r>
          </w:hyperlink>
        </w:p>
        <w:p w14:paraId="2B4F438F" w14:textId="58485D83" w:rsidR="006213EC" w:rsidRPr="00D73F42" w:rsidRDefault="00F94B17" w:rsidP="00D73F42">
          <w:pPr>
            <w:pStyle w:val="Verzeichnis1"/>
            <w:spacing w:line="360" w:lineRule="auto"/>
            <w:rPr>
              <w:rFonts w:ascii="KievitPro-Regular" w:eastAsiaTheme="minorEastAsia" w:hAnsi="KievitPro-Regular" w:cstheme="minorBidi"/>
              <w:snapToGrid/>
              <w:sz w:val="22"/>
              <w:lang w:eastAsia="de-CH"/>
            </w:rPr>
          </w:pPr>
          <w:hyperlink w:anchor="_Toc157695878" w:history="1">
            <w:r w:rsidR="006213EC" w:rsidRPr="00D73F42">
              <w:rPr>
                <w:rStyle w:val="Hyperlink"/>
                <w:rFonts w:ascii="KievitPro-Regular" w:hAnsi="KievitPro-Regular" w:cs="Arial"/>
                <w:smallCaps/>
                <w:spacing w:val="5"/>
                <w:sz w:val="22"/>
                <w:lang w:val="fr-CH" w:eastAsia="en-US"/>
              </w:rPr>
              <w:t>3.</w:t>
            </w:r>
            <w:r w:rsidR="006213EC" w:rsidRPr="00D73F42">
              <w:rPr>
                <w:rFonts w:ascii="KievitPro-Regular" w:eastAsiaTheme="minorEastAsia" w:hAnsi="KievitPro-Regular" w:cstheme="minorBidi"/>
                <w:snapToGrid/>
                <w:sz w:val="22"/>
                <w:lang w:eastAsia="de-CH"/>
              </w:rPr>
              <w:tab/>
            </w:r>
            <w:r w:rsidR="006213EC" w:rsidRPr="00D73F42">
              <w:rPr>
                <w:rStyle w:val="Hyperlink"/>
                <w:rFonts w:ascii="KievitPro-Regular" w:hAnsi="KievitPro-Regular" w:cs="Arial"/>
                <w:smallCaps/>
                <w:spacing w:val="5"/>
                <w:sz w:val="22"/>
                <w:lang w:val="fr-CH" w:eastAsia="en-US"/>
              </w:rPr>
              <w:t>ÉLÉMENTS D’UN SYSTÈME D’ASSURANCE QUALITÉ</w:t>
            </w:r>
            <w:r w:rsidR="006213EC" w:rsidRPr="00D73F42">
              <w:rPr>
                <w:rFonts w:ascii="KievitPro-Regular" w:hAnsi="KievitPro-Regular"/>
                <w:webHidden/>
                <w:sz w:val="22"/>
              </w:rPr>
              <w:tab/>
            </w:r>
            <w:r w:rsidR="006213EC" w:rsidRPr="00D73F42">
              <w:rPr>
                <w:rFonts w:ascii="KievitPro-Regular" w:hAnsi="KievitPro-Regular"/>
                <w:webHidden/>
                <w:sz w:val="22"/>
              </w:rPr>
              <w:fldChar w:fldCharType="begin"/>
            </w:r>
            <w:r w:rsidR="006213EC" w:rsidRPr="00D73F42">
              <w:rPr>
                <w:rFonts w:ascii="KievitPro-Regular" w:hAnsi="KievitPro-Regular"/>
                <w:webHidden/>
                <w:sz w:val="22"/>
              </w:rPr>
              <w:instrText xml:space="preserve"> PAGEREF _Toc157695878 \h </w:instrText>
            </w:r>
            <w:r w:rsidR="006213EC" w:rsidRPr="00D73F42">
              <w:rPr>
                <w:rFonts w:ascii="KievitPro-Regular" w:hAnsi="KievitPro-Regular"/>
                <w:webHidden/>
                <w:sz w:val="22"/>
              </w:rPr>
            </w:r>
            <w:r w:rsidR="006213EC" w:rsidRPr="00D73F42">
              <w:rPr>
                <w:rFonts w:ascii="KievitPro-Regular" w:hAnsi="KievitPro-Regular"/>
                <w:webHidden/>
                <w:sz w:val="22"/>
              </w:rPr>
              <w:fldChar w:fldCharType="separate"/>
            </w:r>
            <w:r w:rsidR="006213EC" w:rsidRPr="00D73F42">
              <w:rPr>
                <w:rFonts w:ascii="KievitPro-Regular" w:hAnsi="KievitPro-Regular"/>
                <w:webHidden/>
                <w:sz w:val="22"/>
              </w:rPr>
              <w:t>7</w:t>
            </w:r>
            <w:r w:rsidR="006213EC" w:rsidRPr="00D73F42">
              <w:rPr>
                <w:rFonts w:ascii="KievitPro-Regular" w:hAnsi="KievitPro-Regular"/>
                <w:webHidden/>
                <w:sz w:val="22"/>
              </w:rPr>
              <w:fldChar w:fldCharType="end"/>
            </w:r>
          </w:hyperlink>
        </w:p>
        <w:p w14:paraId="1ADF9640" w14:textId="2CF67EF4" w:rsidR="006213EC" w:rsidRPr="00D73F42" w:rsidRDefault="00F94B17" w:rsidP="00D73F42">
          <w:pPr>
            <w:pStyle w:val="Verzeichnis1"/>
            <w:spacing w:line="360" w:lineRule="auto"/>
            <w:rPr>
              <w:rFonts w:ascii="KievitPro-Regular" w:eastAsiaTheme="minorEastAsia" w:hAnsi="KievitPro-Regular" w:cstheme="minorBidi"/>
              <w:snapToGrid/>
              <w:sz w:val="22"/>
              <w:lang w:eastAsia="de-CH"/>
            </w:rPr>
          </w:pPr>
          <w:hyperlink w:anchor="_Toc157695879" w:history="1">
            <w:r w:rsidR="006213EC" w:rsidRPr="00D73F42">
              <w:rPr>
                <w:rStyle w:val="Hyperlink"/>
                <w:rFonts w:ascii="KievitPro-Regular" w:hAnsi="KievitPro-Regular" w:cs="Arial"/>
                <w:smallCaps/>
                <w:spacing w:val="5"/>
                <w:sz w:val="22"/>
                <w:lang w:val="fr-CH" w:eastAsia="en-US"/>
              </w:rPr>
              <w:t>4.</w:t>
            </w:r>
            <w:r w:rsidR="006213EC" w:rsidRPr="00D73F42">
              <w:rPr>
                <w:rFonts w:ascii="KievitPro-Regular" w:eastAsiaTheme="minorEastAsia" w:hAnsi="KievitPro-Regular" w:cstheme="minorBidi"/>
                <w:snapToGrid/>
                <w:sz w:val="22"/>
                <w:lang w:eastAsia="de-CH"/>
              </w:rPr>
              <w:tab/>
            </w:r>
            <w:r w:rsidR="006213EC" w:rsidRPr="00D73F42">
              <w:rPr>
                <w:rStyle w:val="Hyperlink"/>
                <w:rFonts w:ascii="KievitPro-Regular" w:hAnsi="KievitPro-Regular" w:cs="Arial"/>
                <w:smallCaps/>
                <w:spacing w:val="5"/>
                <w:sz w:val="22"/>
                <w:lang w:val="fr-CH" w:eastAsia="en-US"/>
              </w:rPr>
              <w:t>ANNEXES</w:t>
            </w:r>
            <w:r w:rsidR="006213EC" w:rsidRPr="00D73F42">
              <w:rPr>
                <w:rFonts w:ascii="KievitPro-Regular" w:hAnsi="KievitPro-Regular"/>
                <w:webHidden/>
                <w:sz w:val="22"/>
              </w:rPr>
              <w:tab/>
            </w:r>
            <w:r w:rsidR="006213EC" w:rsidRPr="00D73F42">
              <w:rPr>
                <w:rFonts w:ascii="KievitPro-Regular" w:hAnsi="KievitPro-Regular"/>
                <w:webHidden/>
                <w:sz w:val="22"/>
              </w:rPr>
              <w:fldChar w:fldCharType="begin"/>
            </w:r>
            <w:r w:rsidR="006213EC" w:rsidRPr="00D73F42">
              <w:rPr>
                <w:rFonts w:ascii="KievitPro-Regular" w:hAnsi="KievitPro-Regular"/>
                <w:webHidden/>
                <w:sz w:val="22"/>
              </w:rPr>
              <w:instrText xml:space="preserve"> PAGEREF _Toc157695879 \h </w:instrText>
            </w:r>
            <w:r w:rsidR="006213EC" w:rsidRPr="00D73F42">
              <w:rPr>
                <w:rFonts w:ascii="KievitPro-Regular" w:hAnsi="KievitPro-Regular"/>
                <w:webHidden/>
                <w:sz w:val="22"/>
              </w:rPr>
            </w:r>
            <w:r w:rsidR="006213EC" w:rsidRPr="00D73F42">
              <w:rPr>
                <w:rFonts w:ascii="KievitPro-Regular" w:hAnsi="KievitPro-Regular"/>
                <w:webHidden/>
                <w:sz w:val="22"/>
              </w:rPr>
              <w:fldChar w:fldCharType="separate"/>
            </w:r>
            <w:r w:rsidR="006213EC" w:rsidRPr="00D73F42">
              <w:rPr>
                <w:rFonts w:ascii="KievitPro-Regular" w:hAnsi="KievitPro-Regular"/>
                <w:webHidden/>
                <w:sz w:val="22"/>
              </w:rPr>
              <w:t>10</w:t>
            </w:r>
            <w:r w:rsidR="006213EC" w:rsidRPr="00D73F42">
              <w:rPr>
                <w:rFonts w:ascii="KievitPro-Regular" w:hAnsi="KievitPro-Regular"/>
                <w:webHidden/>
                <w:sz w:val="22"/>
              </w:rPr>
              <w:fldChar w:fldCharType="end"/>
            </w:r>
          </w:hyperlink>
        </w:p>
        <w:p w14:paraId="0E93CBCD" w14:textId="3360FE29" w:rsidR="006213EC" w:rsidRPr="00D73F42" w:rsidRDefault="00F94B17" w:rsidP="00D73F42">
          <w:pPr>
            <w:pStyle w:val="Verzeichnis1"/>
            <w:spacing w:line="360" w:lineRule="auto"/>
            <w:rPr>
              <w:rFonts w:ascii="KievitPro-Regular" w:eastAsiaTheme="minorEastAsia" w:hAnsi="KievitPro-Regular" w:cstheme="minorBidi"/>
              <w:snapToGrid/>
              <w:sz w:val="22"/>
              <w:lang w:eastAsia="de-CH"/>
            </w:rPr>
          </w:pPr>
          <w:hyperlink w:anchor="_Toc157695880" w:history="1">
            <w:r w:rsidR="006213EC" w:rsidRPr="00D73F42">
              <w:rPr>
                <w:rStyle w:val="Hyperlink"/>
                <w:rFonts w:ascii="KievitPro-Regular" w:hAnsi="KievitPro-Regular" w:cs="Arial"/>
                <w:smallCaps/>
                <w:spacing w:val="5"/>
                <w:sz w:val="22"/>
                <w:lang w:val="fr-CH" w:eastAsia="en-US"/>
              </w:rPr>
              <w:t>4.1.</w:t>
            </w:r>
            <w:r w:rsidR="006213EC" w:rsidRPr="00D73F42">
              <w:rPr>
                <w:rFonts w:ascii="KievitPro-Regular" w:eastAsiaTheme="minorEastAsia" w:hAnsi="KievitPro-Regular" w:cstheme="minorBidi"/>
                <w:snapToGrid/>
                <w:sz w:val="22"/>
                <w:lang w:eastAsia="de-CH"/>
              </w:rPr>
              <w:tab/>
            </w:r>
            <w:r w:rsidR="006213EC" w:rsidRPr="00D73F42">
              <w:rPr>
                <w:rStyle w:val="Hyperlink"/>
                <w:rFonts w:ascii="KievitPro-Regular" w:hAnsi="KievitPro-Regular" w:cs="Arial"/>
                <w:smallCaps/>
                <w:spacing w:val="5"/>
                <w:sz w:val="22"/>
                <w:lang w:val="fr-CH" w:eastAsia="en-US"/>
              </w:rPr>
              <w:t>Règlement relatif à la collaboration</w:t>
            </w:r>
            <w:r w:rsidR="006213EC" w:rsidRPr="00D73F42">
              <w:rPr>
                <w:rFonts w:ascii="KievitPro-Regular" w:hAnsi="KievitPro-Regular"/>
                <w:webHidden/>
                <w:sz w:val="22"/>
              </w:rPr>
              <w:tab/>
            </w:r>
            <w:r w:rsidR="006213EC" w:rsidRPr="00D73F42">
              <w:rPr>
                <w:rFonts w:ascii="KievitPro-Regular" w:hAnsi="KievitPro-Regular"/>
                <w:webHidden/>
                <w:sz w:val="22"/>
              </w:rPr>
              <w:fldChar w:fldCharType="begin"/>
            </w:r>
            <w:r w:rsidR="006213EC" w:rsidRPr="00D73F42">
              <w:rPr>
                <w:rFonts w:ascii="KievitPro-Regular" w:hAnsi="KievitPro-Regular"/>
                <w:webHidden/>
                <w:sz w:val="22"/>
              </w:rPr>
              <w:instrText xml:space="preserve"> PAGEREF _Toc157695880 \h </w:instrText>
            </w:r>
            <w:r w:rsidR="006213EC" w:rsidRPr="00D73F42">
              <w:rPr>
                <w:rFonts w:ascii="KievitPro-Regular" w:hAnsi="KievitPro-Regular"/>
                <w:webHidden/>
                <w:sz w:val="22"/>
              </w:rPr>
            </w:r>
            <w:r w:rsidR="006213EC" w:rsidRPr="00D73F42">
              <w:rPr>
                <w:rFonts w:ascii="KievitPro-Regular" w:hAnsi="KievitPro-Regular"/>
                <w:webHidden/>
                <w:sz w:val="22"/>
              </w:rPr>
              <w:fldChar w:fldCharType="separate"/>
            </w:r>
            <w:r w:rsidR="006213EC" w:rsidRPr="00D73F42">
              <w:rPr>
                <w:rFonts w:ascii="KievitPro-Regular" w:hAnsi="KievitPro-Regular"/>
                <w:webHidden/>
                <w:sz w:val="22"/>
              </w:rPr>
              <w:t>10</w:t>
            </w:r>
            <w:r w:rsidR="006213EC" w:rsidRPr="00D73F42">
              <w:rPr>
                <w:rFonts w:ascii="KievitPro-Regular" w:hAnsi="KievitPro-Regular"/>
                <w:webHidden/>
                <w:sz w:val="22"/>
              </w:rPr>
              <w:fldChar w:fldCharType="end"/>
            </w:r>
          </w:hyperlink>
        </w:p>
        <w:p w14:paraId="56FE33F0" w14:textId="46D88311" w:rsidR="006213EC" w:rsidRPr="00D73F42" w:rsidRDefault="00F94B17" w:rsidP="00D73F42">
          <w:pPr>
            <w:pStyle w:val="Verzeichnis1"/>
            <w:spacing w:line="360" w:lineRule="auto"/>
            <w:rPr>
              <w:rFonts w:ascii="KievitPro-Regular" w:eastAsiaTheme="minorEastAsia" w:hAnsi="KievitPro-Regular" w:cstheme="minorBidi"/>
              <w:snapToGrid/>
              <w:sz w:val="22"/>
              <w:lang w:eastAsia="de-CH"/>
            </w:rPr>
          </w:pPr>
          <w:hyperlink w:anchor="_Toc157695881" w:history="1">
            <w:r w:rsidR="006213EC" w:rsidRPr="00D73F42">
              <w:rPr>
                <w:rStyle w:val="Hyperlink"/>
                <w:rFonts w:ascii="KievitPro-Regular" w:hAnsi="KievitPro-Regular" w:cs="Arial"/>
                <w:smallCaps/>
                <w:spacing w:val="5"/>
                <w:sz w:val="22"/>
                <w:lang w:val="fr-CH" w:eastAsia="en-US"/>
              </w:rPr>
              <w:t>4.2.</w:t>
            </w:r>
            <w:r w:rsidR="006213EC" w:rsidRPr="00D73F42">
              <w:rPr>
                <w:rFonts w:ascii="KievitPro-Regular" w:eastAsiaTheme="minorEastAsia" w:hAnsi="KievitPro-Regular" w:cstheme="minorBidi"/>
                <w:snapToGrid/>
                <w:sz w:val="22"/>
                <w:lang w:eastAsia="de-CH"/>
              </w:rPr>
              <w:tab/>
            </w:r>
            <w:r w:rsidR="006213EC" w:rsidRPr="00D73F42">
              <w:rPr>
                <w:rStyle w:val="Hyperlink"/>
                <w:rFonts w:ascii="KievitPro-Regular" w:hAnsi="KievitPro-Regular" w:cs="Arial"/>
                <w:smallCaps/>
                <w:spacing w:val="5"/>
                <w:sz w:val="22"/>
                <w:lang w:val="fr-CH" w:eastAsia="en-US"/>
              </w:rPr>
              <w:t>MODÈLE DE RAPPORT DE SURVEILLANCE</w:t>
            </w:r>
            <w:r w:rsidR="006213EC" w:rsidRPr="00D73F42">
              <w:rPr>
                <w:rFonts w:ascii="KievitPro-Regular" w:hAnsi="KievitPro-Regular"/>
                <w:webHidden/>
                <w:sz w:val="22"/>
              </w:rPr>
              <w:tab/>
            </w:r>
            <w:r w:rsidR="006213EC" w:rsidRPr="00D73F42">
              <w:rPr>
                <w:rFonts w:ascii="KievitPro-Regular" w:hAnsi="KievitPro-Regular"/>
                <w:webHidden/>
                <w:sz w:val="22"/>
              </w:rPr>
              <w:fldChar w:fldCharType="begin"/>
            </w:r>
            <w:r w:rsidR="006213EC" w:rsidRPr="00D73F42">
              <w:rPr>
                <w:rFonts w:ascii="KievitPro-Regular" w:hAnsi="KievitPro-Regular"/>
                <w:webHidden/>
                <w:sz w:val="22"/>
              </w:rPr>
              <w:instrText xml:space="preserve"> PAGEREF _Toc157695881 \h </w:instrText>
            </w:r>
            <w:r w:rsidR="006213EC" w:rsidRPr="00D73F42">
              <w:rPr>
                <w:rFonts w:ascii="KievitPro-Regular" w:hAnsi="KievitPro-Regular"/>
                <w:webHidden/>
                <w:sz w:val="22"/>
              </w:rPr>
            </w:r>
            <w:r w:rsidR="006213EC" w:rsidRPr="00D73F42">
              <w:rPr>
                <w:rFonts w:ascii="KievitPro-Regular" w:hAnsi="KievitPro-Regular"/>
                <w:webHidden/>
                <w:sz w:val="22"/>
              </w:rPr>
              <w:fldChar w:fldCharType="separate"/>
            </w:r>
            <w:r w:rsidR="006213EC" w:rsidRPr="00D73F42">
              <w:rPr>
                <w:rFonts w:ascii="KievitPro-Regular" w:hAnsi="KievitPro-Regular"/>
                <w:webHidden/>
                <w:sz w:val="22"/>
              </w:rPr>
              <w:t>12</w:t>
            </w:r>
            <w:r w:rsidR="006213EC" w:rsidRPr="00D73F42">
              <w:rPr>
                <w:rFonts w:ascii="KievitPro-Regular" w:hAnsi="KievitPro-Regular"/>
                <w:webHidden/>
                <w:sz w:val="22"/>
              </w:rPr>
              <w:fldChar w:fldCharType="end"/>
            </w:r>
          </w:hyperlink>
        </w:p>
        <w:p w14:paraId="23611A5C" w14:textId="7B2904CE" w:rsidR="006213EC" w:rsidRDefault="006213EC">
          <w:r>
            <w:rPr>
              <w:b/>
              <w:bCs/>
              <w:lang w:val="de-DE"/>
            </w:rPr>
            <w:fldChar w:fldCharType="end"/>
          </w:r>
        </w:p>
      </w:sdtContent>
    </w:sdt>
    <w:p w14:paraId="6328BB36" w14:textId="40F8D2F8" w:rsidR="008A6A5E" w:rsidRPr="006213EC" w:rsidRDefault="008A6A5E" w:rsidP="008A6A5E">
      <w:pPr>
        <w:jc w:val="left"/>
      </w:pPr>
    </w:p>
    <w:p w14:paraId="24C23CA0" w14:textId="06621103" w:rsidR="008A6A5E" w:rsidRPr="006213EC" w:rsidRDefault="008A6A5E" w:rsidP="008A6A5E">
      <w:pPr>
        <w:jc w:val="left"/>
      </w:pPr>
    </w:p>
    <w:p w14:paraId="7B33579C" w14:textId="77CC273C" w:rsidR="008A6A5E" w:rsidRPr="006213EC" w:rsidRDefault="008A6A5E" w:rsidP="008A6A5E">
      <w:pPr>
        <w:jc w:val="left"/>
      </w:pPr>
    </w:p>
    <w:p w14:paraId="6E0A2699" w14:textId="36CABBAE" w:rsidR="008A6A5E" w:rsidRPr="006213EC" w:rsidRDefault="008A6A5E" w:rsidP="008A6A5E">
      <w:pPr>
        <w:jc w:val="left"/>
      </w:pPr>
    </w:p>
    <w:p w14:paraId="1A8EDB9A" w14:textId="32F4D4FF" w:rsidR="008A6A5E" w:rsidRPr="006213EC" w:rsidRDefault="008A6A5E" w:rsidP="008A6A5E">
      <w:pPr>
        <w:jc w:val="left"/>
      </w:pPr>
    </w:p>
    <w:p w14:paraId="759C0DE1" w14:textId="2005C1D1" w:rsidR="008A6A5E" w:rsidRPr="006213EC" w:rsidRDefault="008A6A5E" w:rsidP="008A6A5E">
      <w:pPr>
        <w:jc w:val="left"/>
      </w:pPr>
    </w:p>
    <w:p w14:paraId="17E922A1" w14:textId="3BCAB531" w:rsidR="008A6A5E" w:rsidRPr="006213EC" w:rsidRDefault="008A6A5E" w:rsidP="008A6A5E">
      <w:pPr>
        <w:jc w:val="left"/>
      </w:pPr>
    </w:p>
    <w:p w14:paraId="6A95DD0F" w14:textId="4135CDFA" w:rsidR="008A6A5E" w:rsidRPr="006213EC" w:rsidRDefault="008A6A5E" w:rsidP="008A6A5E">
      <w:pPr>
        <w:jc w:val="left"/>
      </w:pPr>
    </w:p>
    <w:p w14:paraId="482BD293" w14:textId="2CF8D0BC" w:rsidR="008A6A5E" w:rsidRPr="006213EC" w:rsidRDefault="008A6A5E" w:rsidP="008A6A5E">
      <w:pPr>
        <w:jc w:val="left"/>
      </w:pPr>
    </w:p>
    <w:p w14:paraId="606C9409" w14:textId="73D59056" w:rsidR="008A6A5E" w:rsidRPr="006213EC" w:rsidRDefault="008A6A5E" w:rsidP="008A6A5E">
      <w:pPr>
        <w:jc w:val="left"/>
      </w:pPr>
    </w:p>
    <w:p w14:paraId="630F279B" w14:textId="05FF5018" w:rsidR="008A6A5E" w:rsidRPr="006213EC" w:rsidRDefault="008A6A5E" w:rsidP="008A6A5E">
      <w:pPr>
        <w:jc w:val="left"/>
      </w:pPr>
    </w:p>
    <w:p w14:paraId="2EB0699C" w14:textId="45BD585F" w:rsidR="008A6A5E" w:rsidRPr="006213EC" w:rsidRDefault="008A6A5E" w:rsidP="008A6A5E">
      <w:pPr>
        <w:jc w:val="left"/>
      </w:pPr>
    </w:p>
    <w:p w14:paraId="0BF3FE2B" w14:textId="63FAA115" w:rsidR="008A6A5E" w:rsidRPr="006213EC" w:rsidRDefault="008A6A5E" w:rsidP="008A6A5E">
      <w:pPr>
        <w:jc w:val="left"/>
      </w:pPr>
    </w:p>
    <w:p w14:paraId="21027E6B" w14:textId="74BE4DD1" w:rsidR="008A6A5E" w:rsidRPr="006213EC" w:rsidRDefault="008A6A5E" w:rsidP="008A6A5E">
      <w:pPr>
        <w:jc w:val="left"/>
      </w:pPr>
    </w:p>
    <w:p w14:paraId="43BC3C4B" w14:textId="006F72FA" w:rsidR="008A6A5E" w:rsidRPr="006213EC" w:rsidRDefault="008A6A5E" w:rsidP="008A6A5E">
      <w:pPr>
        <w:jc w:val="left"/>
      </w:pPr>
    </w:p>
    <w:p w14:paraId="4E9A8A8E" w14:textId="78944E9B" w:rsidR="008A6A5E" w:rsidRPr="006213EC" w:rsidRDefault="008A6A5E" w:rsidP="008A6A5E">
      <w:pPr>
        <w:jc w:val="left"/>
      </w:pPr>
    </w:p>
    <w:p w14:paraId="6C988DA9" w14:textId="2A7AD2B6" w:rsidR="008A6A5E" w:rsidRPr="006213EC" w:rsidRDefault="008A6A5E" w:rsidP="008A6A5E">
      <w:pPr>
        <w:jc w:val="left"/>
      </w:pPr>
    </w:p>
    <w:p w14:paraId="44F25D12" w14:textId="33441FEF" w:rsidR="008A6A5E" w:rsidRPr="006213EC" w:rsidRDefault="008A6A5E" w:rsidP="008A6A5E">
      <w:pPr>
        <w:jc w:val="left"/>
      </w:pPr>
    </w:p>
    <w:p w14:paraId="5789DE60" w14:textId="3FD75E33" w:rsidR="008A6A5E" w:rsidRPr="006213EC" w:rsidRDefault="008A6A5E" w:rsidP="008A6A5E">
      <w:pPr>
        <w:jc w:val="left"/>
      </w:pPr>
    </w:p>
    <w:p w14:paraId="44459AC7" w14:textId="7D11C610" w:rsidR="008A6A5E" w:rsidRPr="006213EC" w:rsidRDefault="008A6A5E" w:rsidP="008A6A5E">
      <w:pPr>
        <w:jc w:val="left"/>
      </w:pPr>
    </w:p>
    <w:p w14:paraId="2DE85FDB" w14:textId="65422D13" w:rsidR="008A6A5E" w:rsidRPr="006213EC" w:rsidRDefault="008A6A5E" w:rsidP="008A6A5E">
      <w:pPr>
        <w:jc w:val="left"/>
      </w:pPr>
    </w:p>
    <w:p w14:paraId="36C81B1A" w14:textId="2DE3246E" w:rsidR="008A6A5E" w:rsidRPr="006213EC" w:rsidRDefault="008A6A5E" w:rsidP="008A6A5E">
      <w:pPr>
        <w:jc w:val="left"/>
      </w:pPr>
    </w:p>
    <w:p w14:paraId="7DF94B4D" w14:textId="6E5200D4" w:rsidR="008A6A5E" w:rsidRPr="006213EC" w:rsidRDefault="008A6A5E" w:rsidP="008A6A5E">
      <w:pPr>
        <w:jc w:val="left"/>
      </w:pPr>
    </w:p>
    <w:p w14:paraId="5AF6AB24" w14:textId="6466CB0A" w:rsidR="008A6A5E" w:rsidRPr="006213EC" w:rsidRDefault="008A6A5E" w:rsidP="008A6A5E">
      <w:pPr>
        <w:jc w:val="left"/>
      </w:pPr>
    </w:p>
    <w:p w14:paraId="56882D3A" w14:textId="0DC10129" w:rsidR="008A6A5E" w:rsidRPr="006213EC" w:rsidRDefault="008A6A5E" w:rsidP="008A6A5E">
      <w:pPr>
        <w:jc w:val="left"/>
      </w:pPr>
    </w:p>
    <w:p w14:paraId="405631C6" w14:textId="5B1367DA" w:rsidR="008A6A5E" w:rsidRPr="006213EC" w:rsidRDefault="008A6A5E" w:rsidP="008A6A5E">
      <w:pPr>
        <w:jc w:val="left"/>
      </w:pPr>
    </w:p>
    <w:p w14:paraId="1283F6EE" w14:textId="47EC3E9F" w:rsidR="008A6A5E" w:rsidRPr="006213EC" w:rsidRDefault="008A6A5E" w:rsidP="008A6A5E">
      <w:pPr>
        <w:jc w:val="left"/>
      </w:pPr>
    </w:p>
    <w:p w14:paraId="4D2B2789" w14:textId="2C9E9E83" w:rsidR="008A6A5E" w:rsidRPr="006213EC" w:rsidRDefault="008A6A5E" w:rsidP="008A6A5E">
      <w:pPr>
        <w:jc w:val="left"/>
      </w:pPr>
    </w:p>
    <w:p w14:paraId="5C33C34E" w14:textId="491F5F87" w:rsidR="008A6A5E" w:rsidRPr="006213EC" w:rsidRDefault="008A6A5E" w:rsidP="008A6A5E">
      <w:pPr>
        <w:jc w:val="left"/>
      </w:pPr>
    </w:p>
    <w:p w14:paraId="53A08DC4" w14:textId="284140DD" w:rsidR="008A6A5E" w:rsidRPr="006213EC" w:rsidRDefault="008A6A5E" w:rsidP="008A6A5E">
      <w:pPr>
        <w:jc w:val="left"/>
      </w:pPr>
    </w:p>
    <w:p w14:paraId="6A622876" w14:textId="25C4CB2F" w:rsidR="008A6A5E" w:rsidRPr="006213EC" w:rsidRDefault="008A6A5E" w:rsidP="008A6A5E">
      <w:pPr>
        <w:jc w:val="left"/>
      </w:pPr>
    </w:p>
    <w:p w14:paraId="09B3A318" w14:textId="7BB1ACAA" w:rsidR="008A6A5E" w:rsidRPr="006213EC" w:rsidRDefault="008A6A5E" w:rsidP="008A6A5E">
      <w:pPr>
        <w:jc w:val="left"/>
      </w:pPr>
    </w:p>
    <w:p w14:paraId="6A39E879" w14:textId="07931DF6" w:rsidR="008A6A5E" w:rsidRPr="006213EC" w:rsidRDefault="008A6A5E" w:rsidP="008A6A5E">
      <w:pPr>
        <w:jc w:val="left"/>
      </w:pPr>
    </w:p>
    <w:p w14:paraId="31F11460" w14:textId="6C326DCD" w:rsidR="008A6A5E" w:rsidRPr="006213EC" w:rsidRDefault="008A6A5E" w:rsidP="008A6A5E">
      <w:pPr>
        <w:jc w:val="left"/>
      </w:pPr>
    </w:p>
    <w:p w14:paraId="65AB4310" w14:textId="74325B0F" w:rsidR="008A6A5E" w:rsidRPr="006213EC" w:rsidRDefault="008A6A5E" w:rsidP="008A6A5E">
      <w:pPr>
        <w:jc w:val="left"/>
      </w:pPr>
    </w:p>
    <w:p w14:paraId="4ADC3E51" w14:textId="31214760" w:rsidR="008A6A5E" w:rsidRPr="006213EC" w:rsidRDefault="008A6A5E" w:rsidP="008A6A5E">
      <w:pPr>
        <w:jc w:val="left"/>
      </w:pPr>
    </w:p>
    <w:p w14:paraId="64BC07C9" w14:textId="32E1D755" w:rsidR="008A6A5E" w:rsidRPr="006213EC" w:rsidRDefault="008A6A5E" w:rsidP="008A6A5E">
      <w:pPr>
        <w:jc w:val="left"/>
      </w:pPr>
    </w:p>
    <w:p w14:paraId="1D0EB192" w14:textId="00BD169D" w:rsidR="008A6A5E" w:rsidRPr="006213EC" w:rsidRDefault="008A6A5E" w:rsidP="008A6A5E">
      <w:pPr>
        <w:jc w:val="left"/>
      </w:pPr>
    </w:p>
    <w:p w14:paraId="2B5ACE12" w14:textId="0D5760C7" w:rsidR="008A6A5E" w:rsidRPr="006213EC" w:rsidRDefault="00D53C30" w:rsidP="00133D1B">
      <w:pPr>
        <w:pStyle w:val="berschrift1"/>
        <w:keepNext w:val="0"/>
        <w:numPr>
          <w:ilvl w:val="0"/>
          <w:numId w:val="39"/>
        </w:numPr>
        <w:tabs>
          <w:tab w:val="num" w:pos="207"/>
        </w:tabs>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1" w:name="_Toc142481501"/>
      <w:bookmarkStart w:id="2" w:name="_Toc157695873"/>
      <w:r w:rsidRPr="006213EC">
        <w:rPr>
          <w:rFonts w:ascii="KievitPro-Regular" w:hAnsi="KievitPro-Regular" w:cs="Arial"/>
          <w:smallCaps/>
          <w:snapToGrid/>
          <w:spacing w:val="5"/>
          <w:kern w:val="0"/>
          <w:sz w:val="28"/>
          <w:szCs w:val="36"/>
          <w:lang w:val="fr-CH" w:eastAsia="en-US"/>
        </w:rPr>
        <w:t>INTRODUCTION</w:t>
      </w:r>
      <w:bookmarkEnd w:id="1"/>
      <w:bookmarkEnd w:id="2"/>
    </w:p>
    <w:p w14:paraId="006A48C6" w14:textId="77777777" w:rsidR="008A6A5E" w:rsidRPr="006213EC" w:rsidRDefault="008A6A5E" w:rsidP="008A6A5E">
      <w:pPr>
        <w:spacing w:line="360" w:lineRule="auto"/>
        <w:rPr>
          <w:rFonts w:ascii="KievitPro-Regular" w:hAnsi="KievitPro-Regular"/>
          <w:sz w:val="22"/>
          <w:szCs w:val="22"/>
          <w:lang w:val="fr-CH"/>
        </w:rPr>
      </w:pPr>
      <w:r w:rsidRPr="006213EC">
        <w:rPr>
          <w:rFonts w:ascii="KievitPro-Regular" w:hAnsi="KievitPro-Regular"/>
          <w:sz w:val="22"/>
          <w:szCs w:val="22"/>
          <w:lang w:val="fr-CH"/>
        </w:rPr>
        <w:t>Indépendamment de la nature de leur agrément auprès de l’ASR, les entreprises de révision qui fournissent des prestations en matière de révision au sens de la loi doivent disposer d’un système d’assurance-qualité interne (art. 6 LSR et art. 9 OSRev).</w:t>
      </w:r>
    </w:p>
    <w:p w14:paraId="087689E2" w14:textId="77777777" w:rsidR="008A6A5E" w:rsidRPr="006213EC" w:rsidRDefault="008A6A5E" w:rsidP="008A6A5E">
      <w:pPr>
        <w:spacing w:line="360" w:lineRule="auto"/>
        <w:rPr>
          <w:rFonts w:ascii="KievitPro-Regular" w:hAnsi="KievitPro-Regular" w:cs="Arial"/>
          <w:bCs/>
          <w:sz w:val="22"/>
          <w:szCs w:val="22"/>
          <w:lang w:val="fr-CH"/>
        </w:rPr>
      </w:pPr>
    </w:p>
    <w:p w14:paraId="46944E30" w14:textId="77777777" w:rsidR="008A6A5E" w:rsidRPr="00E93447" w:rsidRDefault="008A6A5E" w:rsidP="008A6A5E">
      <w:pPr>
        <w:spacing w:line="360" w:lineRule="auto"/>
        <w:rPr>
          <w:rFonts w:ascii="KievitPro-Regular" w:hAnsi="KievitPro-Regular"/>
          <w:sz w:val="22"/>
          <w:szCs w:val="22"/>
          <w:lang w:val="fr-CH"/>
        </w:rPr>
      </w:pPr>
      <w:r w:rsidRPr="00E93447">
        <w:rPr>
          <w:rFonts w:ascii="KievitPro-Regular" w:hAnsi="KievitPro-Regular"/>
          <w:sz w:val="22"/>
          <w:szCs w:val="22"/>
          <w:lang w:val="fr-CH"/>
        </w:rPr>
        <w:t>Dans le cadre du contrôle ordinaire et d’éventuels contrôles spéciaux, les entreprises de révision doivent en principe appliquer la ISQC-CH 1 (norme suisse pour le contrôle qualité 1) et les NA-CH (normes suisses d’audit des états financiers), en particulier l’ISA-CH 220 « Contrôle qualité dans l’audit ». En revanche, l’AS-CH (et par conséquent l’ISA-CH 220) ne s’applique pas aux entreprises de révision qui exercent leur activité dans le cadre du contrôle restreint.</w:t>
      </w:r>
    </w:p>
    <w:p w14:paraId="4288576C" w14:textId="77777777" w:rsidR="008A6A5E" w:rsidRPr="00E93447" w:rsidRDefault="008A6A5E" w:rsidP="008A6A5E">
      <w:pPr>
        <w:spacing w:line="360" w:lineRule="auto"/>
        <w:rPr>
          <w:rFonts w:ascii="KievitPro-Regular" w:hAnsi="KievitPro-Regular" w:cs="Arial"/>
          <w:bCs/>
          <w:sz w:val="22"/>
          <w:szCs w:val="22"/>
          <w:lang w:val="fr-CH"/>
        </w:rPr>
      </w:pPr>
    </w:p>
    <w:p w14:paraId="038EB370" w14:textId="77777777" w:rsidR="008A6A5E" w:rsidRPr="00E93447" w:rsidRDefault="008A6A5E" w:rsidP="008A6A5E">
      <w:pPr>
        <w:autoSpaceDE w:val="0"/>
        <w:autoSpaceDN w:val="0"/>
        <w:adjustRightInd w:val="0"/>
        <w:spacing w:line="360" w:lineRule="auto"/>
        <w:rPr>
          <w:rFonts w:ascii="KievitPro-Regular" w:hAnsi="KievitPro-Regular" w:cs="Arial"/>
          <w:color w:val="000000"/>
          <w:sz w:val="22"/>
          <w:szCs w:val="22"/>
          <w:lang w:val="fr-CH"/>
        </w:rPr>
      </w:pPr>
      <w:r w:rsidRPr="00E93447">
        <w:rPr>
          <w:rFonts w:ascii="KievitPro-Regular" w:hAnsi="KievitPro-Regular"/>
          <w:sz w:val="22"/>
          <w:szCs w:val="22"/>
          <w:lang w:val="fr-CH"/>
        </w:rPr>
        <w:t>Les présentes instructions comblent cette lacune en transposant les exigences fixées dans l’ISA-CH 220 à une plus petite échelle. Elles visent donc en priorité les réviseurs qui fournissent des prestations de contrôle restreint. L’ISA-CH 220 reste applicable sans restriction pour les entreprises de révision qui effectuent des contrôles ordinaires.</w:t>
      </w:r>
    </w:p>
    <w:p w14:paraId="30A0C131" w14:textId="77777777" w:rsidR="008A6A5E" w:rsidRPr="00E93447" w:rsidRDefault="008A6A5E" w:rsidP="008A6A5E">
      <w:pPr>
        <w:autoSpaceDE w:val="0"/>
        <w:autoSpaceDN w:val="0"/>
        <w:adjustRightInd w:val="0"/>
        <w:spacing w:line="360" w:lineRule="auto"/>
        <w:rPr>
          <w:rFonts w:ascii="KievitPro-Regular" w:hAnsi="KievitPro-Regular" w:cs="Arial"/>
          <w:color w:val="000000"/>
          <w:sz w:val="22"/>
          <w:szCs w:val="22"/>
          <w:lang w:val="fr-CH" w:eastAsia="de-CH"/>
        </w:rPr>
      </w:pPr>
    </w:p>
    <w:p w14:paraId="22204247" w14:textId="09E39CBC" w:rsidR="008A6A5E" w:rsidRPr="006213EC" w:rsidRDefault="008A6A5E" w:rsidP="008A6A5E">
      <w:pPr>
        <w:spacing w:line="360" w:lineRule="auto"/>
        <w:rPr>
          <w:rFonts w:ascii="KievitPro-Regular" w:hAnsi="KievitPro-Regular" w:cs="Arial"/>
          <w:sz w:val="22"/>
          <w:szCs w:val="22"/>
          <w:lang w:val="fr-CH"/>
        </w:rPr>
      </w:pPr>
      <w:r w:rsidRPr="00E93447">
        <w:rPr>
          <w:rFonts w:ascii="KievitPro-Regular" w:hAnsi="KievitPro-Regular"/>
          <w:sz w:val="22"/>
          <w:szCs w:val="22"/>
          <w:lang w:val="fr-CH"/>
        </w:rPr>
        <w:t>Les instructions ne sont pas applicables aux entreprises de révision qui effectuent des contrôles ordinaires, des contrôles spéciaux ou des audits des états financiers d’institutions de prévoyance dans le domaine de l’assurance vieillesse, survivants et invalidité (art. 52c, al. 1, let. a LPP), de l’assurance maladie (art. 87, al. 1 OAMal) ou des maisons de</w:t>
      </w:r>
      <w:r w:rsidRPr="006213EC">
        <w:rPr>
          <w:rFonts w:ascii="KievitPro-Regular" w:hAnsi="KievitPro-Regular"/>
          <w:sz w:val="22"/>
          <w:szCs w:val="22"/>
          <w:lang w:val="fr-CH"/>
        </w:rPr>
        <w:t xml:space="preserve"> jeu (art. 75, al. 1 OLMJ)</w:t>
      </w:r>
      <w:r w:rsidRPr="006213EC">
        <w:rPr>
          <w:rStyle w:val="Funotenzeichen"/>
          <w:rFonts w:ascii="KievitPro-Regular" w:hAnsi="KievitPro-Regular"/>
          <w:szCs w:val="22"/>
          <w:lang w:val="fr-CH"/>
        </w:rPr>
        <w:footnoteReference w:id="1"/>
      </w:r>
      <w:r w:rsidRPr="006213EC">
        <w:rPr>
          <w:rFonts w:ascii="KievitPro-Regular" w:hAnsi="KievitPro-Regular"/>
          <w:sz w:val="22"/>
          <w:szCs w:val="22"/>
          <w:lang w:val="fr-CH"/>
        </w:rPr>
        <w:t xml:space="preserve">. </w:t>
      </w:r>
      <w:r w:rsidRPr="006213EC">
        <w:rPr>
          <w:rFonts w:ascii="KievitPro-Regular" w:hAnsi="KievitPro-Regular"/>
          <w:color w:val="000000"/>
          <w:sz w:val="22"/>
          <w:szCs w:val="22"/>
          <w:lang w:val="fr-CH"/>
        </w:rPr>
        <w:t xml:space="preserve">Les entreprises de révision appliquant les normes d’audit de l’IAASB (International Auditing and Assurance Standards Board) lorsqu’elles révisent les comptes annuels et consolidés de groupe doivent garantir l’assurance-qualité de leurs prestations de services de révision en conformité avec les normes ISQC (International Standards on Quality Control) de l’IAASB (art. 5.2 OSur ASR). Ces instructions ne sont donc pas non plus applicables dans ce cas. </w:t>
      </w:r>
      <w:r w:rsidRPr="006213EC">
        <w:rPr>
          <w:rFonts w:ascii="KievitPro-Regular" w:hAnsi="KievitPro-Regular"/>
          <w:sz w:val="22"/>
          <w:szCs w:val="22"/>
          <w:lang w:val="fr-CH"/>
        </w:rPr>
        <w:t>Les instructions portent sur le contrôle qualité des prestations de révision prévues par la loi au sens de l’art. 2, let. a LSR. Les prestations de conseil fiscal ou d’autres activités de conseil fournies par les experts-comptables ne sont explicitement pas sujettes à ces instructions.</w:t>
      </w:r>
    </w:p>
    <w:p w14:paraId="4A9B7097" w14:textId="77777777" w:rsidR="008A6A5E" w:rsidRPr="006213EC" w:rsidRDefault="008A6A5E" w:rsidP="008A6A5E">
      <w:pPr>
        <w:spacing w:line="360" w:lineRule="auto"/>
        <w:rPr>
          <w:rFonts w:ascii="KievitPro-Regular" w:hAnsi="KievitPro-Regular" w:cs="Arial"/>
          <w:sz w:val="22"/>
          <w:szCs w:val="22"/>
          <w:lang w:val="fr-CH"/>
        </w:rPr>
      </w:pPr>
    </w:p>
    <w:p w14:paraId="483B1FAE" w14:textId="77777777" w:rsidR="008A6A5E" w:rsidRPr="006213EC" w:rsidRDefault="008A6A5E" w:rsidP="008A6A5E">
      <w:pPr>
        <w:spacing w:line="360" w:lineRule="auto"/>
        <w:rPr>
          <w:rFonts w:ascii="KievitPro-Regular" w:hAnsi="KievitPro-Regular"/>
          <w:sz w:val="22"/>
          <w:szCs w:val="22"/>
          <w:lang w:val="fr-CH"/>
        </w:rPr>
      </w:pPr>
      <w:r w:rsidRPr="006213EC">
        <w:rPr>
          <w:rFonts w:ascii="KievitPro-Regular" w:hAnsi="KievitPro-Regular"/>
          <w:sz w:val="22"/>
          <w:szCs w:val="22"/>
          <w:lang w:val="fr-CH"/>
        </w:rPr>
        <w:t>Le système d’assurance-qualité interne doit être adapté à la taille de l’entreprise de révision et à la complexité des mandats, ce qui signifie que le degré de formalisation pourra être réduit en conséquence dans les très petites entreprises. La conception concrète relève exclusivement de la compétence et de la responsabilité de l’entreprise de révision.</w:t>
      </w:r>
    </w:p>
    <w:p w14:paraId="1F3B3359" w14:textId="77777777" w:rsidR="008A6A5E" w:rsidRPr="006213EC" w:rsidRDefault="008A6A5E" w:rsidP="008A6A5E">
      <w:pPr>
        <w:spacing w:line="360" w:lineRule="auto"/>
        <w:rPr>
          <w:rFonts w:ascii="KievitPro-Regular" w:hAnsi="KievitPro-Regular" w:cs="Arial"/>
          <w:sz w:val="22"/>
          <w:szCs w:val="22"/>
          <w:lang w:val="fr-CH"/>
        </w:rPr>
      </w:pPr>
    </w:p>
    <w:p w14:paraId="3D2DAEB4" w14:textId="014C1C4F" w:rsidR="008A6A5E" w:rsidRPr="006213EC" w:rsidRDefault="008A6A5E" w:rsidP="008A6A5E">
      <w:pPr>
        <w:spacing w:line="360" w:lineRule="auto"/>
        <w:rPr>
          <w:rFonts w:ascii="KievitPro-Regular" w:hAnsi="KievitPro-Regular" w:cs="Arial"/>
          <w:sz w:val="22"/>
          <w:szCs w:val="22"/>
          <w:lang w:val="fr-CH"/>
        </w:rPr>
      </w:pPr>
      <w:r w:rsidRPr="006213EC">
        <w:rPr>
          <w:rFonts w:ascii="KievitPro-Regular" w:hAnsi="KievitPro-Regular" w:cs="Arial"/>
          <w:sz w:val="22"/>
          <w:szCs w:val="22"/>
          <w:lang w:val="fr-CH"/>
        </w:rPr>
        <w:t>Ces instruction</w:t>
      </w:r>
      <w:r w:rsidRPr="00E93447">
        <w:rPr>
          <w:rFonts w:ascii="KievitPro-Regular" w:hAnsi="KievitPro-Regular" w:cs="Arial"/>
          <w:sz w:val="22"/>
          <w:szCs w:val="22"/>
          <w:lang w:val="fr-CH"/>
        </w:rPr>
        <w:t xml:space="preserve">s, qui définissent les exigences auxquelles doit répondre un système d’assurance-qualité interne dans le segment des PME (y compris en matière de documentation), sont obligatoires et applicables à compter du </w:t>
      </w:r>
      <w:r w:rsidRPr="00E93447">
        <w:rPr>
          <w:rFonts w:ascii="KievitPro-Regular" w:hAnsi="KievitPro-Regular"/>
          <w:sz w:val="22"/>
          <w:szCs w:val="22"/>
          <w:lang w:val="fr-CH"/>
        </w:rPr>
        <w:t>1</w:t>
      </w:r>
      <w:r w:rsidRPr="00E93447">
        <w:rPr>
          <w:rFonts w:ascii="KievitPro-Regular" w:hAnsi="KievitPro-Regular"/>
          <w:sz w:val="22"/>
          <w:szCs w:val="22"/>
          <w:vertAlign w:val="superscript"/>
          <w:lang w:val="fr-CH"/>
        </w:rPr>
        <w:t>er</w:t>
      </w:r>
      <w:r w:rsidRPr="00E93447">
        <w:rPr>
          <w:rFonts w:ascii="KievitPro-Regular" w:hAnsi="KievitPro-Regular"/>
          <w:sz w:val="22"/>
          <w:szCs w:val="22"/>
          <w:lang w:val="fr-CH"/>
        </w:rPr>
        <w:t xml:space="preserve"> janvier 2023 </w:t>
      </w:r>
      <w:r w:rsidRPr="00E93447">
        <w:rPr>
          <w:rFonts w:ascii="KievitPro-Regular" w:hAnsi="KievitPro-Regular" w:cs="Arial"/>
          <w:sz w:val="22"/>
          <w:szCs w:val="22"/>
          <w:lang w:val="fr-CH"/>
        </w:rPr>
        <w:t>pour les membres de FIDUCIAIRE|SUISSE qui effectuent exclusivement des contrôles restreints. Leur respect peut être vérifié dans le cadre du contrôle du respect des conditions d’admission des membres.</w:t>
      </w:r>
    </w:p>
    <w:p w14:paraId="5FE6C383" w14:textId="77777777" w:rsidR="008A6A5E" w:rsidRPr="006213EC" w:rsidRDefault="008A6A5E">
      <w:pPr>
        <w:jc w:val="left"/>
        <w:rPr>
          <w:rFonts w:cs="Arial"/>
          <w:sz w:val="22"/>
          <w:szCs w:val="22"/>
          <w:lang w:val="fr-CH"/>
        </w:rPr>
      </w:pPr>
      <w:r w:rsidRPr="006213EC">
        <w:rPr>
          <w:rFonts w:cs="Arial"/>
          <w:sz w:val="22"/>
          <w:szCs w:val="22"/>
          <w:lang w:val="fr-CH"/>
        </w:rPr>
        <w:br w:type="page"/>
      </w:r>
    </w:p>
    <w:p w14:paraId="2F9D9E77" w14:textId="77777777" w:rsidR="00D53C30" w:rsidRPr="006213EC" w:rsidRDefault="008A6A5E" w:rsidP="00133D1B">
      <w:pPr>
        <w:pStyle w:val="berschrift1"/>
        <w:keepNext w:val="0"/>
        <w:numPr>
          <w:ilvl w:val="0"/>
          <w:numId w:val="39"/>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3" w:name="_Toc157695874"/>
      <w:bookmarkStart w:id="4" w:name="_Toc486339202"/>
      <w:bookmarkStart w:id="5" w:name="_Toc142481502"/>
      <w:r w:rsidRPr="006213EC">
        <w:rPr>
          <w:rFonts w:ascii="KievitPro-Regular" w:hAnsi="KievitPro-Regular" w:cs="Arial"/>
          <w:smallCaps/>
          <w:snapToGrid/>
          <w:spacing w:val="5"/>
          <w:kern w:val="0"/>
          <w:sz w:val="28"/>
          <w:szCs w:val="36"/>
          <w:lang w:val="fr-CH" w:eastAsia="en-US"/>
        </w:rPr>
        <w:lastRenderedPageBreak/>
        <w:t>C</w:t>
      </w:r>
      <w:r w:rsidR="00D53C30" w:rsidRPr="006213EC">
        <w:rPr>
          <w:rFonts w:ascii="KievitPro-Regular" w:hAnsi="KievitPro-Regular" w:cs="Arial"/>
          <w:smallCaps/>
          <w:snapToGrid/>
          <w:spacing w:val="5"/>
          <w:kern w:val="0"/>
          <w:sz w:val="28"/>
          <w:szCs w:val="36"/>
          <w:lang w:val="fr-CH" w:eastAsia="en-US"/>
        </w:rPr>
        <w:t>ONDITIONS À REMPLIR PAR LE SYSTÈME D’ASSURANCE-QUALITÉ</w:t>
      </w:r>
      <w:bookmarkEnd w:id="3"/>
      <w:r w:rsidR="00D53C30" w:rsidRPr="006213EC">
        <w:rPr>
          <w:rFonts w:ascii="KievitPro-Regular" w:hAnsi="KievitPro-Regular" w:cs="Arial"/>
          <w:smallCaps/>
          <w:snapToGrid/>
          <w:spacing w:val="5"/>
          <w:kern w:val="0"/>
          <w:sz w:val="28"/>
          <w:szCs w:val="36"/>
          <w:lang w:val="fr-CH" w:eastAsia="en-US"/>
        </w:rPr>
        <w:t xml:space="preserve"> </w:t>
      </w:r>
      <w:bookmarkStart w:id="6" w:name="_Toc142481503"/>
      <w:bookmarkEnd w:id="4"/>
      <w:bookmarkEnd w:id="5"/>
    </w:p>
    <w:p w14:paraId="4503A351" w14:textId="725A1DB4" w:rsidR="008A6A5E" w:rsidRPr="006213EC" w:rsidRDefault="00D53C30" w:rsidP="00133D1B">
      <w:pPr>
        <w:pStyle w:val="berschrift1"/>
        <w:keepNext w:val="0"/>
        <w:numPr>
          <w:ilvl w:val="1"/>
          <w:numId w:val="39"/>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7" w:name="_Toc157695875"/>
      <w:r w:rsidRPr="006213EC">
        <w:rPr>
          <w:rFonts w:ascii="KievitPro-Regular" w:hAnsi="KievitPro-Regular" w:cs="Arial"/>
          <w:smallCaps/>
          <w:snapToGrid/>
          <w:spacing w:val="5"/>
          <w:kern w:val="0"/>
          <w:sz w:val="28"/>
          <w:szCs w:val="36"/>
          <w:lang w:val="fr-CH" w:eastAsia="en-US"/>
        </w:rPr>
        <w:t>EXIGENCES LÉGALES</w:t>
      </w:r>
      <w:bookmarkEnd w:id="7"/>
      <w:r w:rsidRPr="006213EC">
        <w:rPr>
          <w:rFonts w:ascii="KievitPro-Regular" w:hAnsi="KievitPro-Regular" w:cs="Arial"/>
          <w:smallCaps/>
          <w:snapToGrid/>
          <w:spacing w:val="5"/>
          <w:kern w:val="0"/>
          <w:sz w:val="28"/>
          <w:szCs w:val="36"/>
          <w:lang w:val="fr-CH" w:eastAsia="en-US"/>
        </w:rPr>
        <w:t xml:space="preserve"> </w:t>
      </w:r>
      <w:bookmarkEnd w:id="6"/>
    </w:p>
    <w:p w14:paraId="24D3E769" w14:textId="77777777" w:rsidR="008A6A5E" w:rsidRPr="006213EC" w:rsidRDefault="008A6A5E" w:rsidP="008A6A5E">
      <w:pPr>
        <w:spacing w:line="360" w:lineRule="auto"/>
        <w:rPr>
          <w:rFonts w:ascii="KievitPro-Regular" w:hAnsi="KievitPro-Regular" w:cs="Arial"/>
          <w:sz w:val="22"/>
          <w:szCs w:val="22"/>
          <w:lang w:val="fr-CH"/>
        </w:rPr>
      </w:pPr>
      <w:r w:rsidRPr="006213EC">
        <w:rPr>
          <w:rFonts w:ascii="KievitPro-Regular" w:hAnsi="KievitPro-Regular"/>
          <w:sz w:val="22"/>
          <w:lang w:val="fr-CH"/>
        </w:rPr>
        <w:t>Selon la loi sur la surveillance de la révision, une entreprise de révision ne peut entre autres être agréée en qualité d’expert-réviseur ou de réviseur que si « la structure de direction garantit une supervision suffisante de l’exécution des différents mandats » (art. 6, al. 1, let. d LSR).</w:t>
      </w:r>
    </w:p>
    <w:p w14:paraId="70617B23" w14:textId="77777777" w:rsidR="008A6A5E" w:rsidRPr="006213EC" w:rsidRDefault="008A6A5E" w:rsidP="008A6A5E">
      <w:pPr>
        <w:spacing w:line="360" w:lineRule="auto"/>
        <w:rPr>
          <w:rFonts w:ascii="KievitPro-Regular" w:hAnsi="KievitPro-Regular" w:cs="Arial"/>
          <w:sz w:val="22"/>
          <w:szCs w:val="22"/>
          <w:lang w:val="fr-CH"/>
        </w:rPr>
      </w:pPr>
    </w:p>
    <w:p w14:paraId="66BDDF4E" w14:textId="77777777" w:rsidR="008A6A5E" w:rsidRPr="006213EC" w:rsidRDefault="008A6A5E" w:rsidP="008A6A5E">
      <w:pPr>
        <w:spacing w:line="360" w:lineRule="auto"/>
        <w:rPr>
          <w:rFonts w:ascii="KievitPro-Regular" w:hAnsi="KievitPro-Regular" w:cs="Arial"/>
          <w:sz w:val="22"/>
          <w:szCs w:val="22"/>
          <w:lang w:val="fr-CH"/>
        </w:rPr>
      </w:pPr>
      <w:r w:rsidRPr="006213EC">
        <w:rPr>
          <w:rFonts w:ascii="KievitPro-Regular" w:hAnsi="KievitPro-Regular"/>
          <w:sz w:val="22"/>
          <w:lang w:val="fr-CH"/>
        </w:rPr>
        <w:t>L’art. 9, al. 1 OSRev précise cette exigence comme suit :</w:t>
      </w:r>
    </w:p>
    <w:p w14:paraId="1D2C9B44" w14:textId="77777777" w:rsidR="008A6A5E" w:rsidRPr="006213EC" w:rsidRDefault="008A6A5E" w:rsidP="008A6A5E">
      <w:pPr>
        <w:spacing w:line="360" w:lineRule="auto"/>
        <w:rPr>
          <w:rFonts w:ascii="KievitPro-Regular" w:hAnsi="KievitPro-Regular" w:cs="Arial"/>
          <w:sz w:val="22"/>
          <w:szCs w:val="22"/>
          <w:lang w:val="fr-CH"/>
        </w:rPr>
      </w:pPr>
    </w:p>
    <w:p w14:paraId="534D30B5" w14:textId="77777777" w:rsidR="008A6A5E" w:rsidRPr="006213EC" w:rsidRDefault="008A6A5E" w:rsidP="008A6A5E">
      <w:pPr>
        <w:spacing w:line="360" w:lineRule="auto"/>
        <w:ind w:right="1273"/>
        <w:rPr>
          <w:rFonts w:ascii="KievitPro-Regular" w:hAnsi="KievitPro-Regular" w:cs="Arial"/>
          <w:sz w:val="22"/>
          <w:szCs w:val="22"/>
          <w:lang w:val="fr-CH"/>
        </w:rPr>
      </w:pPr>
      <w:r w:rsidRPr="006213EC">
        <w:rPr>
          <w:rFonts w:ascii="KievitPro-Regular" w:hAnsi="KievitPro-Regular"/>
          <w:sz w:val="22"/>
          <w:lang w:val="fr-CH"/>
        </w:rPr>
        <w:t>« Une entreprise de révision a une structure de direction garantissant une supervision suffisante de l’exécution des différents mandats si :</w:t>
      </w:r>
    </w:p>
    <w:p w14:paraId="535261A6" w14:textId="77777777" w:rsidR="008A6A5E" w:rsidRPr="006213EC" w:rsidRDefault="008A6A5E" w:rsidP="008A6A5E">
      <w:pPr>
        <w:spacing w:line="360" w:lineRule="auto"/>
        <w:ind w:right="1273"/>
        <w:rPr>
          <w:rFonts w:ascii="KievitPro-Regular" w:hAnsi="KievitPro-Regular" w:cs="Arial"/>
          <w:sz w:val="22"/>
          <w:szCs w:val="22"/>
          <w:lang w:val="fr-CH"/>
        </w:rPr>
      </w:pPr>
    </w:p>
    <w:p w14:paraId="1A790B9A" w14:textId="77777777" w:rsidR="008A6A5E" w:rsidRPr="006213EC" w:rsidRDefault="008A6A5E" w:rsidP="008A6A5E">
      <w:pPr>
        <w:tabs>
          <w:tab w:val="left" w:pos="993"/>
        </w:tabs>
        <w:spacing w:line="360" w:lineRule="auto"/>
        <w:ind w:right="1273"/>
        <w:rPr>
          <w:rFonts w:ascii="KievitPro-Regular" w:hAnsi="KievitPro-Regular" w:cs="Arial"/>
          <w:sz w:val="22"/>
          <w:szCs w:val="22"/>
          <w:lang w:val="fr-CH"/>
        </w:rPr>
      </w:pPr>
      <w:r w:rsidRPr="006213EC">
        <w:rPr>
          <w:rFonts w:ascii="KievitPro-Regular" w:hAnsi="KievitPro-Regular"/>
          <w:sz w:val="22"/>
          <w:lang w:val="fr-CH"/>
        </w:rPr>
        <w:t>a.</w:t>
      </w:r>
      <w:r w:rsidRPr="006213EC">
        <w:rPr>
          <w:rFonts w:ascii="KievitPro-Regular" w:hAnsi="KievitPro-Regular"/>
          <w:sz w:val="22"/>
          <w:lang w:val="fr-CH"/>
        </w:rPr>
        <w:tab/>
        <w:t>elle dispose d’un système d’assurance-qualité interne, et que</w:t>
      </w:r>
    </w:p>
    <w:p w14:paraId="30BED4CF" w14:textId="2697067F" w:rsidR="008A6A5E" w:rsidRPr="006213EC" w:rsidRDefault="008A6A5E" w:rsidP="00D53C30">
      <w:pPr>
        <w:tabs>
          <w:tab w:val="left" w:pos="993"/>
        </w:tabs>
        <w:spacing w:after="240" w:line="360" w:lineRule="auto"/>
        <w:ind w:right="1273"/>
        <w:rPr>
          <w:rFonts w:ascii="KievitPro-Regular" w:hAnsi="KievitPro-Regular" w:cs="Arial"/>
          <w:sz w:val="22"/>
          <w:szCs w:val="22"/>
          <w:lang w:val="fr-CH"/>
        </w:rPr>
      </w:pPr>
      <w:r w:rsidRPr="006213EC">
        <w:rPr>
          <w:rFonts w:ascii="KievitPro-Regular" w:hAnsi="KievitPro-Regular"/>
          <w:sz w:val="22"/>
          <w:lang w:val="fr-CH"/>
        </w:rPr>
        <w:t>b.</w:t>
      </w:r>
      <w:r w:rsidRPr="006213EC">
        <w:rPr>
          <w:rFonts w:ascii="KievitPro-Regular" w:hAnsi="KievitPro-Regular"/>
          <w:sz w:val="22"/>
          <w:lang w:val="fr-CH"/>
        </w:rPr>
        <w:tab/>
        <w:t xml:space="preserve">l’adéquation et l’efficacité des principes et des mesures d’assurance-qualité font </w:t>
      </w:r>
      <w:r w:rsidR="00D53C30" w:rsidRPr="006213EC">
        <w:rPr>
          <w:rFonts w:ascii="KievitPro-Regular" w:hAnsi="KievitPro-Regular"/>
          <w:sz w:val="22"/>
          <w:lang w:val="fr-CH"/>
        </w:rPr>
        <w:tab/>
      </w:r>
      <w:r w:rsidRPr="006213EC">
        <w:rPr>
          <w:rFonts w:ascii="KievitPro-Regular" w:hAnsi="KievitPro-Regular"/>
          <w:sz w:val="22"/>
          <w:lang w:val="fr-CH"/>
        </w:rPr>
        <w:t>l’objet d’une supervision. »</w:t>
      </w:r>
    </w:p>
    <w:p w14:paraId="692BA2A3" w14:textId="71F20F12" w:rsidR="008A6A5E" w:rsidRPr="006213EC" w:rsidRDefault="008A6A5E" w:rsidP="00133D1B">
      <w:pPr>
        <w:pStyle w:val="berschrift1"/>
        <w:keepNext w:val="0"/>
        <w:numPr>
          <w:ilvl w:val="1"/>
          <w:numId w:val="39"/>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8" w:name="_Toc157695876"/>
      <w:bookmarkStart w:id="9" w:name="_Toc142481504"/>
      <w:r w:rsidRPr="006213EC">
        <w:rPr>
          <w:rFonts w:ascii="KievitPro-Regular" w:hAnsi="KievitPro-Regular" w:cs="Arial"/>
          <w:smallCaps/>
          <w:snapToGrid/>
          <w:spacing w:val="5"/>
          <w:kern w:val="0"/>
          <w:sz w:val="28"/>
          <w:szCs w:val="36"/>
          <w:lang w:val="fr-CH" w:eastAsia="en-US"/>
        </w:rPr>
        <w:t>E</w:t>
      </w:r>
      <w:r w:rsidR="00D53C30" w:rsidRPr="006213EC">
        <w:rPr>
          <w:rFonts w:ascii="KievitPro-Regular" w:hAnsi="KievitPro-Regular" w:cs="Arial"/>
          <w:smallCaps/>
          <w:snapToGrid/>
          <w:spacing w:val="5"/>
          <w:kern w:val="0"/>
          <w:sz w:val="28"/>
          <w:szCs w:val="36"/>
          <w:lang w:val="fr-CH" w:eastAsia="en-US"/>
        </w:rPr>
        <w:t>XIGENCES GÉNÉRALES</w:t>
      </w:r>
      <w:bookmarkEnd w:id="8"/>
      <w:r w:rsidR="00D53C30" w:rsidRPr="006213EC">
        <w:rPr>
          <w:rFonts w:ascii="KievitPro-Regular" w:hAnsi="KievitPro-Regular" w:cs="Arial"/>
          <w:smallCaps/>
          <w:snapToGrid/>
          <w:spacing w:val="5"/>
          <w:kern w:val="0"/>
          <w:sz w:val="28"/>
          <w:szCs w:val="36"/>
          <w:lang w:val="fr-CH" w:eastAsia="en-US"/>
        </w:rPr>
        <w:t xml:space="preserve"> </w:t>
      </w:r>
      <w:bookmarkEnd w:id="9"/>
    </w:p>
    <w:p w14:paraId="2DCB2507" w14:textId="77777777" w:rsidR="008A6A5E" w:rsidRPr="006213EC" w:rsidRDefault="008A6A5E" w:rsidP="008A6A5E">
      <w:pPr>
        <w:tabs>
          <w:tab w:val="left" w:pos="540"/>
        </w:tabs>
        <w:spacing w:line="360" w:lineRule="auto"/>
        <w:rPr>
          <w:rFonts w:ascii="KievitPro-Regular" w:hAnsi="KievitPro-Regular" w:cs="Arial"/>
          <w:sz w:val="22"/>
          <w:szCs w:val="22"/>
          <w:lang w:val="fr-CH"/>
        </w:rPr>
      </w:pPr>
      <w:r w:rsidRPr="006213EC">
        <w:rPr>
          <w:rFonts w:ascii="KievitPro-Regular" w:hAnsi="KievitPro-Regular"/>
          <w:sz w:val="22"/>
          <w:lang w:val="fr-CH"/>
        </w:rPr>
        <w:t>L’objectif premier d’un système d’assurance-qualité interne est de garantir la qualité de la fourniture des prestations de services, à savoir le respect notamment des prescriptions légales et des règles d’éthique professionnelle.</w:t>
      </w:r>
    </w:p>
    <w:p w14:paraId="65584672" w14:textId="77777777" w:rsidR="008A6A5E" w:rsidRPr="006213EC" w:rsidRDefault="008A6A5E" w:rsidP="008A6A5E">
      <w:pPr>
        <w:tabs>
          <w:tab w:val="left" w:pos="540"/>
        </w:tabs>
        <w:spacing w:line="360" w:lineRule="auto"/>
        <w:rPr>
          <w:rFonts w:ascii="KievitPro-Regular" w:hAnsi="KievitPro-Regular" w:cs="Arial"/>
          <w:sz w:val="22"/>
          <w:szCs w:val="22"/>
          <w:lang w:val="fr-CH"/>
        </w:rPr>
      </w:pPr>
    </w:p>
    <w:p w14:paraId="06937981" w14:textId="77777777" w:rsidR="008A6A5E" w:rsidRPr="006213EC" w:rsidRDefault="008A6A5E" w:rsidP="008A6A5E">
      <w:pPr>
        <w:tabs>
          <w:tab w:val="left" w:pos="540"/>
        </w:tabs>
        <w:spacing w:line="360" w:lineRule="auto"/>
        <w:rPr>
          <w:rFonts w:ascii="KievitPro-Regular" w:hAnsi="KievitPro-Regular" w:cs="Arial"/>
          <w:sz w:val="22"/>
          <w:szCs w:val="22"/>
          <w:lang w:val="fr-CH"/>
        </w:rPr>
      </w:pPr>
      <w:r w:rsidRPr="006213EC">
        <w:rPr>
          <w:rFonts w:ascii="KievitPro-Regular" w:hAnsi="KievitPro-Regular"/>
          <w:sz w:val="22"/>
          <w:lang w:val="fr-CH"/>
        </w:rPr>
        <w:t>Ainsi, une entreprise de révision ne doit en principe accepter un mandat que si son personnel dispose des qualifications professionnelles requises et si les exigences en matière d’indépendance sont remplies.</w:t>
      </w:r>
    </w:p>
    <w:p w14:paraId="0992B2B1" w14:textId="4A217067" w:rsidR="008A6A5E" w:rsidRPr="006213EC" w:rsidRDefault="008A6A5E" w:rsidP="008A6A5E">
      <w:pPr>
        <w:tabs>
          <w:tab w:val="left" w:pos="540"/>
        </w:tabs>
        <w:spacing w:line="360" w:lineRule="auto"/>
        <w:rPr>
          <w:rFonts w:ascii="KievitPro-Regular" w:hAnsi="KievitPro-Regular"/>
          <w:sz w:val="22"/>
          <w:lang w:val="fr-CH"/>
        </w:rPr>
      </w:pPr>
    </w:p>
    <w:p w14:paraId="7FE1E9AB" w14:textId="3BBD3F75" w:rsidR="00133D1B" w:rsidRPr="006213EC" w:rsidRDefault="00133D1B" w:rsidP="008A6A5E">
      <w:pPr>
        <w:tabs>
          <w:tab w:val="left" w:pos="540"/>
        </w:tabs>
        <w:spacing w:line="360" w:lineRule="auto"/>
        <w:rPr>
          <w:rFonts w:ascii="KievitPro-Regular" w:hAnsi="KievitPro-Regular"/>
          <w:sz w:val="22"/>
          <w:lang w:val="fr-CH"/>
        </w:rPr>
      </w:pPr>
      <w:r w:rsidRPr="006213EC">
        <w:rPr>
          <w:rFonts w:ascii="KievitPro-Regular" w:hAnsi="KievitPro-Regular"/>
          <w:sz w:val="22"/>
          <w:lang w:val="fr-CH"/>
        </w:rPr>
        <w:t>La structure de direction et le contrôle qualité de l’entreprise de révision doivent être conçus de sorte que :</w:t>
      </w:r>
    </w:p>
    <w:p w14:paraId="5BDDF250" w14:textId="77777777" w:rsidR="008A6A5E" w:rsidRPr="006213EC" w:rsidRDefault="008A6A5E" w:rsidP="008A6A5E">
      <w:pPr>
        <w:tabs>
          <w:tab w:val="left" w:pos="540"/>
        </w:tabs>
        <w:spacing w:line="360" w:lineRule="auto"/>
        <w:rPr>
          <w:rFonts w:ascii="KievitPro-Regular" w:hAnsi="KievitPro-Regular"/>
          <w:sz w:val="22"/>
          <w:lang w:val="fr-CH"/>
        </w:rPr>
      </w:pPr>
    </w:p>
    <w:p w14:paraId="6CA5C1E0" w14:textId="77777777" w:rsidR="008A6A5E" w:rsidRPr="006213EC" w:rsidRDefault="008A6A5E" w:rsidP="00133D1B">
      <w:pPr>
        <w:pStyle w:val="Listenabsatz"/>
        <w:numPr>
          <w:ilvl w:val="0"/>
          <w:numId w:val="40"/>
        </w:numPr>
        <w:tabs>
          <w:tab w:val="left" w:pos="540"/>
        </w:tabs>
        <w:spacing w:line="360" w:lineRule="auto"/>
        <w:rPr>
          <w:rFonts w:ascii="KievitPro-Regular" w:hAnsi="KievitPro-Regular"/>
          <w:sz w:val="22"/>
          <w:lang w:val="fr-CH"/>
        </w:rPr>
      </w:pPr>
      <w:r w:rsidRPr="006213EC">
        <w:rPr>
          <w:rFonts w:ascii="KievitPro-Regular" w:hAnsi="KievitPro-Regular"/>
          <w:sz w:val="22"/>
          <w:lang w:val="fr-CH"/>
        </w:rPr>
        <w:t>des objectifs soient définis ;</w:t>
      </w:r>
    </w:p>
    <w:p w14:paraId="2E0B8DE9" w14:textId="77777777" w:rsidR="008A6A5E" w:rsidRPr="006213EC" w:rsidRDefault="008A6A5E" w:rsidP="00133D1B">
      <w:pPr>
        <w:pStyle w:val="Listenabsatz"/>
        <w:numPr>
          <w:ilvl w:val="0"/>
          <w:numId w:val="40"/>
        </w:numPr>
        <w:tabs>
          <w:tab w:val="left" w:pos="540"/>
        </w:tabs>
        <w:spacing w:line="360" w:lineRule="auto"/>
        <w:rPr>
          <w:rFonts w:ascii="KievitPro-Regular" w:hAnsi="KievitPro-Regular"/>
          <w:sz w:val="22"/>
          <w:lang w:val="fr-CH"/>
        </w:rPr>
      </w:pPr>
      <w:r w:rsidRPr="006213EC">
        <w:rPr>
          <w:rFonts w:ascii="KievitPro-Regular" w:hAnsi="KievitPro-Regular"/>
          <w:sz w:val="22"/>
          <w:lang w:val="fr-CH"/>
        </w:rPr>
        <w:t>les responsabilités soient clairement délimitées ;</w:t>
      </w:r>
    </w:p>
    <w:p w14:paraId="0C4FEDE7" w14:textId="77777777" w:rsidR="008A6A5E" w:rsidRPr="006213EC" w:rsidRDefault="008A6A5E" w:rsidP="00133D1B">
      <w:pPr>
        <w:pStyle w:val="Listenabsatz"/>
        <w:numPr>
          <w:ilvl w:val="0"/>
          <w:numId w:val="40"/>
        </w:numPr>
        <w:tabs>
          <w:tab w:val="left" w:pos="540"/>
        </w:tabs>
        <w:spacing w:line="360" w:lineRule="auto"/>
        <w:rPr>
          <w:rFonts w:ascii="KievitPro-Regular" w:hAnsi="KievitPro-Regular"/>
          <w:sz w:val="22"/>
          <w:lang w:val="fr-CH"/>
        </w:rPr>
      </w:pPr>
      <w:r w:rsidRPr="006213EC">
        <w:rPr>
          <w:rFonts w:ascii="KievitPro-Regular" w:hAnsi="KievitPro-Regular"/>
          <w:sz w:val="22"/>
          <w:lang w:val="fr-CH"/>
        </w:rPr>
        <w:t>le suivi interne des prestations en matière de révision soit assuré ;</w:t>
      </w:r>
    </w:p>
    <w:p w14:paraId="71666A9E" w14:textId="77777777" w:rsidR="008A6A5E" w:rsidRPr="006213EC" w:rsidRDefault="008A6A5E" w:rsidP="00133D1B">
      <w:pPr>
        <w:pStyle w:val="Listenabsatz"/>
        <w:numPr>
          <w:ilvl w:val="0"/>
          <w:numId w:val="40"/>
        </w:numPr>
        <w:tabs>
          <w:tab w:val="left" w:pos="540"/>
        </w:tabs>
        <w:spacing w:line="360" w:lineRule="auto"/>
        <w:rPr>
          <w:rFonts w:ascii="KievitPro-Regular" w:hAnsi="KievitPro-Regular"/>
          <w:sz w:val="22"/>
          <w:lang w:val="fr-CH"/>
        </w:rPr>
      </w:pPr>
      <w:r w:rsidRPr="006213EC">
        <w:rPr>
          <w:rFonts w:ascii="KievitPro-Regular" w:hAnsi="KievitPro-Regular"/>
          <w:sz w:val="22"/>
          <w:lang w:val="fr-CH"/>
        </w:rPr>
        <w:t>le respect des directives fasse l’objet d’un contrôle ;</w:t>
      </w:r>
    </w:p>
    <w:p w14:paraId="011515FB" w14:textId="77777777" w:rsidR="008A6A5E" w:rsidRPr="006213EC" w:rsidRDefault="008A6A5E" w:rsidP="00133D1B">
      <w:pPr>
        <w:pStyle w:val="Listenabsatz"/>
        <w:numPr>
          <w:ilvl w:val="0"/>
          <w:numId w:val="40"/>
        </w:numPr>
        <w:tabs>
          <w:tab w:val="left" w:pos="540"/>
        </w:tabs>
        <w:spacing w:line="360" w:lineRule="auto"/>
        <w:rPr>
          <w:rFonts w:ascii="KievitPro-Regular" w:hAnsi="KievitPro-Regular"/>
          <w:sz w:val="22"/>
          <w:lang w:val="fr-CH"/>
        </w:rPr>
      </w:pPr>
      <w:r w:rsidRPr="006213EC">
        <w:rPr>
          <w:rFonts w:ascii="KievitPro-Regular" w:hAnsi="KievitPro-Regular"/>
          <w:sz w:val="22"/>
          <w:lang w:val="fr-CH"/>
        </w:rPr>
        <w:t>la réalisation des objectifs fasse l’objet d’une surveillance ;</w:t>
      </w:r>
    </w:p>
    <w:p w14:paraId="20F8E4EC" w14:textId="77777777" w:rsidR="008A6A5E" w:rsidRPr="006213EC" w:rsidRDefault="008A6A5E" w:rsidP="00133D1B">
      <w:pPr>
        <w:pStyle w:val="Listenabsatz"/>
        <w:numPr>
          <w:ilvl w:val="0"/>
          <w:numId w:val="40"/>
        </w:numPr>
        <w:tabs>
          <w:tab w:val="left" w:pos="540"/>
        </w:tabs>
        <w:spacing w:line="360" w:lineRule="auto"/>
        <w:rPr>
          <w:rFonts w:ascii="KievitPro-Regular" w:hAnsi="KievitPro-Regular"/>
          <w:sz w:val="22"/>
          <w:lang w:val="fr-CH"/>
        </w:rPr>
      </w:pPr>
      <w:r w:rsidRPr="006213EC">
        <w:rPr>
          <w:rFonts w:ascii="KievitPro-Regular" w:hAnsi="KievitPro-Regular"/>
          <w:sz w:val="22"/>
          <w:lang w:val="fr-CH"/>
        </w:rPr>
        <w:t>les potentiels d’amélioration puissent être identifiés et mis en œuvre.</w:t>
      </w:r>
    </w:p>
    <w:p w14:paraId="0773080F" w14:textId="4943D9B2" w:rsidR="00133D1B" w:rsidRPr="006213EC" w:rsidRDefault="00133D1B">
      <w:pPr>
        <w:jc w:val="left"/>
        <w:rPr>
          <w:rFonts w:ascii="KievitPro-Regular" w:hAnsi="KievitPro-Regular"/>
          <w:sz w:val="22"/>
          <w:lang w:val="fr-CH"/>
        </w:rPr>
      </w:pPr>
      <w:r w:rsidRPr="006213EC">
        <w:rPr>
          <w:rFonts w:ascii="KievitPro-Regular" w:hAnsi="KievitPro-Regular"/>
          <w:sz w:val="22"/>
          <w:lang w:val="fr-CH"/>
        </w:rPr>
        <w:br w:type="page"/>
      </w:r>
    </w:p>
    <w:p w14:paraId="4B036924" w14:textId="77777777" w:rsidR="008A6A5E" w:rsidRPr="006213EC" w:rsidRDefault="008A6A5E" w:rsidP="00133D1B">
      <w:pPr>
        <w:tabs>
          <w:tab w:val="left" w:pos="540"/>
        </w:tabs>
        <w:spacing w:line="360" w:lineRule="auto"/>
        <w:rPr>
          <w:rFonts w:ascii="KievitPro-Regular" w:hAnsi="KievitPro-Regular"/>
          <w:sz w:val="22"/>
          <w:lang w:val="fr-CH"/>
        </w:rPr>
      </w:pPr>
    </w:p>
    <w:p w14:paraId="6308C9A7" w14:textId="77777777" w:rsidR="008A6A5E" w:rsidRPr="006213EC" w:rsidRDefault="008A6A5E" w:rsidP="008A6A5E">
      <w:pPr>
        <w:tabs>
          <w:tab w:val="left" w:pos="540"/>
        </w:tabs>
        <w:spacing w:line="360" w:lineRule="auto"/>
        <w:rPr>
          <w:rFonts w:ascii="KievitPro-Regular" w:hAnsi="KievitPro-Regular"/>
          <w:sz w:val="22"/>
          <w:lang w:val="fr-CH"/>
        </w:rPr>
      </w:pPr>
      <w:r w:rsidRPr="006213EC">
        <w:rPr>
          <w:rFonts w:ascii="KievitPro-Regular" w:hAnsi="KievitPro-Regular"/>
          <w:sz w:val="22"/>
          <w:lang w:val="fr-CH"/>
        </w:rPr>
        <w:t>Ces exigences sont considérées comme remplies lorsque :</w:t>
      </w:r>
    </w:p>
    <w:p w14:paraId="632CF594" w14:textId="77777777" w:rsidR="008A6A5E" w:rsidRPr="006213EC" w:rsidRDefault="008A6A5E" w:rsidP="008A6A5E">
      <w:pPr>
        <w:tabs>
          <w:tab w:val="left" w:pos="540"/>
        </w:tabs>
        <w:spacing w:line="360" w:lineRule="auto"/>
        <w:rPr>
          <w:rFonts w:ascii="KievitPro-Regular" w:hAnsi="KievitPro-Regular" w:cs="Arial"/>
          <w:sz w:val="22"/>
          <w:szCs w:val="22"/>
          <w:lang w:val="fr-CH"/>
        </w:rPr>
      </w:pPr>
    </w:p>
    <w:p w14:paraId="4ED6121F" w14:textId="77777777" w:rsidR="008A6A5E" w:rsidRPr="006213EC" w:rsidRDefault="008A6A5E" w:rsidP="008A6A5E">
      <w:pPr>
        <w:numPr>
          <w:ilvl w:val="0"/>
          <w:numId w:val="22"/>
        </w:numPr>
        <w:spacing w:line="360" w:lineRule="auto"/>
        <w:ind w:left="714" w:hanging="357"/>
        <w:rPr>
          <w:rFonts w:ascii="KievitPro-Regular" w:hAnsi="KievitPro-Regular" w:cs="Arial"/>
          <w:sz w:val="22"/>
          <w:szCs w:val="22"/>
          <w:lang w:val="fr-CH"/>
        </w:rPr>
      </w:pPr>
      <w:r w:rsidRPr="006213EC">
        <w:rPr>
          <w:rFonts w:ascii="KievitPro-Regular" w:hAnsi="KievitPro-Regular"/>
          <w:sz w:val="22"/>
          <w:lang w:val="fr-CH"/>
        </w:rPr>
        <w:t>les processus nécessaires pour fournir les prestations en matière de révision sont définis et décrits ;</w:t>
      </w:r>
    </w:p>
    <w:p w14:paraId="0582038F" w14:textId="77777777" w:rsidR="008A6A5E" w:rsidRPr="006213EC" w:rsidRDefault="008A6A5E" w:rsidP="008A6A5E">
      <w:pPr>
        <w:numPr>
          <w:ilvl w:val="0"/>
          <w:numId w:val="22"/>
        </w:numPr>
        <w:spacing w:before="120" w:line="360" w:lineRule="auto"/>
        <w:ind w:left="714" w:hanging="357"/>
        <w:jc w:val="left"/>
        <w:rPr>
          <w:rFonts w:ascii="KievitPro-Regular" w:hAnsi="KievitPro-Regular" w:cs="Arial"/>
          <w:sz w:val="22"/>
          <w:szCs w:val="22"/>
          <w:lang w:val="fr-CH"/>
        </w:rPr>
      </w:pPr>
      <w:r w:rsidRPr="006213EC">
        <w:rPr>
          <w:rFonts w:ascii="KievitPro-Regular" w:hAnsi="KievitPro-Regular"/>
          <w:sz w:val="22"/>
          <w:lang w:val="fr-CH"/>
        </w:rPr>
        <w:t>les responsabilités sont connues et les responsables sont désignés ;</w:t>
      </w:r>
    </w:p>
    <w:p w14:paraId="67CF45AF" w14:textId="77777777" w:rsidR="008A6A5E" w:rsidRPr="006213EC" w:rsidRDefault="008A6A5E" w:rsidP="008A6A5E">
      <w:pPr>
        <w:numPr>
          <w:ilvl w:val="0"/>
          <w:numId w:val="22"/>
        </w:numPr>
        <w:spacing w:before="120" w:line="360" w:lineRule="auto"/>
        <w:ind w:left="714" w:hanging="357"/>
        <w:rPr>
          <w:rFonts w:ascii="KievitPro-Regular" w:hAnsi="KievitPro-Regular"/>
          <w:sz w:val="22"/>
          <w:lang w:val="fr-CH"/>
        </w:rPr>
      </w:pPr>
      <w:r w:rsidRPr="006213EC">
        <w:rPr>
          <w:rFonts w:ascii="KievitPro-Regular" w:hAnsi="KievitPro-Regular"/>
          <w:sz w:val="22"/>
          <w:lang w:val="fr-CH"/>
        </w:rPr>
        <w:t>l’engagement des collaborateurs fait l’objet d’une planification ;</w:t>
      </w:r>
    </w:p>
    <w:p w14:paraId="15B14862" w14:textId="77777777" w:rsidR="008A6A5E" w:rsidRPr="006213EC" w:rsidRDefault="008A6A5E" w:rsidP="008A6A5E">
      <w:pPr>
        <w:numPr>
          <w:ilvl w:val="0"/>
          <w:numId w:val="22"/>
        </w:numPr>
        <w:spacing w:before="120" w:line="360" w:lineRule="auto"/>
        <w:ind w:left="714" w:hanging="357"/>
        <w:rPr>
          <w:rFonts w:ascii="KievitPro-Regular" w:hAnsi="KievitPro-Regular" w:cs="Arial"/>
          <w:sz w:val="22"/>
          <w:szCs w:val="22"/>
          <w:lang w:val="fr-CH"/>
        </w:rPr>
      </w:pPr>
      <w:r w:rsidRPr="006213EC">
        <w:rPr>
          <w:rFonts w:ascii="KievitPro-Regular" w:hAnsi="KievitPro-Regular"/>
          <w:sz w:val="22"/>
          <w:lang w:val="fr-CH"/>
        </w:rPr>
        <w:t>les travaux d’audit sont supervisés de façon appropriée et les résultats sont évalués et analysés.</w:t>
      </w:r>
    </w:p>
    <w:p w14:paraId="4D328A1A" w14:textId="5E007720" w:rsidR="008A6A5E" w:rsidRPr="006213EC" w:rsidRDefault="008A6A5E" w:rsidP="008A6A5E">
      <w:pPr>
        <w:tabs>
          <w:tab w:val="left" w:pos="540"/>
        </w:tabs>
        <w:spacing w:line="360" w:lineRule="auto"/>
        <w:rPr>
          <w:rFonts w:ascii="KievitPro-Regular" w:hAnsi="KievitPro-Regular" w:cs="Arial"/>
          <w:sz w:val="22"/>
          <w:szCs w:val="22"/>
          <w:lang w:val="fr-CH"/>
        </w:rPr>
      </w:pPr>
    </w:p>
    <w:p w14:paraId="52E6E15D" w14:textId="0FD51D74" w:rsidR="002568E8" w:rsidRPr="006213EC" w:rsidRDefault="002568E8" w:rsidP="008A6A5E">
      <w:pPr>
        <w:tabs>
          <w:tab w:val="left" w:pos="540"/>
        </w:tabs>
        <w:spacing w:line="360" w:lineRule="auto"/>
        <w:rPr>
          <w:rFonts w:ascii="KievitPro-Regular" w:hAnsi="KievitPro-Regular" w:cs="Arial"/>
          <w:sz w:val="22"/>
          <w:szCs w:val="22"/>
          <w:lang w:val="fr-CH"/>
        </w:rPr>
      </w:pPr>
      <w:r w:rsidRPr="006213EC">
        <w:rPr>
          <w:rFonts w:ascii="KievitPro-Regular" w:hAnsi="KievitPro-Regular" w:cs="Arial"/>
          <w:sz w:val="22"/>
          <w:szCs w:val="22"/>
          <w:lang w:val="fr-CH"/>
        </w:rPr>
        <w:t xml:space="preserve">Les décisions relatives aux règles à appliquer et aux mesures à adopter dans chaque cas sont du ressort exclusif et de la responsabilité de la direction de l’entreprise de révision. Elles doivent être prise dans l’optique des objectifs poursuivis par le système d’assurance-qualité. à savoir la fourniture régularisée de prestations en matières de révision. </w:t>
      </w:r>
    </w:p>
    <w:p w14:paraId="7DD7AC40" w14:textId="77777777" w:rsidR="002568E8" w:rsidRPr="006213EC" w:rsidRDefault="002568E8" w:rsidP="008A6A5E">
      <w:pPr>
        <w:tabs>
          <w:tab w:val="left" w:pos="540"/>
        </w:tabs>
        <w:spacing w:line="360" w:lineRule="auto"/>
        <w:rPr>
          <w:rFonts w:ascii="KievitPro-Regular" w:hAnsi="KievitPro-Regular" w:cs="Arial"/>
          <w:sz w:val="22"/>
          <w:szCs w:val="22"/>
          <w:lang w:val="fr-CH"/>
        </w:rPr>
      </w:pPr>
    </w:p>
    <w:p w14:paraId="3B6D805B" w14:textId="46755714" w:rsidR="008A6A5E" w:rsidRPr="006213EC" w:rsidRDefault="008A6A5E" w:rsidP="00133D1B">
      <w:pPr>
        <w:pStyle w:val="Listenabsatz"/>
        <w:spacing w:before="120" w:line="360" w:lineRule="auto"/>
        <w:ind w:left="432"/>
        <w:jc w:val="left"/>
        <w:rPr>
          <w:rFonts w:ascii="KievitPro-Regular" w:hAnsi="KievitPro-Regular" w:cs="Arial"/>
          <w:b/>
          <w:smallCaps/>
          <w:snapToGrid/>
          <w:spacing w:val="5"/>
          <w:sz w:val="28"/>
          <w:szCs w:val="36"/>
          <w:lang w:val="fr-CH" w:eastAsia="en-US"/>
        </w:rPr>
      </w:pPr>
      <w:r w:rsidRPr="006213EC">
        <w:rPr>
          <w:rFonts w:ascii="KievitPro-Regular" w:hAnsi="KievitPro-Regular"/>
          <w:sz w:val="22"/>
          <w:lang w:val="fr-CH"/>
        </w:rPr>
        <w:br w:type="page"/>
      </w:r>
    </w:p>
    <w:p w14:paraId="72E1F63A" w14:textId="165CAE83" w:rsidR="008A6A5E" w:rsidRPr="006213EC" w:rsidRDefault="002568E8" w:rsidP="005E495B">
      <w:pPr>
        <w:pStyle w:val="berschrift1"/>
        <w:keepNext w:val="0"/>
        <w:numPr>
          <w:ilvl w:val="1"/>
          <w:numId w:val="39"/>
        </w:numPr>
        <w:spacing w:before="480" w:after="240" w:line="276" w:lineRule="auto"/>
        <w:contextualSpacing/>
        <w:jc w:val="left"/>
        <w:rPr>
          <w:rFonts w:ascii="KievitPro-Regular" w:hAnsi="KievitPro-Regular" w:cs="Arial"/>
          <w:smallCaps/>
          <w:snapToGrid/>
          <w:spacing w:val="5"/>
          <w:kern w:val="0"/>
          <w:sz w:val="22"/>
          <w:szCs w:val="22"/>
          <w:lang w:val="fr-CH" w:eastAsia="en-US"/>
        </w:rPr>
      </w:pPr>
      <w:bookmarkStart w:id="10" w:name="_Toc157695877"/>
      <w:r w:rsidRPr="006213EC">
        <w:rPr>
          <w:rFonts w:ascii="KievitPro-Regular" w:hAnsi="KievitPro-Regular" w:cs="Arial"/>
          <w:smallCaps/>
          <w:snapToGrid/>
          <w:spacing w:val="5"/>
          <w:kern w:val="0"/>
          <w:sz w:val="22"/>
          <w:szCs w:val="22"/>
          <w:lang w:val="fr-CH" w:eastAsia="en-US"/>
        </w:rPr>
        <w:lastRenderedPageBreak/>
        <w:t>DOCUMENTATION DU SYSTÈME D’ASSURANCE-QUALITÉ</w:t>
      </w:r>
      <w:bookmarkEnd w:id="10"/>
    </w:p>
    <w:p w14:paraId="61B000BC" w14:textId="77777777" w:rsidR="008A6A5E" w:rsidRPr="006213EC" w:rsidRDefault="008A6A5E" w:rsidP="008A6A5E">
      <w:pPr>
        <w:spacing w:before="120" w:line="360" w:lineRule="auto"/>
        <w:rPr>
          <w:rFonts w:ascii="KievitPro-Regular" w:hAnsi="KievitPro-Regular" w:cs="Arial"/>
          <w:sz w:val="22"/>
          <w:szCs w:val="22"/>
          <w:lang w:val="fr-CH"/>
        </w:rPr>
      </w:pPr>
      <w:r w:rsidRPr="006213EC">
        <w:rPr>
          <w:rFonts w:ascii="KievitPro-Regular" w:hAnsi="KievitPro-Regular" w:cs="Arial"/>
          <w:sz w:val="22"/>
          <w:szCs w:val="22"/>
          <w:lang w:val="fr-CH"/>
        </w:rPr>
        <w:t>Indépendamment de la documentation sur les travaux d’audit à proprement parler, les dossiers de travail doivent aussi inclure une documentation sur le système d’assurance-qualité en tant que tel.</w:t>
      </w:r>
    </w:p>
    <w:p w14:paraId="38191B44" w14:textId="77777777" w:rsidR="008A6A5E" w:rsidRPr="006213EC" w:rsidRDefault="008A6A5E" w:rsidP="008A6A5E">
      <w:pPr>
        <w:spacing w:before="120" w:line="360" w:lineRule="auto"/>
        <w:rPr>
          <w:rFonts w:ascii="KievitPro-Regular" w:hAnsi="KievitPro-Regular" w:cs="Arial"/>
          <w:sz w:val="22"/>
          <w:szCs w:val="22"/>
          <w:lang w:val="fr-CH"/>
        </w:rPr>
      </w:pPr>
    </w:p>
    <w:p w14:paraId="3637D9EB" w14:textId="77777777" w:rsidR="008A6A5E" w:rsidRPr="006213EC" w:rsidRDefault="008A6A5E" w:rsidP="008A6A5E">
      <w:pPr>
        <w:spacing w:before="120" w:line="360" w:lineRule="auto"/>
        <w:rPr>
          <w:rFonts w:ascii="KievitPro-Regular" w:hAnsi="KievitPro-Regular" w:cs="Arial"/>
          <w:sz w:val="22"/>
          <w:szCs w:val="22"/>
          <w:lang w:val="fr-CH"/>
        </w:rPr>
      </w:pPr>
      <w:r w:rsidRPr="006213EC">
        <w:rPr>
          <w:rFonts w:ascii="KievitPro-Regular" w:hAnsi="KievitPro-Regular" w:cs="Arial"/>
          <w:sz w:val="22"/>
          <w:szCs w:val="22"/>
          <w:lang w:val="fr-CH"/>
        </w:rPr>
        <w:t>Il est impératif d’établir une documentation afin qu’il soit possible :</w:t>
      </w:r>
    </w:p>
    <w:p w14:paraId="17AFDA86" w14:textId="77777777" w:rsidR="008A6A5E" w:rsidRPr="006213EC" w:rsidRDefault="008A6A5E" w:rsidP="008A6A5E">
      <w:pPr>
        <w:numPr>
          <w:ilvl w:val="0"/>
          <w:numId w:val="24"/>
        </w:numPr>
        <w:tabs>
          <w:tab w:val="clear" w:pos="1068"/>
          <w:tab w:val="left" w:pos="900"/>
        </w:tabs>
        <w:spacing w:before="120" w:line="360" w:lineRule="auto"/>
        <w:ind w:left="900" w:hanging="192"/>
        <w:rPr>
          <w:rFonts w:ascii="KievitPro-Regular" w:hAnsi="KievitPro-Regular" w:cs="Arial"/>
          <w:sz w:val="22"/>
          <w:szCs w:val="22"/>
          <w:lang w:val="fr-CH"/>
        </w:rPr>
      </w:pPr>
      <w:r w:rsidRPr="006213EC">
        <w:rPr>
          <w:rFonts w:ascii="KievitPro-Regular" w:hAnsi="KievitPro-Regular" w:cs="Arial"/>
          <w:sz w:val="22"/>
          <w:szCs w:val="22"/>
          <w:lang w:val="fr-CH"/>
        </w:rPr>
        <w:t>de démontrer la conformité à la loi ;</w:t>
      </w:r>
    </w:p>
    <w:p w14:paraId="505F0B77" w14:textId="77777777" w:rsidR="008A6A5E" w:rsidRPr="006213EC" w:rsidRDefault="008A6A5E" w:rsidP="008A6A5E">
      <w:pPr>
        <w:numPr>
          <w:ilvl w:val="0"/>
          <w:numId w:val="24"/>
        </w:numPr>
        <w:tabs>
          <w:tab w:val="clear" w:pos="1068"/>
          <w:tab w:val="left" w:pos="900"/>
        </w:tabs>
        <w:spacing w:before="120" w:line="360" w:lineRule="auto"/>
        <w:ind w:left="900" w:hanging="192"/>
        <w:rPr>
          <w:rFonts w:ascii="KievitPro-Regular" w:hAnsi="KievitPro-Regular" w:cs="Arial"/>
          <w:sz w:val="22"/>
          <w:szCs w:val="22"/>
          <w:lang w:val="fr-CH"/>
        </w:rPr>
      </w:pPr>
      <w:r w:rsidRPr="006213EC">
        <w:rPr>
          <w:rFonts w:ascii="KievitPro-Regular" w:hAnsi="KievitPro-Regular" w:cs="Arial"/>
          <w:sz w:val="22"/>
          <w:szCs w:val="22"/>
          <w:lang w:val="fr-CH"/>
        </w:rPr>
        <w:t>d’appliquer des mesures d’assurance-qualité systématiques et non personnalisées ;</w:t>
      </w:r>
    </w:p>
    <w:p w14:paraId="6947A454" w14:textId="77777777" w:rsidR="008A6A5E" w:rsidRPr="006213EC" w:rsidRDefault="008A6A5E" w:rsidP="008A6A5E">
      <w:pPr>
        <w:numPr>
          <w:ilvl w:val="0"/>
          <w:numId w:val="24"/>
        </w:numPr>
        <w:tabs>
          <w:tab w:val="clear" w:pos="1068"/>
          <w:tab w:val="left" w:pos="900"/>
        </w:tabs>
        <w:spacing w:before="120" w:line="360" w:lineRule="auto"/>
        <w:ind w:left="900" w:hanging="192"/>
        <w:rPr>
          <w:rFonts w:ascii="KievitPro-Regular" w:hAnsi="KievitPro-Regular" w:cs="Arial"/>
          <w:sz w:val="22"/>
          <w:szCs w:val="22"/>
          <w:lang w:val="fr-CH"/>
        </w:rPr>
      </w:pPr>
      <w:r w:rsidRPr="006213EC">
        <w:rPr>
          <w:rFonts w:ascii="KievitPro-Regular" w:hAnsi="KievitPro-Regular" w:cs="Arial"/>
          <w:sz w:val="22"/>
          <w:szCs w:val="22"/>
          <w:lang w:val="fr-CH"/>
        </w:rPr>
        <w:t>de retracer les règles adoptées.</w:t>
      </w:r>
    </w:p>
    <w:p w14:paraId="7C780B05" w14:textId="77777777" w:rsidR="008A6A5E" w:rsidRPr="006213EC" w:rsidRDefault="008A6A5E" w:rsidP="008A6A5E">
      <w:pPr>
        <w:spacing w:before="120" w:line="360" w:lineRule="auto"/>
        <w:rPr>
          <w:rFonts w:ascii="KievitPro-Regular" w:hAnsi="KievitPro-Regular" w:cs="Arial"/>
          <w:sz w:val="22"/>
          <w:szCs w:val="22"/>
          <w:lang w:val="fr-CH"/>
        </w:rPr>
      </w:pPr>
    </w:p>
    <w:p w14:paraId="244BBD39" w14:textId="77777777" w:rsidR="008A6A5E" w:rsidRPr="006213EC" w:rsidRDefault="008A6A5E" w:rsidP="008A6A5E">
      <w:pPr>
        <w:spacing w:before="120" w:line="360" w:lineRule="auto"/>
        <w:rPr>
          <w:rFonts w:ascii="KievitPro-Regular" w:hAnsi="KievitPro-Regular" w:cs="Arial"/>
          <w:sz w:val="22"/>
          <w:szCs w:val="22"/>
          <w:lang w:val="fr-CH"/>
        </w:rPr>
      </w:pPr>
      <w:r w:rsidRPr="006213EC">
        <w:rPr>
          <w:rFonts w:ascii="KievitPro-Regular" w:hAnsi="KievitPro-Regular"/>
          <w:sz w:val="22"/>
          <w:szCs w:val="22"/>
          <w:lang w:val="fr-CH"/>
        </w:rPr>
        <w:t>La nature et l’étendue de la documentation sont une question d’appréciation et dépendent de la taille de l’entreprise de révision et de la complexité des mandats d’audit.</w:t>
      </w:r>
    </w:p>
    <w:p w14:paraId="08A6F7AC" w14:textId="77777777" w:rsidR="008A6A5E" w:rsidRPr="006213EC" w:rsidRDefault="008A6A5E" w:rsidP="008A6A5E">
      <w:pPr>
        <w:spacing w:before="120" w:line="360" w:lineRule="auto"/>
        <w:rPr>
          <w:rFonts w:ascii="KievitPro-Regular" w:hAnsi="KievitPro-Regular" w:cs="Arial"/>
          <w:sz w:val="22"/>
          <w:szCs w:val="22"/>
          <w:lang w:val="fr-CH"/>
        </w:rPr>
      </w:pPr>
      <w:r w:rsidRPr="006213EC">
        <w:rPr>
          <w:rFonts w:ascii="KievitPro-Regular" w:hAnsi="KievitPro-Regular"/>
          <w:sz w:val="22"/>
          <w:szCs w:val="22"/>
          <w:lang w:val="fr-CH"/>
        </w:rPr>
        <w:t>Les notes de révision doivent être archivées correctement, assorties de la documentation sur leur supervision et revue. L’archivage systématique des évaluations des collaborateurs et les justificatifs du respect des obligations professionnelles en matière de formation continue devraient également faire partie de la documentation.</w:t>
      </w:r>
    </w:p>
    <w:p w14:paraId="0521C3BA" w14:textId="77777777" w:rsidR="008A6A5E" w:rsidRPr="006213EC" w:rsidRDefault="008A6A5E" w:rsidP="008A6A5E">
      <w:pPr>
        <w:spacing w:before="120" w:line="360" w:lineRule="auto"/>
        <w:rPr>
          <w:rFonts w:ascii="KievitPro-Regular" w:hAnsi="KievitPro-Regular"/>
          <w:sz w:val="22"/>
          <w:szCs w:val="22"/>
          <w:lang w:val="fr-CH"/>
        </w:rPr>
      </w:pPr>
      <w:r w:rsidRPr="006213EC">
        <w:rPr>
          <w:rFonts w:ascii="KievitPro-Regular" w:hAnsi="KievitPro-Regular"/>
          <w:sz w:val="22"/>
          <w:szCs w:val="22"/>
          <w:lang w:val="fr-CH"/>
        </w:rPr>
        <w:t>La documentation sur le système d’assurance-qualité peut renvoyer aux directives des associations professionnelles, rendant superflue la constitution d’une documentation supplémentaire dans les domaines concernés.</w:t>
      </w:r>
    </w:p>
    <w:p w14:paraId="7B5E6420" w14:textId="77777777" w:rsidR="008A6A5E" w:rsidRPr="006213EC" w:rsidRDefault="008A6A5E" w:rsidP="008A6A5E">
      <w:pPr>
        <w:spacing w:before="120" w:line="360" w:lineRule="auto"/>
        <w:rPr>
          <w:rFonts w:ascii="KievitPro-Regular" w:hAnsi="KievitPro-Regular" w:cs="Arial"/>
          <w:sz w:val="22"/>
          <w:szCs w:val="22"/>
          <w:lang w:val="fr-CH"/>
        </w:rPr>
      </w:pPr>
      <w:r w:rsidRPr="006213EC">
        <w:rPr>
          <w:rFonts w:ascii="KievitPro-Regular" w:hAnsi="KievitPro-Regular"/>
          <w:sz w:val="22"/>
          <w:szCs w:val="22"/>
          <w:lang w:val="fr-CH"/>
        </w:rPr>
        <w:t>En outre, des règles et des mesures ont été définies, qui régissent le délai de conservation de la documentation et exigent la documentation des recours et plaintes, ainsi que de la réaction à ceux-ci.</w:t>
      </w:r>
    </w:p>
    <w:p w14:paraId="6F340A3F" w14:textId="6A418676" w:rsidR="008A6A5E" w:rsidRPr="006213EC" w:rsidRDefault="008A6A5E" w:rsidP="008A6A5E">
      <w:pPr>
        <w:spacing w:before="120" w:line="360" w:lineRule="auto"/>
        <w:rPr>
          <w:rFonts w:ascii="KievitPro-Regular" w:hAnsi="KievitPro-Regular"/>
          <w:sz w:val="22"/>
          <w:szCs w:val="22"/>
          <w:lang w:val="fr-CH"/>
        </w:rPr>
      </w:pPr>
      <w:r w:rsidRPr="006213EC">
        <w:rPr>
          <w:rFonts w:ascii="KievitPro-Regular" w:hAnsi="KievitPro-Regular"/>
          <w:sz w:val="22"/>
          <w:szCs w:val="22"/>
          <w:lang w:val="fr-CH"/>
        </w:rPr>
        <w:t>Les documents nécessaires doivent être conservés pendant une période suffisante pour prouver le bon fonctionnement du système d’assurance-qualité.</w:t>
      </w:r>
    </w:p>
    <w:p w14:paraId="6ED0537A" w14:textId="77777777" w:rsidR="008A6A5E" w:rsidRPr="006213EC" w:rsidRDefault="008A6A5E">
      <w:pPr>
        <w:jc w:val="left"/>
        <w:rPr>
          <w:sz w:val="22"/>
          <w:lang w:val="fr-CH"/>
        </w:rPr>
      </w:pPr>
      <w:r w:rsidRPr="006213EC">
        <w:rPr>
          <w:sz w:val="22"/>
          <w:lang w:val="fr-CH"/>
        </w:rPr>
        <w:br w:type="page"/>
      </w:r>
    </w:p>
    <w:p w14:paraId="6FE93264" w14:textId="3745B395" w:rsidR="008A6A5E" w:rsidRPr="006213EC" w:rsidRDefault="00D53C30" w:rsidP="005E495B">
      <w:pPr>
        <w:pStyle w:val="berschrift1"/>
        <w:keepNext w:val="0"/>
        <w:numPr>
          <w:ilvl w:val="0"/>
          <w:numId w:val="39"/>
        </w:numPr>
        <w:tabs>
          <w:tab w:val="num" w:pos="207"/>
        </w:tabs>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11" w:name="_Toc157695878"/>
      <w:bookmarkStart w:id="12" w:name="_Toc183404005"/>
      <w:bookmarkStart w:id="13" w:name="_Toc142481506"/>
      <w:r w:rsidRPr="006213EC">
        <w:rPr>
          <w:rFonts w:ascii="KievitPro-Regular" w:hAnsi="KievitPro-Regular" w:cs="Arial"/>
          <w:smallCaps/>
          <w:snapToGrid/>
          <w:spacing w:val="5"/>
          <w:kern w:val="0"/>
          <w:sz w:val="28"/>
          <w:szCs w:val="36"/>
          <w:lang w:val="fr-CH" w:eastAsia="en-US"/>
        </w:rPr>
        <w:lastRenderedPageBreak/>
        <w:t>ÉLÉMENTS D’UN SYSTÈME D’ASSURANCE QUALITÉ</w:t>
      </w:r>
      <w:bookmarkEnd w:id="11"/>
      <w:r w:rsidRPr="006213EC">
        <w:rPr>
          <w:rFonts w:ascii="KievitPro-Regular" w:hAnsi="KievitPro-Regular" w:cs="Arial"/>
          <w:smallCaps/>
          <w:snapToGrid/>
          <w:spacing w:val="5"/>
          <w:kern w:val="0"/>
          <w:sz w:val="28"/>
          <w:szCs w:val="36"/>
          <w:lang w:val="fr-CH" w:eastAsia="en-US"/>
        </w:rPr>
        <w:t xml:space="preserve"> </w:t>
      </w:r>
      <w:bookmarkEnd w:id="12"/>
      <w:bookmarkEnd w:id="13"/>
    </w:p>
    <w:p w14:paraId="719382B4" w14:textId="77777777" w:rsidR="008A6A5E" w:rsidRPr="006213EC" w:rsidRDefault="008A6A5E" w:rsidP="008A6A5E">
      <w:pPr>
        <w:spacing w:line="360" w:lineRule="auto"/>
        <w:rPr>
          <w:rFonts w:ascii="KievitPro-Regular" w:hAnsi="KievitPro-Regular" w:cs="Arial"/>
          <w:sz w:val="22"/>
          <w:szCs w:val="22"/>
          <w:lang w:val="fr-CH"/>
        </w:rPr>
      </w:pPr>
      <w:r w:rsidRPr="006213EC">
        <w:rPr>
          <w:rFonts w:ascii="KievitPro-Regular" w:hAnsi="KievitPro-Regular"/>
          <w:sz w:val="22"/>
          <w:lang w:val="fr-CH"/>
        </w:rPr>
        <w:t>Le système d’assurance-qualité d’une entreprise de révision est un ensemble de règles et de mesures concernant essentiellement les domaines suivants :</w:t>
      </w:r>
    </w:p>
    <w:p w14:paraId="430A1ED7" w14:textId="77777777" w:rsidR="008A6A5E" w:rsidRPr="006213EC" w:rsidRDefault="008A6A5E" w:rsidP="008A6A5E">
      <w:pPr>
        <w:spacing w:line="360" w:lineRule="auto"/>
        <w:rPr>
          <w:rFonts w:ascii="KievitPro-Regular" w:hAnsi="KievitPro-Regular" w:cs="Arial"/>
          <w:sz w:val="22"/>
          <w:szCs w:val="22"/>
          <w:lang w:val="fr-CH"/>
        </w:rPr>
      </w:pPr>
    </w:p>
    <w:p w14:paraId="764DE3DC" w14:textId="77777777" w:rsidR="008A6A5E" w:rsidRPr="006213EC" w:rsidRDefault="008A6A5E" w:rsidP="008A6A5E">
      <w:pPr>
        <w:numPr>
          <w:ilvl w:val="0"/>
          <w:numId w:val="25"/>
        </w:numPr>
        <w:spacing w:line="360" w:lineRule="auto"/>
        <w:rPr>
          <w:rFonts w:ascii="KievitPro-Regular" w:hAnsi="KievitPro-Regular" w:cs="Arial"/>
          <w:sz w:val="22"/>
          <w:szCs w:val="22"/>
          <w:lang w:val="fr-CH"/>
        </w:rPr>
      </w:pPr>
      <w:r w:rsidRPr="006213EC">
        <w:rPr>
          <w:rFonts w:ascii="KievitPro-Regular" w:hAnsi="KievitPro-Regular"/>
          <w:b/>
          <w:bCs/>
          <w:sz w:val="22"/>
          <w:lang w:val="fr-CH"/>
        </w:rPr>
        <w:t>L’o</w:t>
      </w:r>
      <w:r w:rsidRPr="006213EC">
        <w:rPr>
          <w:rFonts w:ascii="KievitPro-Regular" w:hAnsi="KievitPro-Regular"/>
          <w:b/>
          <w:sz w:val="22"/>
          <w:lang w:val="fr-CH"/>
        </w:rPr>
        <w:t>rganisation générale de l’entreprise de révision </w:t>
      </w:r>
      <w:r w:rsidRPr="006213EC">
        <w:rPr>
          <w:rFonts w:ascii="KievitPro-Regular" w:hAnsi="KievitPro-Regular"/>
          <w:sz w:val="22"/>
          <w:lang w:val="fr-CH"/>
        </w:rPr>
        <w:t>implique la mise en place de réglementations permettant de s’assurer que les prestations en matière de révision font l’objet d’une supervision appropriée, que les compétences professionnelles requises sont disponibles et que l’indépendance est garantie (exemples : organisation des équipes d’audit, réglementation de la formation continue, processus de décision lors de l’acceptation et du renouvellement des mandats, consultations, respect des directives sur l’indépendance et des règles d’éthique professionnelle).</w:t>
      </w:r>
    </w:p>
    <w:p w14:paraId="252B733F" w14:textId="77777777" w:rsidR="008A6A5E" w:rsidRPr="006213EC" w:rsidRDefault="008A6A5E" w:rsidP="008A6A5E">
      <w:pPr>
        <w:spacing w:line="360" w:lineRule="auto"/>
        <w:ind w:left="360"/>
        <w:rPr>
          <w:rFonts w:ascii="KievitPro-Regular" w:hAnsi="KievitPro-Regular" w:cs="Arial"/>
          <w:sz w:val="22"/>
          <w:szCs w:val="22"/>
          <w:lang w:val="fr-CH"/>
        </w:rPr>
      </w:pPr>
    </w:p>
    <w:p w14:paraId="0EF10956" w14:textId="77777777" w:rsidR="008A6A5E" w:rsidRPr="006213EC" w:rsidRDefault="008A6A5E" w:rsidP="008A6A5E">
      <w:pPr>
        <w:numPr>
          <w:ilvl w:val="0"/>
          <w:numId w:val="25"/>
        </w:numPr>
        <w:spacing w:line="360" w:lineRule="auto"/>
        <w:rPr>
          <w:rFonts w:ascii="KievitPro-Regular" w:hAnsi="KievitPro-Regular" w:cs="Arial"/>
          <w:sz w:val="22"/>
          <w:szCs w:val="22"/>
          <w:lang w:val="fr-CH"/>
        </w:rPr>
      </w:pPr>
      <w:r w:rsidRPr="006213EC">
        <w:rPr>
          <w:rFonts w:ascii="KievitPro-Regular" w:hAnsi="KievitPro-Regular"/>
          <w:sz w:val="22"/>
          <w:lang w:val="fr-CH"/>
        </w:rPr>
        <w:t xml:space="preserve">Pour </w:t>
      </w:r>
      <w:r w:rsidRPr="006213EC">
        <w:rPr>
          <w:rFonts w:ascii="KievitPro-Regular" w:hAnsi="KievitPro-Regular"/>
          <w:b/>
          <w:bCs/>
          <w:sz w:val="22"/>
          <w:lang w:val="fr-CH"/>
        </w:rPr>
        <w:t>l’e</w:t>
      </w:r>
      <w:r w:rsidRPr="006213EC">
        <w:rPr>
          <w:rFonts w:ascii="KievitPro-Regular" w:hAnsi="KievitPro-Regular"/>
          <w:b/>
          <w:sz w:val="22"/>
          <w:lang w:val="fr-CH"/>
        </w:rPr>
        <w:t>xécution des mandats</w:t>
      </w:r>
      <w:r w:rsidRPr="006213EC">
        <w:rPr>
          <w:rFonts w:ascii="KievitPro-Regular" w:hAnsi="KievitPro-Regular"/>
          <w:sz w:val="22"/>
          <w:lang w:val="fr-CH"/>
        </w:rPr>
        <w:t>, il convient de veiller à ce que les prestations de services soient fournies dans le respect des réglementations professionnelles. Cela comprend notamment la planification de la révision et la revue des notes de révision par le responsable de mandat. Si le client présente un risque accru, il peut être judicieux de soumettre les notes de révision à une revue par un second réviseur au sein de l’entreprise de révision. Les notes de révision doivent être structurées de façon à permettre une appréciation globale de l’audit exécuté, y compris des constats et déclarations d’audit établis. Cela signifie que l’entreprise de révision doit définir des standards internes harmonisés pour l’exécution et la documentation des audits, ce afin de garantir une structure uniforme et non personnalisée des procédures d’audit.</w:t>
      </w:r>
    </w:p>
    <w:p w14:paraId="4FFFECBA" w14:textId="77777777" w:rsidR="008A6A5E" w:rsidRPr="006213EC" w:rsidRDefault="008A6A5E" w:rsidP="008A6A5E">
      <w:pPr>
        <w:spacing w:line="360" w:lineRule="auto"/>
        <w:rPr>
          <w:rFonts w:ascii="KievitPro-Regular" w:hAnsi="KievitPro-Regular" w:cs="Arial"/>
          <w:sz w:val="22"/>
          <w:szCs w:val="22"/>
          <w:lang w:val="fr-CH"/>
        </w:rPr>
      </w:pPr>
    </w:p>
    <w:p w14:paraId="28297629" w14:textId="77777777" w:rsidR="008A6A5E" w:rsidRPr="006213EC" w:rsidRDefault="008A6A5E" w:rsidP="005E495B">
      <w:pPr>
        <w:numPr>
          <w:ilvl w:val="0"/>
          <w:numId w:val="25"/>
        </w:numPr>
        <w:spacing w:after="240" w:line="360" w:lineRule="auto"/>
        <w:rPr>
          <w:rFonts w:ascii="KievitPro-Regular" w:hAnsi="KievitPro-Regular"/>
          <w:sz w:val="22"/>
          <w:lang w:val="fr-CH"/>
        </w:rPr>
      </w:pPr>
      <w:r w:rsidRPr="006213EC">
        <w:rPr>
          <w:rFonts w:ascii="KievitPro-Regular" w:hAnsi="KievitPro-Regular"/>
          <w:sz w:val="22"/>
          <w:lang w:val="fr-CH"/>
        </w:rPr>
        <w:t>La supervision du système d’assurance-qualité s'effectue moyennant une revue périodique dans le but de vérifier si les réglementations et procédures sont respectées et que les prestations de services sont fournies en conformité avec la norme relative au contrôle restreint (NCR 2015) et documentées de façon appropriée. Cela permet aussi de s’assurer que d’éventuelles modifications des normes d’audit ou de la législation ont été prises en compte. Lors de telles modifications, la documentation doit être mise à jour en conséquence.</w:t>
      </w:r>
    </w:p>
    <w:p w14:paraId="6F276438" w14:textId="68D7D855" w:rsidR="008A6A5E" w:rsidRPr="006213EC" w:rsidRDefault="008A6A5E" w:rsidP="005E495B">
      <w:pPr>
        <w:spacing w:line="360" w:lineRule="auto"/>
        <w:ind w:left="1080"/>
        <w:rPr>
          <w:rFonts w:ascii="KievitPro-Regular" w:hAnsi="KievitPro-Regular" w:cs="Arial"/>
          <w:sz w:val="22"/>
          <w:szCs w:val="22"/>
          <w:lang w:val="fr-CH"/>
        </w:rPr>
      </w:pPr>
      <w:r w:rsidRPr="006213EC">
        <w:rPr>
          <w:rFonts w:ascii="KievitPro-Regular" w:hAnsi="KievitPro-Regular"/>
          <w:sz w:val="22"/>
          <w:lang w:val="fr-CH"/>
        </w:rPr>
        <w:t>Le processus d’examen du propre contrôle qualité spécifique à l’entreprise est désigné par « surveillance interne ». Le processus de surveillance interne prévoit l’exécution obligatoire d’une analyse et d’une évaluation permanentes</w:t>
      </w:r>
      <w:r w:rsidRPr="006213EC">
        <w:rPr>
          <w:rFonts w:ascii="KievitPro-Regular" w:hAnsi="KievitPro-Regular"/>
          <w:sz w:val="22"/>
          <w:lang w:val="fr-CH"/>
        </w:rPr>
        <w:footnoteReference w:id="2"/>
      </w:r>
      <w:r w:rsidRPr="006213EC">
        <w:rPr>
          <w:rFonts w:ascii="KievitPro-Regular" w:hAnsi="KievitPro-Regular"/>
          <w:sz w:val="22"/>
          <w:lang w:val="fr-CH"/>
        </w:rPr>
        <w:t xml:space="preserve"> du système d’assurance-qualité au niveau de l’entreprise (« firm review ») et au niveau du mandat (« file review »). La surveillance interne doit être exécutée au moins une fois par an au niveau de l’entreprise et inclure au minimum </w:t>
      </w:r>
      <w:r w:rsidRPr="006213EC">
        <w:rPr>
          <w:rFonts w:ascii="KievitPro-Regular" w:hAnsi="KievitPro-Regular"/>
          <w:sz w:val="22"/>
          <w:lang w:val="fr-CH"/>
        </w:rPr>
        <w:lastRenderedPageBreak/>
        <w:t>un mandat d’audit conclu par réviseur principal une fois tous les trois ans, mais au moins un mandat d’audit conclu chaque année.</w:t>
      </w:r>
    </w:p>
    <w:p w14:paraId="553CB0AD" w14:textId="77777777" w:rsidR="008A6A5E" w:rsidRPr="006213EC" w:rsidRDefault="008A6A5E" w:rsidP="008A6A5E">
      <w:pPr>
        <w:spacing w:before="240" w:after="240" w:line="360" w:lineRule="auto"/>
        <w:ind w:left="720"/>
        <w:rPr>
          <w:rFonts w:ascii="KievitPro-Regular" w:hAnsi="KievitPro-Regular" w:cs="Arial"/>
          <w:sz w:val="22"/>
          <w:szCs w:val="22"/>
          <w:lang w:val="fr-CH"/>
        </w:rPr>
      </w:pPr>
      <w:r w:rsidRPr="006213EC">
        <w:rPr>
          <w:rFonts w:ascii="KievitPro-Regular" w:hAnsi="KievitPro-Regular"/>
          <w:sz w:val="22"/>
          <w:lang w:val="fr-CH"/>
        </w:rPr>
        <w:t>La personne exécutant la surveillance interne doit répondre au moins aux exigences suivantes :</w:t>
      </w:r>
    </w:p>
    <w:p w14:paraId="1452D243" w14:textId="77777777" w:rsidR="008A6A5E" w:rsidRPr="006213EC" w:rsidRDefault="008A6A5E" w:rsidP="008A6A5E">
      <w:pPr>
        <w:numPr>
          <w:ilvl w:val="0"/>
          <w:numId w:val="22"/>
        </w:numPr>
        <w:spacing w:line="360" w:lineRule="auto"/>
        <w:ind w:left="1134"/>
        <w:rPr>
          <w:rFonts w:ascii="KievitPro-Regular" w:hAnsi="KievitPro-Regular" w:cs="Arial"/>
          <w:sz w:val="22"/>
          <w:szCs w:val="22"/>
          <w:lang w:val="fr-CH"/>
        </w:rPr>
      </w:pPr>
      <w:r w:rsidRPr="006213EC">
        <w:rPr>
          <w:rFonts w:ascii="KievitPro-Regular" w:hAnsi="KievitPro-Regular"/>
          <w:sz w:val="22"/>
          <w:lang w:val="fr-CH"/>
        </w:rPr>
        <w:t>elle ne doit avoir participé ni aux travaux de révision, ni au contrôle qualité accompagnant le mandat ;</w:t>
      </w:r>
    </w:p>
    <w:p w14:paraId="48592004" w14:textId="77777777" w:rsidR="008A6A5E" w:rsidRPr="006213EC" w:rsidRDefault="008A6A5E" w:rsidP="008A6A5E">
      <w:pPr>
        <w:numPr>
          <w:ilvl w:val="0"/>
          <w:numId w:val="22"/>
        </w:numPr>
        <w:spacing w:line="360" w:lineRule="auto"/>
        <w:ind w:left="1134"/>
        <w:rPr>
          <w:rFonts w:ascii="KievitPro-Regular" w:hAnsi="KievitPro-Regular" w:cs="Arial"/>
          <w:sz w:val="22"/>
          <w:szCs w:val="22"/>
          <w:lang w:val="fr-CH"/>
        </w:rPr>
      </w:pPr>
      <w:r w:rsidRPr="006213EC">
        <w:rPr>
          <w:rFonts w:ascii="KievitPro-Regular" w:hAnsi="KievitPro-Regular"/>
          <w:sz w:val="22"/>
          <w:lang w:val="fr-CH"/>
        </w:rPr>
        <w:t>elle doit être au moins agréée en tant que réviseur ;</w:t>
      </w:r>
    </w:p>
    <w:p w14:paraId="1E2E24D4" w14:textId="77777777" w:rsidR="008A6A5E" w:rsidRPr="006213EC" w:rsidRDefault="008A6A5E" w:rsidP="008A6A5E">
      <w:pPr>
        <w:numPr>
          <w:ilvl w:val="0"/>
          <w:numId w:val="22"/>
        </w:numPr>
        <w:spacing w:line="360" w:lineRule="auto"/>
        <w:ind w:left="1134"/>
        <w:rPr>
          <w:rFonts w:ascii="KievitPro-Regular" w:hAnsi="KievitPro-Regular" w:cs="Arial"/>
          <w:sz w:val="22"/>
          <w:szCs w:val="22"/>
          <w:lang w:val="fr-CH"/>
        </w:rPr>
      </w:pPr>
      <w:r w:rsidRPr="006213EC">
        <w:rPr>
          <w:rFonts w:ascii="KievitPro-Regular" w:hAnsi="KievitPro-Regular"/>
          <w:sz w:val="22"/>
          <w:lang w:val="fr-CH"/>
        </w:rPr>
        <w:t>elle doit disposer de l’expérience (ancienneté) et des compétences nécessaires.</w:t>
      </w:r>
    </w:p>
    <w:p w14:paraId="6B4797A7" w14:textId="77777777" w:rsidR="008A6A5E" w:rsidRPr="006213EC" w:rsidRDefault="008A6A5E" w:rsidP="008A6A5E">
      <w:pPr>
        <w:spacing w:before="240" w:after="240" w:line="360" w:lineRule="auto"/>
        <w:ind w:left="720"/>
        <w:rPr>
          <w:rFonts w:ascii="KievitPro-Regular" w:hAnsi="KievitPro-Regular"/>
          <w:sz w:val="22"/>
          <w:lang w:val="fr-CH"/>
        </w:rPr>
      </w:pPr>
      <w:r w:rsidRPr="006213EC">
        <w:rPr>
          <w:rFonts w:ascii="KievitPro-Regular" w:hAnsi="KievitPro-Regular"/>
          <w:sz w:val="22"/>
          <w:lang w:val="fr-CH"/>
        </w:rPr>
        <w:t>Les constatations faites lors de la surveillance interne sont consignées par écrit dans un rapport de surveillance correspondant et transmises à la direction de l’entreprise et au responsable du mandat. La surveillance interne comprend également des recommandations visant à améliorer le système, en particulier si d’éventuelles faiblesses ont été identifiées, ou en cas de modifications et de mises à jour des normes professionnelles et des pratiques correspondantes.</w:t>
      </w:r>
    </w:p>
    <w:p w14:paraId="3491DC2D" w14:textId="77777777" w:rsidR="008A6A5E" w:rsidRPr="006213EC" w:rsidRDefault="008A6A5E" w:rsidP="008A6A5E">
      <w:pPr>
        <w:spacing w:before="240" w:after="240" w:line="360" w:lineRule="auto"/>
        <w:ind w:left="720"/>
        <w:rPr>
          <w:rFonts w:ascii="KievitPro-Regular" w:hAnsi="KievitPro-Regular"/>
          <w:sz w:val="22"/>
          <w:lang w:val="fr-CH"/>
        </w:rPr>
      </w:pPr>
      <w:r w:rsidRPr="006213EC">
        <w:rPr>
          <w:rFonts w:ascii="KievitPro-Regular" w:hAnsi="KievitPro-Regular"/>
          <w:sz w:val="22"/>
          <w:lang w:val="fr-CH"/>
        </w:rPr>
        <w:t>Il faut veiller à ce que la personne effectuant la surveillance interne dispose d’une expérience suffisante et adéquate ainsi que de l’autorisation nécessaire. Par ailleurs, elle ne doit pas avoir participé aux travaux de révision.</w:t>
      </w:r>
    </w:p>
    <w:p w14:paraId="5AB88396" w14:textId="77777777" w:rsidR="008A6A5E" w:rsidRPr="006213EC" w:rsidRDefault="008A6A5E" w:rsidP="008A6A5E">
      <w:pPr>
        <w:spacing w:before="240" w:after="240" w:line="360" w:lineRule="auto"/>
        <w:ind w:left="720"/>
        <w:rPr>
          <w:rFonts w:ascii="KievitPro-Regular" w:hAnsi="KievitPro-Regular"/>
          <w:sz w:val="22"/>
          <w:lang w:val="fr-CH"/>
        </w:rPr>
      </w:pPr>
      <w:r w:rsidRPr="006213EC">
        <w:rPr>
          <w:rFonts w:ascii="KievitPro-Regular" w:hAnsi="KievitPro-Regular"/>
          <w:sz w:val="22"/>
          <w:lang w:val="fr-CH"/>
        </w:rPr>
        <w:t>Selon la taille de l’entreprise de révision, il est possible, à titre d’alternative, de conclure une convention lui permettant d’utiliser ses ressources en commun avec d’autres organisations adéquates afin de pouvoir exécuter des surveillances internes.</w:t>
      </w:r>
    </w:p>
    <w:p w14:paraId="739CF824" w14:textId="57900EFB" w:rsidR="005E495B" w:rsidRPr="006213EC" w:rsidRDefault="005E495B">
      <w:pPr>
        <w:jc w:val="left"/>
        <w:rPr>
          <w:rFonts w:ascii="KievitPro-Regular" w:hAnsi="KievitPro-Regular" w:cs="Arial"/>
          <w:sz w:val="22"/>
          <w:szCs w:val="22"/>
          <w:lang w:val="fr-CH"/>
        </w:rPr>
      </w:pPr>
      <w:r w:rsidRPr="006213EC">
        <w:rPr>
          <w:rFonts w:ascii="KievitPro-Regular" w:hAnsi="KievitPro-Regular" w:cs="Arial"/>
          <w:sz w:val="22"/>
          <w:szCs w:val="22"/>
          <w:lang w:val="fr-CH"/>
        </w:rPr>
        <w:br w:type="page"/>
      </w:r>
    </w:p>
    <w:p w14:paraId="67E8776F" w14:textId="650B1DAD" w:rsidR="008A6A5E" w:rsidRPr="006213EC" w:rsidRDefault="008A6A5E" w:rsidP="008A6A5E">
      <w:pPr>
        <w:spacing w:line="360" w:lineRule="auto"/>
        <w:rPr>
          <w:rFonts w:ascii="KievitPro-Regular" w:hAnsi="KievitPro-Regular" w:cs="Arial"/>
          <w:sz w:val="22"/>
          <w:szCs w:val="22"/>
          <w:lang w:val="fr-CH"/>
        </w:rPr>
      </w:pPr>
      <w:r w:rsidRPr="006213EC">
        <w:rPr>
          <w:rFonts w:ascii="KievitPro-Regular" w:hAnsi="KievitPro-Regular"/>
          <w:sz w:val="22"/>
          <w:lang w:val="fr-CH"/>
        </w:rPr>
        <w:lastRenderedPageBreak/>
        <w:t>Les différents éléments constitutifs d’un système d’assurance-qualité sont récapitulés dans la figure ci-dessous :</w:t>
      </w:r>
    </w:p>
    <w:p w14:paraId="5C3ACEFD" w14:textId="15BFF77A" w:rsidR="008A6A5E" w:rsidRPr="006213EC" w:rsidRDefault="008A6A5E" w:rsidP="008A6A5E">
      <w:pPr>
        <w:spacing w:line="360" w:lineRule="auto"/>
        <w:jc w:val="center"/>
        <w:rPr>
          <w:lang w:val="fr-CH" w:eastAsia="de-CH"/>
        </w:rPr>
      </w:pPr>
      <w:r w:rsidRPr="006213EC">
        <w:rPr>
          <w:lang w:val="fr-CH" w:eastAsia="de-CH"/>
        </w:rPr>
        <w:fldChar w:fldCharType="begin"/>
      </w:r>
      <w:r w:rsidRPr="006213EC">
        <w:rPr>
          <w:lang w:val="fr-CH" w:eastAsia="de-CH"/>
        </w:rPr>
        <w:instrText xml:space="preserve"> LINK PowerPoint.Show.12 "C:\\Users\\Zieltext3\\Documents\\Projekte\\Treuhand Suisse\\A-23401\\Von Übersetzer\\graph. 1_frL.pptx" "" \a \p \f 0 </w:instrText>
      </w:r>
      <w:r w:rsidRPr="006213EC">
        <w:rPr>
          <w:lang w:val="fr-CH" w:eastAsia="de-CH"/>
        </w:rPr>
        <w:fldChar w:fldCharType="separate"/>
      </w:r>
      <w:r w:rsidRPr="006213EC">
        <w:rPr>
          <w:noProof/>
          <w:lang w:eastAsia="de-CH"/>
        </w:rPr>
        <w:drawing>
          <wp:inline distT="0" distB="0" distL="0" distR="0" wp14:anchorId="7DDBAF83" wp14:editId="66F9BC76">
            <wp:extent cx="6094095" cy="3430270"/>
            <wp:effectExtent l="0" t="0" r="190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4095" cy="3430270"/>
                    </a:xfrm>
                    <a:prstGeom prst="rect">
                      <a:avLst/>
                    </a:prstGeom>
                    <a:noFill/>
                    <a:ln>
                      <a:noFill/>
                    </a:ln>
                  </pic:spPr>
                </pic:pic>
              </a:graphicData>
            </a:graphic>
          </wp:inline>
        </w:drawing>
      </w:r>
      <w:r w:rsidRPr="006213EC">
        <w:rPr>
          <w:lang w:val="fr-CH" w:eastAsia="de-CH"/>
        </w:rPr>
        <w:fldChar w:fldCharType="end"/>
      </w:r>
    </w:p>
    <w:p w14:paraId="5723AECE" w14:textId="77777777" w:rsidR="008A6A5E" w:rsidRPr="006213EC" w:rsidRDefault="008A6A5E" w:rsidP="008A6A5E">
      <w:pPr>
        <w:spacing w:line="360" w:lineRule="auto"/>
        <w:jc w:val="center"/>
        <w:rPr>
          <w:rFonts w:cs="Arial"/>
          <w:sz w:val="16"/>
          <w:szCs w:val="16"/>
          <w:lang w:val="fr-CH"/>
        </w:rPr>
      </w:pPr>
      <w:r w:rsidRPr="006213EC">
        <w:rPr>
          <w:sz w:val="16"/>
          <w:szCs w:val="16"/>
          <w:lang w:val="fr-CH" w:eastAsia="de-CH"/>
        </w:rPr>
        <w:t>graph. 1</w:t>
      </w:r>
    </w:p>
    <w:p w14:paraId="42F27363" w14:textId="4CB43D54" w:rsidR="005601D4" w:rsidRPr="006213EC" w:rsidRDefault="005601D4">
      <w:pPr>
        <w:jc w:val="left"/>
        <w:rPr>
          <w:rFonts w:cs="Arial"/>
          <w:sz w:val="22"/>
          <w:szCs w:val="22"/>
          <w:lang w:val="fr-CH"/>
        </w:rPr>
      </w:pPr>
      <w:r w:rsidRPr="006213EC">
        <w:rPr>
          <w:rFonts w:cs="Arial"/>
          <w:sz w:val="22"/>
          <w:szCs w:val="22"/>
          <w:lang w:val="fr-CH"/>
        </w:rPr>
        <w:br w:type="page"/>
      </w:r>
    </w:p>
    <w:p w14:paraId="45AACB49" w14:textId="7F477454" w:rsidR="005601D4" w:rsidRPr="006213EC" w:rsidRDefault="00D53C30" w:rsidP="005E495B">
      <w:pPr>
        <w:pStyle w:val="berschrift1"/>
        <w:keepNext w:val="0"/>
        <w:numPr>
          <w:ilvl w:val="0"/>
          <w:numId w:val="39"/>
        </w:numPr>
        <w:tabs>
          <w:tab w:val="num" w:pos="207"/>
        </w:tabs>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14" w:name="_Toc157695879"/>
      <w:bookmarkStart w:id="15" w:name="_Toc141095557"/>
      <w:bookmarkStart w:id="16" w:name="_Toc141092101"/>
      <w:r w:rsidRPr="006213EC">
        <w:rPr>
          <w:rFonts w:ascii="KievitPro-Regular" w:hAnsi="KievitPro-Regular" w:cs="Arial"/>
          <w:smallCaps/>
          <w:snapToGrid/>
          <w:spacing w:val="5"/>
          <w:kern w:val="0"/>
          <w:sz w:val="28"/>
          <w:szCs w:val="36"/>
          <w:lang w:val="fr-CH" w:eastAsia="en-US"/>
        </w:rPr>
        <w:lastRenderedPageBreak/>
        <w:t>ANNEXES</w:t>
      </w:r>
      <w:bookmarkEnd w:id="14"/>
      <w:r w:rsidRPr="006213EC">
        <w:rPr>
          <w:rFonts w:ascii="KievitPro-Regular" w:hAnsi="KievitPro-Regular" w:cs="Arial"/>
          <w:smallCaps/>
          <w:snapToGrid/>
          <w:spacing w:val="5"/>
          <w:kern w:val="0"/>
          <w:sz w:val="28"/>
          <w:szCs w:val="36"/>
          <w:lang w:val="fr-CH" w:eastAsia="en-US"/>
        </w:rPr>
        <w:t xml:space="preserve"> </w:t>
      </w:r>
      <w:bookmarkEnd w:id="15"/>
      <w:bookmarkEnd w:id="16"/>
    </w:p>
    <w:p w14:paraId="44457CC5" w14:textId="77777777" w:rsidR="005601D4" w:rsidRPr="006213EC" w:rsidRDefault="005601D4" w:rsidP="005E495B">
      <w:pPr>
        <w:pStyle w:val="berschrift1"/>
        <w:keepNext w:val="0"/>
        <w:numPr>
          <w:ilvl w:val="1"/>
          <w:numId w:val="39"/>
        </w:numPr>
        <w:spacing w:before="480" w:after="240" w:line="276" w:lineRule="auto"/>
        <w:contextualSpacing/>
        <w:jc w:val="left"/>
        <w:rPr>
          <w:rFonts w:ascii="KievitPro-Regular" w:hAnsi="KievitPro-Regular" w:cs="Arial"/>
          <w:smallCaps/>
          <w:snapToGrid/>
          <w:spacing w:val="5"/>
          <w:kern w:val="0"/>
          <w:sz w:val="28"/>
          <w:szCs w:val="36"/>
          <w:lang w:val="fr-CH" w:eastAsia="en-US"/>
        </w:rPr>
      </w:pPr>
      <w:bookmarkStart w:id="17" w:name="_Toc141095558"/>
      <w:bookmarkStart w:id="18" w:name="_Toc141092102"/>
      <w:bookmarkStart w:id="19" w:name="_Toc157695880"/>
      <w:r w:rsidRPr="006213EC">
        <w:rPr>
          <w:rFonts w:ascii="KievitPro-Regular" w:hAnsi="KievitPro-Regular" w:cs="Arial"/>
          <w:smallCaps/>
          <w:snapToGrid/>
          <w:spacing w:val="5"/>
          <w:kern w:val="0"/>
          <w:sz w:val="28"/>
          <w:szCs w:val="36"/>
          <w:lang w:val="fr-CH" w:eastAsia="en-US"/>
        </w:rPr>
        <w:t>Règlement relatif à la collaboration</w:t>
      </w:r>
      <w:bookmarkEnd w:id="17"/>
      <w:bookmarkEnd w:id="18"/>
      <w:bookmarkEnd w:id="19"/>
    </w:p>
    <w:p w14:paraId="38D075D2" w14:textId="77777777" w:rsidR="005601D4" w:rsidRPr="006213EC" w:rsidRDefault="005601D4" w:rsidP="005601D4">
      <w:pPr>
        <w:pStyle w:val="Adresse"/>
        <w:rPr>
          <w:rFonts w:ascii="Corbel" w:hAnsi="Corbel"/>
          <w:i/>
          <w:color w:val="365F91"/>
          <w:sz w:val="22"/>
          <w:szCs w:val="22"/>
        </w:rPr>
      </w:pPr>
      <w:r w:rsidRPr="006213EC">
        <w:rPr>
          <w:rFonts w:ascii="Corbel" w:hAnsi="Corbel"/>
          <w:i/>
          <w:sz w:val="22"/>
        </w:rPr>
        <w:t>(Il convient d’adapter le règlement à la situation et aux conditions concrètes)</w:t>
      </w:r>
    </w:p>
    <w:p w14:paraId="3044D47A" w14:textId="77777777" w:rsidR="005601D4" w:rsidRPr="006213EC" w:rsidRDefault="005601D4" w:rsidP="005601D4">
      <w:pPr>
        <w:spacing w:line="360" w:lineRule="auto"/>
        <w:rPr>
          <w:rFonts w:cs="Arial"/>
          <w:sz w:val="22"/>
          <w:szCs w:val="22"/>
          <w:lang w:val="fr-CH"/>
        </w:rPr>
      </w:pPr>
    </w:p>
    <w:p w14:paraId="5B982855" w14:textId="77777777" w:rsidR="005601D4" w:rsidRPr="006213EC" w:rsidRDefault="005601D4" w:rsidP="005601D4">
      <w:pPr>
        <w:jc w:val="center"/>
        <w:rPr>
          <w:rFonts w:ascii="Corbel" w:hAnsi="Corbel" w:cs="Arial"/>
          <w:b/>
          <w:sz w:val="28"/>
          <w:szCs w:val="28"/>
          <w:lang w:val="fr-CH"/>
        </w:rPr>
      </w:pPr>
      <w:r w:rsidRPr="006213EC">
        <w:rPr>
          <w:rFonts w:ascii="Corbel" w:hAnsi="Corbel"/>
          <w:b/>
          <w:sz w:val="28"/>
          <w:lang w:val="fr-CH"/>
        </w:rPr>
        <w:t>RÈGLEMENT POUR LA SÉPARATION ORGANISATIONNELLE DES SERVICES DE RÉVISION ET DE COMPTABILITÉ ET POUR LA FOURNITURE D’AUTRES PRESTATIONS</w:t>
      </w:r>
    </w:p>
    <w:p w14:paraId="775020D0" w14:textId="77777777" w:rsidR="005601D4" w:rsidRPr="006213EC" w:rsidRDefault="005601D4" w:rsidP="005601D4">
      <w:pPr>
        <w:rPr>
          <w:rFonts w:ascii="Corbel" w:hAnsi="Corbel" w:cs="Arial"/>
          <w:sz w:val="22"/>
          <w:szCs w:val="22"/>
          <w:lang w:val="fr-CH"/>
        </w:rPr>
      </w:pPr>
    </w:p>
    <w:p w14:paraId="5807C6E5" w14:textId="77777777" w:rsidR="005601D4" w:rsidRPr="006213EC" w:rsidRDefault="005601D4" w:rsidP="005601D4">
      <w:pPr>
        <w:rPr>
          <w:rFonts w:ascii="Corbel" w:hAnsi="Corbel" w:cs="Arial"/>
          <w:sz w:val="22"/>
          <w:szCs w:val="22"/>
          <w:lang w:val="fr-CH"/>
        </w:rPr>
      </w:pPr>
    </w:p>
    <w:p w14:paraId="3D66186E"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[Entreprise, lieu]</w:t>
      </w:r>
    </w:p>
    <w:p w14:paraId="10C41A9E"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Le conseil d’administration [organe habilité à prendre des décisions] de l’entreprise ............. SA [entreprise], [lieu] (ci-après dénommée « société » [autre désignation]), édicte le règlement suivant en vertu de l’art. ............ des statuts dans la version du ............ :</w:t>
      </w:r>
    </w:p>
    <w:p w14:paraId="4E3DCD07" w14:textId="77777777" w:rsidR="005601D4" w:rsidRPr="006213EC" w:rsidRDefault="005601D4" w:rsidP="005601D4">
      <w:pPr>
        <w:pStyle w:val="KeinLeerraum"/>
        <w:numPr>
          <w:ilvl w:val="0"/>
          <w:numId w:val="27"/>
        </w:numPr>
        <w:spacing w:before="240"/>
        <w:rPr>
          <w:rFonts w:ascii="Corbel" w:hAnsi="Corbel"/>
          <w:b/>
          <w:sz w:val="24"/>
          <w:szCs w:val="24"/>
        </w:rPr>
      </w:pPr>
      <w:r w:rsidRPr="006213EC">
        <w:rPr>
          <w:rFonts w:ascii="Corbel" w:hAnsi="Corbel"/>
          <w:b/>
          <w:sz w:val="24"/>
        </w:rPr>
        <w:t>Principes</w:t>
      </w:r>
    </w:p>
    <w:p w14:paraId="33EF7723" w14:textId="77777777" w:rsidR="005601D4" w:rsidRPr="006213EC" w:rsidRDefault="005601D4" w:rsidP="005601D4">
      <w:pPr>
        <w:rPr>
          <w:rFonts w:ascii="Corbel" w:hAnsi="Corbel" w:cs="Arial"/>
          <w:sz w:val="22"/>
          <w:szCs w:val="22"/>
          <w:lang w:val="fr-CH"/>
        </w:rPr>
      </w:pPr>
    </w:p>
    <w:p w14:paraId="04BA3B48"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L’article 729 CO règle l’indépendance de l’organe de révision lorsqu’il exécute un contrôle restreint :</w:t>
      </w:r>
    </w:p>
    <w:p w14:paraId="7780EA28" w14:textId="77777777" w:rsidR="005601D4" w:rsidRPr="006213EC" w:rsidRDefault="005601D4" w:rsidP="005601D4">
      <w:pPr>
        <w:rPr>
          <w:rFonts w:ascii="Corbel" w:hAnsi="Corbel" w:cs="Arial"/>
          <w:sz w:val="22"/>
          <w:szCs w:val="22"/>
          <w:lang w:val="fr-CH"/>
        </w:rPr>
      </w:pPr>
    </w:p>
    <w:p w14:paraId="27A3F8CB"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 1 L’organe de révision doit être indépendant et former son appréciation en toute objectivité. Son indépendance ne doit être restreinte ni dans les faits, ni en apparence.</w:t>
      </w:r>
    </w:p>
    <w:p w14:paraId="588C4BC0" w14:textId="77777777" w:rsidR="005601D4" w:rsidRPr="006213EC" w:rsidRDefault="005601D4" w:rsidP="005601D4">
      <w:pPr>
        <w:rPr>
          <w:rFonts w:ascii="Corbel" w:hAnsi="Corbel" w:cs="Arial"/>
          <w:sz w:val="22"/>
          <w:szCs w:val="22"/>
          <w:lang w:val="fr-CH"/>
        </w:rPr>
      </w:pPr>
    </w:p>
    <w:p w14:paraId="1942F3F2"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2 La collaboration à la tenue de la comptabilité ainsi que la fourniture d’autres prestations à la société soumise au contrôle sont autorisées. Si le risque existe de devoir contrôler son propre travail, un contrôle sûr doit être garanti par la mise en place de mesures appropriées sur le plan de l’organisation et du personnel. »</w:t>
      </w:r>
    </w:p>
    <w:p w14:paraId="389553AC" w14:textId="77777777" w:rsidR="005601D4" w:rsidRPr="006213EC" w:rsidRDefault="005601D4" w:rsidP="005601D4">
      <w:pPr>
        <w:rPr>
          <w:rFonts w:ascii="Corbel" w:hAnsi="Corbel" w:cs="Arial"/>
          <w:sz w:val="22"/>
          <w:szCs w:val="22"/>
          <w:lang w:val="fr-CH"/>
        </w:rPr>
      </w:pPr>
    </w:p>
    <w:p w14:paraId="53B7AF45"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Ce règlement fait partie des mesures organisationnelles aptes à assurer un contrôle fiable de tous les mandats d’audit impliquant une collaboration à la tenue de la comptabilité et la fourniture d’autres prestations (selon l’annexe « Doubles mandats »).</w:t>
      </w:r>
    </w:p>
    <w:p w14:paraId="48CBD656" w14:textId="77777777" w:rsidR="005601D4" w:rsidRPr="006213EC" w:rsidRDefault="005601D4" w:rsidP="005601D4">
      <w:pPr>
        <w:pStyle w:val="KeinLeerraum"/>
        <w:numPr>
          <w:ilvl w:val="0"/>
          <w:numId w:val="27"/>
        </w:numPr>
        <w:spacing w:before="240"/>
        <w:rPr>
          <w:rFonts w:ascii="Corbel" w:hAnsi="Corbel"/>
          <w:b/>
          <w:sz w:val="22"/>
          <w:szCs w:val="22"/>
        </w:rPr>
      </w:pPr>
      <w:r w:rsidRPr="006213EC">
        <w:rPr>
          <w:rFonts w:ascii="Corbel" w:hAnsi="Corbel"/>
          <w:b/>
          <w:sz w:val="24"/>
        </w:rPr>
        <w:tab/>
        <w:t>Structure d’organisation de la société</w:t>
      </w:r>
    </w:p>
    <w:p w14:paraId="4EEA8D23" w14:textId="77777777" w:rsidR="005601D4" w:rsidRPr="006213EC" w:rsidRDefault="005601D4" w:rsidP="005601D4">
      <w:pPr>
        <w:rPr>
          <w:rFonts w:ascii="Corbel" w:hAnsi="Corbel" w:cs="Arial"/>
          <w:sz w:val="22"/>
          <w:szCs w:val="22"/>
          <w:lang w:val="fr-CH"/>
        </w:rPr>
      </w:pPr>
    </w:p>
    <w:p w14:paraId="17356723"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La société est structurée comme suit [variante : selon l’annexe « Organigramme »] :</w:t>
      </w:r>
    </w:p>
    <w:p w14:paraId="76C26102"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Le service de révision [désignation ?] est dirigé par [nom]. Les collaborateurs suivants travaillent également au service de révision [noms].</w:t>
      </w:r>
    </w:p>
    <w:p w14:paraId="1A108BE1" w14:textId="77777777" w:rsidR="005601D4" w:rsidRPr="006213EC" w:rsidRDefault="005601D4" w:rsidP="005601D4">
      <w:pPr>
        <w:rPr>
          <w:rFonts w:ascii="Corbel" w:hAnsi="Corbel" w:cs="Arial"/>
          <w:sz w:val="22"/>
          <w:szCs w:val="22"/>
          <w:lang w:val="fr-CH"/>
        </w:rPr>
      </w:pPr>
    </w:p>
    <w:p w14:paraId="07D2FDD9"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[év. droits de souscription]</w:t>
      </w:r>
    </w:p>
    <w:p w14:paraId="44612FC5" w14:textId="77777777" w:rsidR="005601D4" w:rsidRPr="006213EC" w:rsidRDefault="005601D4" w:rsidP="005601D4">
      <w:pPr>
        <w:rPr>
          <w:rFonts w:ascii="Corbel" w:hAnsi="Corbel" w:cs="Arial"/>
          <w:sz w:val="22"/>
          <w:szCs w:val="22"/>
          <w:lang w:val="fr-CH"/>
        </w:rPr>
      </w:pPr>
    </w:p>
    <w:p w14:paraId="5F726C69"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[désigner év. les réviseurs principaux]</w:t>
      </w:r>
    </w:p>
    <w:p w14:paraId="43B5DBCD" w14:textId="77777777" w:rsidR="005601D4" w:rsidRPr="006213EC" w:rsidRDefault="005601D4" w:rsidP="005601D4">
      <w:pPr>
        <w:rPr>
          <w:rFonts w:ascii="Corbel" w:hAnsi="Corbel" w:cs="Arial"/>
          <w:sz w:val="22"/>
          <w:szCs w:val="22"/>
          <w:lang w:val="fr-CH"/>
        </w:rPr>
      </w:pPr>
    </w:p>
    <w:p w14:paraId="32BE1147"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[év. agréments]</w:t>
      </w:r>
    </w:p>
    <w:p w14:paraId="40A9A769" w14:textId="77777777" w:rsidR="005601D4" w:rsidRPr="006213EC" w:rsidRDefault="005601D4" w:rsidP="005601D4">
      <w:pPr>
        <w:rPr>
          <w:rFonts w:ascii="Corbel" w:hAnsi="Corbel" w:cs="Arial"/>
          <w:sz w:val="22"/>
          <w:szCs w:val="22"/>
          <w:lang w:val="fr-CH"/>
        </w:rPr>
      </w:pPr>
    </w:p>
    <w:p w14:paraId="47884016"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Le service de comptabilité [désignation ?] est dirigé par [nom]. Les collaborateurs suivants travaillent également au service de comptabilité [noms].</w:t>
      </w:r>
    </w:p>
    <w:p w14:paraId="510F56C5" w14:textId="77777777" w:rsidR="005601D4" w:rsidRPr="006213EC" w:rsidRDefault="005601D4" w:rsidP="005601D4">
      <w:pPr>
        <w:rPr>
          <w:rFonts w:ascii="Corbel" w:hAnsi="Corbel" w:cs="Arial"/>
          <w:sz w:val="22"/>
          <w:szCs w:val="22"/>
          <w:lang w:val="fr-CH"/>
        </w:rPr>
      </w:pPr>
    </w:p>
    <w:p w14:paraId="5480A80B"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[év. droits de souscription]</w:t>
      </w:r>
    </w:p>
    <w:p w14:paraId="66BB9E16" w14:textId="77777777" w:rsidR="005601D4" w:rsidRPr="006213EC" w:rsidRDefault="005601D4" w:rsidP="005601D4">
      <w:pPr>
        <w:rPr>
          <w:rFonts w:cs="Arial"/>
          <w:lang w:val="fr-CH"/>
        </w:rPr>
      </w:pPr>
    </w:p>
    <w:p w14:paraId="46ACA801" w14:textId="77777777" w:rsidR="005601D4" w:rsidRPr="006213EC" w:rsidRDefault="005601D4" w:rsidP="005601D4">
      <w:pPr>
        <w:rPr>
          <w:rFonts w:cs="Arial"/>
          <w:lang w:val="fr-CH"/>
        </w:rPr>
      </w:pPr>
    </w:p>
    <w:p w14:paraId="68B60B6C" w14:textId="77777777" w:rsidR="005601D4" w:rsidRPr="006213EC" w:rsidRDefault="005601D4" w:rsidP="005601D4">
      <w:pPr>
        <w:rPr>
          <w:rFonts w:cs="Arial"/>
          <w:b/>
          <w:sz w:val="24"/>
          <w:szCs w:val="24"/>
          <w:lang w:val="fr-CH"/>
        </w:rPr>
      </w:pPr>
      <w:r w:rsidRPr="006213EC">
        <w:rPr>
          <w:lang w:val="fr-CH"/>
        </w:rPr>
        <w:br w:type="page"/>
      </w:r>
    </w:p>
    <w:p w14:paraId="2AE11F01" w14:textId="77777777" w:rsidR="005601D4" w:rsidRPr="006213EC" w:rsidRDefault="005601D4" w:rsidP="005601D4">
      <w:pPr>
        <w:pStyle w:val="KeinLeerraum"/>
        <w:numPr>
          <w:ilvl w:val="0"/>
          <w:numId w:val="27"/>
        </w:numPr>
        <w:spacing w:line="360" w:lineRule="auto"/>
        <w:rPr>
          <w:rFonts w:ascii="Corbel" w:hAnsi="Corbel"/>
          <w:b/>
          <w:sz w:val="24"/>
          <w:szCs w:val="24"/>
        </w:rPr>
      </w:pPr>
      <w:r w:rsidRPr="006213EC">
        <w:rPr>
          <w:rFonts w:ascii="Corbel" w:hAnsi="Corbel"/>
          <w:b/>
          <w:sz w:val="24"/>
        </w:rPr>
        <w:lastRenderedPageBreak/>
        <w:tab/>
        <w:t>Indépendance vis-à-vis d’instructions</w:t>
      </w:r>
    </w:p>
    <w:p w14:paraId="196F2B01"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Le responsable du service de révision et toutes les personnes impliquées dans les travaux de révision sont indépendants en ce qui concerne leurs décisions et évaluations dans le cadre de leurs tâches en tant qu’organe de révision, et ce par rapport au responsable et à tous les autres collaborateurs du service de comptabilité.</w:t>
      </w:r>
    </w:p>
    <w:p w14:paraId="58D17D55" w14:textId="77777777" w:rsidR="005601D4" w:rsidRPr="006213EC" w:rsidRDefault="005601D4" w:rsidP="005601D4">
      <w:pPr>
        <w:rPr>
          <w:rFonts w:ascii="Corbel" w:hAnsi="Corbel" w:cs="Arial"/>
          <w:sz w:val="22"/>
          <w:szCs w:val="22"/>
          <w:lang w:val="fr-CH"/>
        </w:rPr>
      </w:pPr>
    </w:p>
    <w:p w14:paraId="77C21A04"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Dans leurs décisions sur la tenue de la comptabilité, le responsable du service de comptabilité (et tous les autres collaborateurs dudit service) ne sont pas assujettis aux instructions du responsable du service de révision ni de tous les réviseurs principaux. Ils sont uniquement assujettis aux instructions du client et donc de l’auteur et du créateur des comptes annuels.</w:t>
      </w:r>
    </w:p>
    <w:p w14:paraId="6C6CFA1F" w14:textId="77777777" w:rsidR="005601D4" w:rsidRPr="006213EC" w:rsidRDefault="005601D4" w:rsidP="005601D4">
      <w:pPr>
        <w:pStyle w:val="KeinLeerraum"/>
        <w:numPr>
          <w:ilvl w:val="0"/>
          <w:numId w:val="27"/>
        </w:numPr>
        <w:spacing w:before="240" w:line="360" w:lineRule="auto"/>
        <w:rPr>
          <w:rFonts w:ascii="Corbel" w:hAnsi="Corbel"/>
          <w:b/>
          <w:sz w:val="24"/>
          <w:szCs w:val="24"/>
        </w:rPr>
      </w:pPr>
      <w:r w:rsidRPr="006213EC">
        <w:rPr>
          <w:rFonts w:ascii="Corbel" w:hAnsi="Corbel"/>
          <w:b/>
          <w:sz w:val="24"/>
        </w:rPr>
        <w:tab/>
        <w:t>Entrée en vigueur et modifications du règlement</w:t>
      </w:r>
    </w:p>
    <w:p w14:paraId="2BC45C0B"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Ce règlement entre en vigueur le .......... [date].</w:t>
      </w:r>
    </w:p>
    <w:p w14:paraId="270BD150" w14:textId="77777777" w:rsidR="005601D4" w:rsidRPr="006213EC" w:rsidRDefault="005601D4" w:rsidP="005601D4">
      <w:pPr>
        <w:rPr>
          <w:rFonts w:ascii="Corbel" w:hAnsi="Corbel" w:cs="Arial"/>
          <w:sz w:val="22"/>
          <w:szCs w:val="22"/>
          <w:lang w:val="fr-CH"/>
        </w:rPr>
      </w:pPr>
    </w:p>
    <w:p w14:paraId="0B69B033"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Toute modification du règlement ou de ses annexes requiert la décision unanime du conseil d’administration [organe habilité à prendre des décisions].</w:t>
      </w:r>
    </w:p>
    <w:p w14:paraId="7099489A" w14:textId="77777777" w:rsidR="005601D4" w:rsidRPr="006213EC" w:rsidRDefault="005601D4" w:rsidP="005601D4">
      <w:pPr>
        <w:rPr>
          <w:rFonts w:ascii="Corbel" w:hAnsi="Corbel" w:cs="Arial"/>
          <w:sz w:val="22"/>
          <w:szCs w:val="22"/>
          <w:lang w:val="fr-CH"/>
        </w:rPr>
      </w:pPr>
    </w:p>
    <w:p w14:paraId="43831F00"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Annexes</w:t>
      </w:r>
    </w:p>
    <w:p w14:paraId="184921F0"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Organigramme</w:t>
      </w:r>
    </w:p>
    <w:p w14:paraId="48A7ACFC"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Doubles mandats</w:t>
      </w:r>
    </w:p>
    <w:p w14:paraId="63A40D3F" w14:textId="77777777" w:rsidR="005601D4" w:rsidRPr="006213EC" w:rsidRDefault="005601D4" w:rsidP="005601D4">
      <w:pPr>
        <w:rPr>
          <w:rFonts w:ascii="Corbel" w:hAnsi="Corbel"/>
          <w:sz w:val="22"/>
          <w:szCs w:val="22"/>
          <w:lang w:val="fr-CH"/>
        </w:rPr>
      </w:pPr>
    </w:p>
    <w:p w14:paraId="279D1197" w14:textId="77777777" w:rsidR="005601D4" w:rsidRPr="006213EC" w:rsidRDefault="005601D4" w:rsidP="005601D4">
      <w:pPr>
        <w:spacing w:line="360" w:lineRule="auto"/>
        <w:rPr>
          <w:rFonts w:ascii="Corbel" w:hAnsi="Corbel" w:cs="Arial"/>
          <w:sz w:val="22"/>
          <w:szCs w:val="22"/>
          <w:lang w:val="fr-CH"/>
        </w:rPr>
      </w:pPr>
    </w:p>
    <w:p w14:paraId="4FB89051" w14:textId="77777777" w:rsidR="005601D4" w:rsidRPr="006213EC" w:rsidRDefault="005601D4" w:rsidP="005601D4">
      <w:pPr>
        <w:spacing w:line="360" w:lineRule="auto"/>
        <w:rPr>
          <w:rFonts w:ascii="Corbel" w:hAnsi="Corbel" w:cs="Arial"/>
          <w:sz w:val="22"/>
          <w:szCs w:val="22"/>
          <w:lang w:val="fr-CH"/>
        </w:rPr>
      </w:pPr>
    </w:p>
    <w:p w14:paraId="768551AF" w14:textId="77777777" w:rsidR="005601D4" w:rsidRPr="006213EC" w:rsidRDefault="005601D4" w:rsidP="005601D4">
      <w:pPr>
        <w:spacing w:line="360" w:lineRule="auto"/>
        <w:rPr>
          <w:rFonts w:ascii="Corbel" w:hAnsi="Corbel" w:cs="Arial"/>
          <w:sz w:val="22"/>
          <w:szCs w:val="22"/>
          <w:lang w:val="fr-CH"/>
        </w:rPr>
      </w:pPr>
      <w:r w:rsidRPr="006213EC">
        <w:rPr>
          <w:rFonts w:ascii="Corbel" w:hAnsi="Corbel"/>
          <w:sz w:val="22"/>
          <w:lang w:val="fr-CH"/>
        </w:rPr>
        <w:t>(source : FIDUCIAIRE|SUISSE – ISCOR) :</w:t>
      </w:r>
    </w:p>
    <w:p w14:paraId="327FD2E4" w14:textId="6CD28C24" w:rsidR="005601D4" w:rsidRPr="006213EC" w:rsidRDefault="005601D4" w:rsidP="005E495B">
      <w:pPr>
        <w:pStyle w:val="berschrift1"/>
        <w:keepNext w:val="0"/>
        <w:numPr>
          <w:ilvl w:val="1"/>
          <w:numId w:val="39"/>
        </w:numPr>
        <w:spacing w:before="480" w:after="240" w:line="276" w:lineRule="auto"/>
        <w:contextualSpacing/>
        <w:jc w:val="left"/>
        <w:rPr>
          <w:rFonts w:ascii="KievitPro-Regular" w:hAnsi="KievitPro-Regular" w:cs="Arial"/>
          <w:smallCaps/>
          <w:snapToGrid/>
          <w:spacing w:val="5"/>
          <w:kern w:val="0"/>
          <w:sz w:val="28"/>
          <w:szCs w:val="36"/>
          <w:lang w:val="fr-CH" w:eastAsia="en-US"/>
        </w:rPr>
      </w:pPr>
      <w:r w:rsidRPr="006213EC">
        <w:rPr>
          <w:lang w:val="fr-CH"/>
        </w:rPr>
        <w:br w:type="page"/>
      </w:r>
      <w:bookmarkStart w:id="20" w:name="_Toc141095559"/>
      <w:bookmarkStart w:id="21" w:name="_Toc141092103"/>
      <w:bookmarkStart w:id="22" w:name="_Toc157695881"/>
      <w:r w:rsidRPr="006213EC">
        <w:rPr>
          <w:rFonts w:ascii="KievitPro-Regular" w:hAnsi="KievitPro-Regular" w:cs="Arial"/>
          <w:smallCaps/>
          <w:snapToGrid/>
          <w:spacing w:val="5"/>
          <w:kern w:val="0"/>
          <w:sz w:val="28"/>
          <w:szCs w:val="36"/>
          <w:lang w:val="fr-CH" w:eastAsia="en-US"/>
        </w:rPr>
        <w:lastRenderedPageBreak/>
        <w:t>M</w:t>
      </w:r>
      <w:r w:rsidR="005E495B" w:rsidRPr="006213EC">
        <w:rPr>
          <w:rFonts w:ascii="KievitPro-Regular" w:hAnsi="KievitPro-Regular" w:cs="Arial"/>
          <w:smallCaps/>
          <w:snapToGrid/>
          <w:spacing w:val="5"/>
          <w:kern w:val="0"/>
          <w:sz w:val="28"/>
          <w:szCs w:val="36"/>
          <w:lang w:val="fr-CH" w:eastAsia="en-US"/>
        </w:rPr>
        <w:t>ODÈLE DE RAPPORT DE SURVEILLANCE</w:t>
      </w:r>
      <w:bookmarkEnd w:id="20"/>
      <w:bookmarkEnd w:id="21"/>
      <w:bookmarkEnd w:id="22"/>
    </w:p>
    <w:p w14:paraId="6CCA39D6" w14:textId="77777777" w:rsidR="005601D4" w:rsidRPr="006213EC" w:rsidRDefault="005601D4" w:rsidP="005601D4">
      <w:pPr>
        <w:pStyle w:val="Adresse"/>
        <w:rPr>
          <w:rFonts w:ascii="Corbel" w:hAnsi="Corbel"/>
          <w:b/>
          <w:sz w:val="22"/>
          <w:szCs w:val="22"/>
        </w:rPr>
      </w:pPr>
      <w:r w:rsidRPr="006213EC">
        <w:rPr>
          <w:rFonts w:ascii="Corbel" w:hAnsi="Corbel"/>
          <w:b/>
          <w:sz w:val="22"/>
        </w:rPr>
        <w:t>Modèle de rapport sur la surveillance interne exécutée</w:t>
      </w:r>
    </w:p>
    <w:p w14:paraId="2519ABBF" w14:textId="77777777" w:rsidR="005601D4" w:rsidRPr="006213EC" w:rsidRDefault="005601D4" w:rsidP="005601D4">
      <w:pPr>
        <w:pStyle w:val="Adresse"/>
        <w:rPr>
          <w:rFonts w:ascii="Corbel" w:hAnsi="Corbel"/>
          <w:i/>
          <w:color w:val="365F91"/>
          <w:sz w:val="22"/>
          <w:szCs w:val="22"/>
        </w:rPr>
      </w:pPr>
      <w:r w:rsidRPr="006213EC">
        <w:rPr>
          <w:rFonts w:ascii="Corbel" w:hAnsi="Corbel"/>
          <w:i/>
          <w:sz w:val="22"/>
        </w:rPr>
        <w:t>(Il convient d’adapter le rapport à la situation et aux conditions concrètes)</w:t>
      </w:r>
    </w:p>
    <w:p w14:paraId="64DE9287" w14:textId="77777777" w:rsidR="005601D4" w:rsidRPr="006213EC" w:rsidRDefault="005601D4" w:rsidP="005601D4">
      <w:pPr>
        <w:pStyle w:val="Adresse"/>
        <w:rPr>
          <w:rFonts w:ascii="Corbel" w:hAnsi="Corbel"/>
          <w:b/>
          <w:color w:val="365F91"/>
          <w:sz w:val="22"/>
          <w:szCs w:val="22"/>
        </w:rPr>
      </w:pPr>
    </w:p>
    <w:p w14:paraId="49A84492" w14:textId="77777777" w:rsidR="005601D4" w:rsidRPr="006213EC" w:rsidRDefault="005601D4" w:rsidP="005601D4">
      <w:pPr>
        <w:pStyle w:val="Adresse"/>
        <w:rPr>
          <w:rFonts w:ascii="Corbel" w:hAnsi="Corbel"/>
          <w:sz w:val="22"/>
          <w:szCs w:val="22"/>
        </w:rPr>
      </w:pPr>
    </w:p>
    <w:p w14:paraId="575B74B9" w14:textId="77777777" w:rsidR="005601D4" w:rsidRPr="006213EC" w:rsidRDefault="005601D4" w:rsidP="005601D4">
      <w:pPr>
        <w:pStyle w:val="Adresse"/>
        <w:rPr>
          <w:rFonts w:ascii="Corbel" w:hAnsi="Corbel"/>
          <w:sz w:val="22"/>
          <w:szCs w:val="22"/>
        </w:rPr>
      </w:pPr>
      <w:r w:rsidRPr="006213EC">
        <w:rPr>
          <w:rFonts w:ascii="Corbel" w:hAnsi="Corbel"/>
          <w:sz w:val="22"/>
        </w:rPr>
        <w:t>Société modèle SA</w:t>
      </w:r>
    </w:p>
    <w:p w14:paraId="6A99B552" w14:textId="77777777" w:rsidR="005601D4" w:rsidRPr="006213EC" w:rsidRDefault="005601D4" w:rsidP="005601D4">
      <w:pPr>
        <w:pStyle w:val="Adresse"/>
        <w:rPr>
          <w:rFonts w:ascii="Corbel" w:hAnsi="Corbel"/>
          <w:sz w:val="22"/>
          <w:szCs w:val="22"/>
        </w:rPr>
      </w:pPr>
      <w:r w:rsidRPr="006213EC">
        <w:rPr>
          <w:rFonts w:ascii="Corbel" w:hAnsi="Corbel"/>
          <w:sz w:val="22"/>
        </w:rPr>
        <w:t>Responsable de la qualité</w:t>
      </w:r>
    </w:p>
    <w:p w14:paraId="25CDFC02" w14:textId="77777777" w:rsidR="005601D4" w:rsidRPr="006213EC" w:rsidRDefault="005601D4" w:rsidP="005601D4">
      <w:pPr>
        <w:pStyle w:val="Adresse"/>
        <w:rPr>
          <w:rFonts w:ascii="Corbel" w:hAnsi="Corbel"/>
          <w:sz w:val="22"/>
          <w:szCs w:val="22"/>
        </w:rPr>
      </w:pPr>
      <w:r w:rsidRPr="006213EC">
        <w:rPr>
          <w:rFonts w:ascii="Corbel" w:hAnsi="Corbel"/>
          <w:sz w:val="22"/>
        </w:rPr>
        <w:t>Rue modèle 1</w:t>
      </w:r>
    </w:p>
    <w:p w14:paraId="6A499DCF" w14:textId="77777777" w:rsidR="005601D4" w:rsidRPr="006213EC" w:rsidRDefault="005601D4" w:rsidP="005601D4">
      <w:pPr>
        <w:pStyle w:val="Adresse"/>
        <w:rPr>
          <w:rFonts w:ascii="Corbel" w:hAnsi="Corbel"/>
          <w:sz w:val="22"/>
          <w:szCs w:val="22"/>
        </w:rPr>
      </w:pPr>
      <w:r w:rsidRPr="006213EC">
        <w:rPr>
          <w:rFonts w:ascii="Corbel" w:hAnsi="Corbel"/>
          <w:sz w:val="22"/>
        </w:rPr>
        <w:t>NPA lieu</w:t>
      </w:r>
    </w:p>
    <w:p w14:paraId="2537FA2C" w14:textId="77777777" w:rsidR="005601D4" w:rsidRPr="006213EC" w:rsidRDefault="005601D4" w:rsidP="005601D4">
      <w:pPr>
        <w:pStyle w:val="Adresse"/>
        <w:rPr>
          <w:rFonts w:ascii="Corbel" w:hAnsi="Corbel"/>
          <w:sz w:val="22"/>
          <w:szCs w:val="22"/>
        </w:rPr>
      </w:pPr>
    </w:p>
    <w:p w14:paraId="6F853A01" w14:textId="77777777" w:rsidR="005601D4" w:rsidRPr="006213EC" w:rsidRDefault="005601D4" w:rsidP="005601D4">
      <w:pPr>
        <w:pStyle w:val="Adresse"/>
        <w:rPr>
          <w:rFonts w:ascii="Corbel" w:hAnsi="Corbel"/>
          <w:sz w:val="22"/>
          <w:szCs w:val="22"/>
        </w:rPr>
      </w:pPr>
    </w:p>
    <w:p w14:paraId="650F3844" w14:textId="77777777" w:rsidR="005601D4" w:rsidRPr="006213EC" w:rsidRDefault="005601D4" w:rsidP="005601D4">
      <w:pPr>
        <w:pStyle w:val="Adresse"/>
        <w:rPr>
          <w:rFonts w:ascii="Corbel" w:hAnsi="Corbel"/>
          <w:sz w:val="22"/>
          <w:szCs w:val="22"/>
        </w:rPr>
      </w:pPr>
    </w:p>
    <w:p w14:paraId="13EE64F1" w14:textId="77777777" w:rsidR="005601D4" w:rsidRPr="006213EC" w:rsidRDefault="005601D4" w:rsidP="005601D4">
      <w:pPr>
        <w:pStyle w:val="Datum"/>
        <w:rPr>
          <w:rFonts w:ascii="Corbel" w:hAnsi="Corbel"/>
          <w:sz w:val="22"/>
          <w:szCs w:val="22"/>
          <w:lang w:val="fr-CH"/>
        </w:rPr>
      </w:pPr>
      <w:r w:rsidRPr="006213EC">
        <w:rPr>
          <w:rFonts w:ascii="Corbel" w:hAnsi="Corbel"/>
          <w:sz w:val="22"/>
          <w:lang w:val="fr-CH"/>
        </w:rPr>
        <w:t>Lieu modèle, date</w:t>
      </w:r>
    </w:p>
    <w:p w14:paraId="3BA33C08" w14:textId="77777777" w:rsidR="005601D4" w:rsidRPr="006213EC" w:rsidRDefault="005601D4" w:rsidP="005601D4">
      <w:pPr>
        <w:pStyle w:val="Text"/>
        <w:rPr>
          <w:rFonts w:ascii="Corbel" w:hAnsi="Corbel"/>
          <w:sz w:val="22"/>
          <w:szCs w:val="22"/>
        </w:rPr>
      </w:pPr>
    </w:p>
    <w:p w14:paraId="0042C784" w14:textId="77777777" w:rsidR="005601D4" w:rsidRPr="006213EC" w:rsidRDefault="005601D4" w:rsidP="005601D4">
      <w:pPr>
        <w:pStyle w:val="Text"/>
        <w:rPr>
          <w:rFonts w:ascii="Corbel" w:hAnsi="Corbel"/>
          <w:sz w:val="22"/>
          <w:szCs w:val="22"/>
        </w:rPr>
      </w:pPr>
    </w:p>
    <w:p w14:paraId="1CECC6CE" w14:textId="77777777" w:rsidR="005601D4" w:rsidRPr="006213EC" w:rsidRDefault="005601D4" w:rsidP="005601D4">
      <w:pPr>
        <w:pStyle w:val="Betreff"/>
        <w:rPr>
          <w:rFonts w:ascii="Corbel" w:hAnsi="Corbel"/>
          <w:sz w:val="22"/>
          <w:szCs w:val="22"/>
        </w:rPr>
      </w:pPr>
      <w:r w:rsidRPr="006213EC">
        <w:rPr>
          <w:rFonts w:ascii="Corbel" w:hAnsi="Corbel"/>
          <w:sz w:val="22"/>
        </w:rPr>
        <w:t>Rapport sur la surveillance interne exécutée</w:t>
      </w:r>
    </w:p>
    <w:p w14:paraId="42939AFD" w14:textId="77777777" w:rsidR="005601D4" w:rsidRPr="006213EC" w:rsidRDefault="005601D4" w:rsidP="005601D4">
      <w:pPr>
        <w:rPr>
          <w:rFonts w:ascii="Corbel" w:hAnsi="Corbel" w:cs="Arial"/>
          <w:sz w:val="22"/>
          <w:szCs w:val="22"/>
          <w:lang w:val="fr-CH"/>
        </w:rPr>
      </w:pPr>
    </w:p>
    <w:p w14:paraId="33ADAF15" w14:textId="77777777" w:rsidR="005601D4" w:rsidRPr="006213EC" w:rsidRDefault="005601D4" w:rsidP="005601D4">
      <w:pPr>
        <w:pStyle w:val="Text"/>
        <w:rPr>
          <w:rFonts w:ascii="Corbel" w:hAnsi="Corbel"/>
          <w:sz w:val="22"/>
          <w:szCs w:val="22"/>
        </w:rPr>
      </w:pPr>
      <w:r w:rsidRPr="006213EC">
        <w:rPr>
          <w:rFonts w:ascii="Corbel" w:hAnsi="Corbel"/>
          <w:sz w:val="22"/>
        </w:rPr>
        <w:t>Madame, Monsieur,</w:t>
      </w:r>
    </w:p>
    <w:p w14:paraId="292283EF" w14:textId="77777777" w:rsidR="005601D4" w:rsidRPr="006213EC" w:rsidRDefault="005601D4" w:rsidP="005601D4">
      <w:pPr>
        <w:pStyle w:val="Text"/>
        <w:rPr>
          <w:rFonts w:ascii="Corbel" w:hAnsi="Corbel"/>
          <w:sz w:val="22"/>
          <w:szCs w:val="22"/>
        </w:rPr>
      </w:pPr>
    </w:p>
    <w:p w14:paraId="2C2C305B" w14:textId="77777777" w:rsidR="005601D4" w:rsidRPr="006213EC" w:rsidRDefault="005601D4" w:rsidP="005601D4">
      <w:pPr>
        <w:pStyle w:val="Text"/>
        <w:rPr>
          <w:rFonts w:ascii="Corbel" w:hAnsi="Corbel"/>
          <w:sz w:val="22"/>
          <w:szCs w:val="22"/>
        </w:rPr>
      </w:pPr>
      <w:r w:rsidRPr="006213EC">
        <w:rPr>
          <w:rFonts w:ascii="Corbel" w:hAnsi="Corbel"/>
          <w:sz w:val="22"/>
        </w:rPr>
        <w:t xml:space="preserve">Conformément au mandat, nous avons exécuté une surveillance interne de l’entreprise de révision et fiduciaire SA (ci-après dénommée entreprise). La surveillance interne a été </w:t>
      </w:r>
      <w:r w:rsidRPr="00E93447">
        <w:rPr>
          <w:rFonts w:ascii="Corbel" w:hAnsi="Corbel"/>
          <w:sz w:val="22"/>
        </w:rPr>
        <w:t>exécutée par .......... (Nom), expert(e)-comptable diplômé(e), expert(e)-réviseur agréé(e) (n</w:t>
      </w:r>
      <w:r w:rsidRPr="00E93447">
        <w:rPr>
          <w:rFonts w:ascii="Corbel" w:hAnsi="Corbel"/>
          <w:sz w:val="22"/>
          <w:vertAlign w:val="superscript"/>
        </w:rPr>
        <w:t>o</w:t>
      </w:r>
      <w:r w:rsidRPr="00E93447">
        <w:rPr>
          <w:rFonts w:ascii="Corbel" w:hAnsi="Corbel"/>
          <w:sz w:val="22"/>
        </w:rPr>
        <w:t xml:space="preserve"> de registre ASR : xxxxxx).</w:t>
      </w:r>
    </w:p>
    <w:p w14:paraId="3647E64E" w14:textId="77777777" w:rsidR="005601D4" w:rsidRPr="006213EC" w:rsidRDefault="005601D4" w:rsidP="005601D4">
      <w:pPr>
        <w:pStyle w:val="Text"/>
        <w:rPr>
          <w:rFonts w:ascii="Corbel" w:hAnsi="Corbel"/>
          <w:sz w:val="22"/>
          <w:szCs w:val="22"/>
        </w:rPr>
      </w:pPr>
    </w:p>
    <w:p w14:paraId="7F5B109B" w14:textId="77777777" w:rsidR="005601D4" w:rsidRPr="006213EC" w:rsidRDefault="005601D4" w:rsidP="005601D4">
      <w:pPr>
        <w:pStyle w:val="Text"/>
        <w:rPr>
          <w:rFonts w:ascii="Corbel" w:hAnsi="Corbel"/>
          <w:sz w:val="22"/>
          <w:szCs w:val="22"/>
        </w:rPr>
      </w:pPr>
      <w:r w:rsidRPr="006213EC">
        <w:rPr>
          <w:rFonts w:ascii="Corbel" w:hAnsi="Corbel"/>
          <w:sz w:val="22"/>
        </w:rPr>
        <w:t>La surveillance a été exécutée conformément aux directives relatives à l’assurance-qualité pour les petites et moyennes entreprises de révision. L’application et le respect de l’obligation de pratiquer une assurance-qualité lors de la réalisation d’audits et de revues de contrôle ont été l’objet de ma surveillance. Ce rapport a pour objectif d’informer les personnes compétentes et les responsables de la qualité sur la surveillance exécutée et ses résultats.</w:t>
      </w:r>
    </w:p>
    <w:p w14:paraId="6398F514" w14:textId="77777777" w:rsidR="005601D4" w:rsidRPr="006213EC" w:rsidRDefault="005601D4" w:rsidP="005601D4">
      <w:pPr>
        <w:pStyle w:val="KeinLeerraum"/>
        <w:rPr>
          <w:rFonts w:ascii="Corbel" w:hAnsi="Corbel"/>
          <w:b/>
          <w:sz w:val="22"/>
          <w:szCs w:val="22"/>
        </w:rPr>
      </w:pPr>
      <w:bookmarkStart w:id="23" w:name="_Toc141092104"/>
    </w:p>
    <w:p w14:paraId="7DFEFA52" w14:textId="77777777" w:rsidR="005601D4" w:rsidRPr="006213EC" w:rsidRDefault="005601D4" w:rsidP="005601D4">
      <w:pPr>
        <w:pStyle w:val="KeinLeerraum"/>
        <w:numPr>
          <w:ilvl w:val="0"/>
          <w:numId w:val="28"/>
        </w:numPr>
        <w:rPr>
          <w:rFonts w:ascii="Corbel" w:hAnsi="Corbel"/>
          <w:b/>
          <w:sz w:val="24"/>
          <w:szCs w:val="24"/>
        </w:rPr>
      </w:pPr>
      <w:r w:rsidRPr="006213EC">
        <w:rPr>
          <w:rFonts w:ascii="Corbel" w:hAnsi="Corbel"/>
          <w:b/>
          <w:sz w:val="24"/>
        </w:rPr>
        <w:t>Responsabilité</w:t>
      </w:r>
      <w:bookmarkEnd w:id="23"/>
    </w:p>
    <w:p w14:paraId="39D617DF" w14:textId="77777777" w:rsidR="005601D4" w:rsidRPr="006213EC" w:rsidRDefault="005601D4" w:rsidP="005601D4">
      <w:pPr>
        <w:pStyle w:val="Text"/>
        <w:spacing w:before="120" w:after="120"/>
        <w:rPr>
          <w:rFonts w:ascii="Corbel" w:hAnsi="Corbel"/>
          <w:sz w:val="22"/>
          <w:szCs w:val="22"/>
        </w:rPr>
      </w:pPr>
      <w:r w:rsidRPr="006213EC">
        <w:rPr>
          <w:rFonts w:ascii="Corbel" w:hAnsi="Corbel"/>
          <w:sz w:val="22"/>
        </w:rPr>
        <w:t>Nous avons été chargés d’effectuer une surveillance interne des réglementations et mesures prises par l’entreprise en matière d’assurance qualité, y compris une revue du manuel de contrôle qualité et des dossiers. Dans les cas où l’entreprise de révision emploie plusieurs réviseurs principaux, chacun des réviseurs principaux sera pris en compte pour le processus de surveillance interne tous les trois ans au plus tard. L’entreprise de révision est responsable du respect de ce « cycle triennal ».</w:t>
      </w:r>
    </w:p>
    <w:p w14:paraId="655E980E" w14:textId="77777777" w:rsidR="005601D4" w:rsidRPr="006213EC" w:rsidRDefault="005601D4" w:rsidP="005601D4">
      <w:pPr>
        <w:pStyle w:val="Text"/>
        <w:spacing w:before="120" w:after="120"/>
        <w:rPr>
          <w:rFonts w:ascii="Corbel" w:hAnsi="Corbel"/>
          <w:sz w:val="22"/>
          <w:szCs w:val="22"/>
        </w:rPr>
      </w:pPr>
      <w:r w:rsidRPr="006213EC">
        <w:rPr>
          <w:rFonts w:ascii="Corbel" w:hAnsi="Corbel"/>
          <w:sz w:val="22"/>
        </w:rPr>
        <w:t>La responsabilité du système d’assurance qualité de l’entreprise doit être confiée à un partenaire ou à une autre personne disposant de la qualification, de l’expérience et de l’autorité requises.</w:t>
      </w:r>
    </w:p>
    <w:p w14:paraId="78FC4D50" w14:textId="77777777" w:rsidR="005601D4" w:rsidRPr="006213EC" w:rsidRDefault="005601D4" w:rsidP="005601D4">
      <w:pPr>
        <w:pStyle w:val="Text"/>
        <w:spacing w:before="120" w:after="120"/>
        <w:rPr>
          <w:rFonts w:ascii="Corbel" w:hAnsi="Corbel"/>
          <w:sz w:val="22"/>
        </w:rPr>
      </w:pPr>
      <w:r w:rsidRPr="006213EC">
        <w:rPr>
          <w:rFonts w:ascii="Corbel" w:hAnsi="Corbel"/>
          <w:sz w:val="22"/>
        </w:rPr>
        <w:t>La surveillance interne comprend principalement des questions et – selon le thème du contrôle – des actes d’audit adéquats. Nos audits sont effectués au hasard, si bien que nous ne garantissons pas l’exhaustivité des constatations.</w:t>
      </w:r>
    </w:p>
    <w:p w14:paraId="022EFC6A" w14:textId="77777777" w:rsidR="005601D4" w:rsidRPr="006213EC" w:rsidRDefault="005601D4" w:rsidP="005601D4">
      <w:pPr>
        <w:pStyle w:val="Text"/>
        <w:spacing w:before="120" w:after="120"/>
        <w:rPr>
          <w:rFonts w:ascii="Corbel" w:hAnsi="Corbel"/>
          <w:sz w:val="22"/>
          <w:szCs w:val="22"/>
        </w:rPr>
      </w:pPr>
    </w:p>
    <w:p w14:paraId="5F9615D8" w14:textId="77777777" w:rsidR="005601D4" w:rsidRPr="006213EC" w:rsidRDefault="005601D4" w:rsidP="005601D4">
      <w:pPr>
        <w:pStyle w:val="KeinLeerraum"/>
        <w:numPr>
          <w:ilvl w:val="0"/>
          <w:numId w:val="28"/>
        </w:numPr>
        <w:spacing w:line="360" w:lineRule="auto"/>
        <w:rPr>
          <w:rFonts w:ascii="Corbel" w:hAnsi="Corbel"/>
          <w:b/>
          <w:sz w:val="24"/>
          <w:szCs w:val="24"/>
        </w:rPr>
      </w:pPr>
      <w:bookmarkStart w:id="24" w:name="_Toc141092105"/>
      <w:r w:rsidRPr="006213EC">
        <w:rPr>
          <w:rFonts w:ascii="Corbel" w:hAnsi="Corbel"/>
          <w:b/>
          <w:sz w:val="24"/>
        </w:rPr>
        <w:t>Travaux de surveillance exécutés</w:t>
      </w:r>
      <w:bookmarkEnd w:id="24"/>
    </w:p>
    <w:p w14:paraId="1BD0E72D" w14:textId="77777777" w:rsidR="005601D4" w:rsidRPr="006213EC" w:rsidRDefault="005601D4" w:rsidP="005601D4">
      <w:pPr>
        <w:pStyle w:val="KeinLeerraum"/>
        <w:numPr>
          <w:ilvl w:val="1"/>
          <w:numId w:val="28"/>
        </w:numPr>
        <w:rPr>
          <w:rFonts w:ascii="Corbel" w:hAnsi="Corbel"/>
          <w:b/>
          <w:sz w:val="22"/>
          <w:szCs w:val="22"/>
        </w:rPr>
      </w:pPr>
      <w:bookmarkStart w:id="25" w:name="_Toc141092106"/>
      <w:r w:rsidRPr="006213EC">
        <w:rPr>
          <w:rFonts w:ascii="Corbel" w:hAnsi="Corbel"/>
          <w:b/>
          <w:sz w:val="22"/>
        </w:rPr>
        <w:t>Période</w:t>
      </w:r>
      <w:bookmarkEnd w:id="25"/>
    </w:p>
    <w:p w14:paraId="38415C73" w14:textId="77777777" w:rsidR="005601D4" w:rsidRPr="006213EC" w:rsidRDefault="005601D4" w:rsidP="005601D4">
      <w:pPr>
        <w:pStyle w:val="Text"/>
        <w:spacing w:before="120" w:after="120"/>
        <w:rPr>
          <w:rFonts w:ascii="Corbel" w:eastAsiaTheme="majorEastAsia" w:hAnsi="Corbel"/>
          <w:b/>
        </w:rPr>
      </w:pPr>
      <w:bookmarkStart w:id="26" w:name="_Hlk73354713"/>
      <w:r w:rsidRPr="006213EC">
        <w:rPr>
          <w:rFonts w:ascii="Corbel" w:hAnsi="Corbel"/>
          <w:sz w:val="22"/>
        </w:rPr>
        <w:t>La surveillance a eu lieu le 18 décembre 2022. Le contrôle porte sur la période du 1</w:t>
      </w:r>
      <w:r w:rsidRPr="006213EC">
        <w:rPr>
          <w:rFonts w:ascii="Corbel" w:hAnsi="Corbel"/>
          <w:sz w:val="22"/>
          <w:vertAlign w:val="superscript"/>
        </w:rPr>
        <w:t>er</w:t>
      </w:r>
      <w:r w:rsidRPr="006213EC">
        <w:rPr>
          <w:rFonts w:ascii="Corbel" w:hAnsi="Corbel"/>
          <w:sz w:val="22"/>
        </w:rPr>
        <w:t> janvier 2022 au 31 décembre 2022. Le mandat de révision dont la date du bilan est le 31 décembre 2021 a été contrôlé en l’an 2022</w:t>
      </w:r>
      <w:bookmarkEnd w:id="26"/>
      <w:r w:rsidRPr="006213EC">
        <w:rPr>
          <w:rFonts w:ascii="Corbel" w:hAnsi="Corbel"/>
          <w:sz w:val="22"/>
        </w:rPr>
        <w:t>.</w:t>
      </w:r>
      <w:r w:rsidRPr="006213EC">
        <w:rPr>
          <w:rFonts w:ascii="Corbel" w:hAnsi="Corbel"/>
        </w:rPr>
        <w:br w:type="page"/>
      </w:r>
    </w:p>
    <w:p w14:paraId="3E847CF9" w14:textId="77777777" w:rsidR="005601D4" w:rsidRPr="006213EC" w:rsidRDefault="005601D4" w:rsidP="005601D4">
      <w:pPr>
        <w:pStyle w:val="KeinLeerraum"/>
        <w:numPr>
          <w:ilvl w:val="1"/>
          <w:numId w:val="28"/>
        </w:numPr>
        <w:spacing w:line="360" w:lineRule="auto"/>
        <w:rPr>
          <w:rFonts w:ascii="Corbel" w:hAnsi="Corbel"/>
          <w:b/>
          <w:sz w:val="22"/>
          <w:szCs w:val="22"/>
        </w:rPr>
      </w:pPr>
      <w:bookmarkStart w:id="27" w:name="_Toc141092107"/>
      <w:r w:rsidRPr="006213EC">
        <w:rPr>
          <w:rFonts w:ascii="Corbel" w:hAnsi="Corbel"/>
          <w:b/>
          <w:sz w:val="22"/>
        </w:rPr>
        <w:lastRenderedPageBreak/>
        <w:t>Domaines vérifiés de l’organisation générale de l’entreprise</w:t>
      </w:r>
      <w:bookmarkEnd w:id="27"/>
    </w:p>
    <w:p w14:paraId="7BBB2416" w14:textId="77777777" w:rsidR="005601D4" w:rsidRPr="006213EC" w:rsidRDefault="005601D4" w:rsidP="005601D4">
      <w:pPr>
        <w:pStyle w:val="Text"/>
        <w:numPr>
          <w:ilvl w:val="0"/>
          <w:numId w:val="29"/>
        </w:numPr>
        <w:spacing w:before="60" w:after="60"/>
        <w:ind w:left="357" w:hanging="357"/>
        <w:rPr>
          <w:rFonts w:ascii="Corbel" w:hAnsi="Corbel"/>
          <w:sz w:val="22"/>
          <w:szCs w:val="22"/>
        </w:rPr>
      </w:pPr>
      <w:r w:rsidRPr="006213EC">
        <w:rPr>
          <w:rFonts w:ascii="Corbel" w:hAnsi="Corbel"/>
          <w:sz w:val="22"/>
        </w:rPr>
        <w:t>Questions concernant le choix et la responsabilité du responsable AQ</w:t>
      </w:r>
    </w:p>
    <w:p w14:paraId="556452B5" w14:textId="77777777" w:rsidR="005601D4" w:rsidRPr="006213EC" w:rsidRDefault="005601D4" w:rsidP="005601D4">
      <w:pPr>
        <w:pStyle w:val="Text"/>
        <w:numPr>
          <w:ilvl w:val="0"/>
          <w:numId w:val="29"/>
        </w:numPr>
        <w:spacing w:before="60" w:after="60"/>
        <w:ind w:left="357" w:hanging="357"/>
        <w:rPr>
          <w:rFonts w:ascii="Corbel" w:hAnsi="Corbel"/>
          <w:sz w:val="22"/>
          <w:szCs w:val="22"/>
        </w:rPr>
      </w:pPr>
      <w:r w:rsidRPr="006213EC">
        <w:rPr>
          <w:rFonts w:ascii="Corbel" w:hAnsi="Corbel"/>
          <w:sz w:val="22"/>
        </w:rPr>
        <w:t>Manuel d’assurance qualité : existence et actualité</w:t>
      </w:r>
    </w:p>
    <w:p w14:paraId="04C5C732" w14:textId="77777777" w:rsidR="005601D4" w:rsidRPr="006213EC" w:rsidRDefault="005601D4" w:rsidP="005601D4">
      <w:pPr>
        <w:pStyle w:val="Text"/>
        <w:numPr>
          <w:ilvl w:val="0"/>
          <w:numId w:val="29"/>
        </w:numPr>
        <w:spacing w:before="60" w:after="60"/>
        <w:ind w:left="357" w:hanging="357"/>
        <w:rPr>
          <w:rFonts w:ascii="Corbel" w:hAnsi="Corbel"/>
          <w:sz w:val="22"/>
          <w:szCs w:val="22"/>
        </w:rPr>
      </w:pPr>
      <w:r w:rsidRPr="006213EC">
        <w:rPr>
          <w:rFonts w:ascii="Corbel" w:hAnsi="Corbel"/>
          <w:sz w:val="22"/>
        </w:rPr>
        <w:t>Organigramme : existence et actualité</w:t>
      </w:r>
    </w:p>
    <w:p w14:paraId="327769AF" w14:textId="77777777" w:rsidR="005601D4" w:rsidRPr="006213EC" w:rsidRDefault="005601D4" w:rsidP="005601D4">
      <w:pPr>
        <w:pStyle w:val="Text"/>
        <w:numPr>
          <w:ilvl w:val="0"/>
          <w:numId w:val="29"/>
        </w:numPr>
        <w:spacing w:before="60" w:after="60"/>
        <w:ind w:left="357" w:hanging="357"/>
        <w:rPr>
          <w:rFonts w:ascii="Corbel" w:hAnsi="Corbel"/>
          <w:sz w:val="22"/>
          <w:szCs w:val="22"/>
        </w:rPr>
      </w:pPr>
      <w:r w:rsidRPr="006213EC">
        <w:rPr>
          <w:rFonts w:ascii="Corbel" w:hAnsi="Corbel"/>
          <w:sz w:val="22"/>
        </w:rPr>
        <w:t>Liste des mandats de révision : existence, intégralité et actualité</w:t>
      </w:r>
    </w:p>
    <w:p w14:paraId="2A1E31F9" w14:textId="77777777" w:rsidR="005601D4" w:rsidRPr="006213EC" w:rsidRDefault="005601D4" w:rsidP="005601D4">
      <w:pPr>
        <w:pStyle w:val="Text"/>
        <w:numPr>
          <w:ilvl w:val="0"/>
          <w:numId w:val="29"/>
        </w:numPr>
        <w:spacing w:before="60" w:after="60"/>
        <w:ind w:left="357" w:hanging="357"/>
        <w:rPr>
          <w:rFonts w:ascii="Corbel" w:hAnsi="Corbel"/>
          <w:sz w:val="22"/>
          <w:szCs w:val="22"/>
        </w:rPr>
      </w:pPr>
      <w:r w:rsidRPr="006213EC">
        <w:rPr>
          <w:rFonts w:ascii="Corbel" w:hAnsi="Corbel"/>
          <w:sz w:val="22"/>
        </w:rPr>
        <w:t>Documentation des contrôles de formation continue : existence et actualité</w:t>
      </w:r>
    </w:p>
    <w:p w14:paraId="636FD74D" w14:textId="77777777" w:rsidR="005601D4" w:rsidRPr="006213EC" w:rsidRDefault="005601D4" w:rsidP="005601D4">
      <w:pPr>
        <w:pStyle w:val="Text"/>
        <w:numPr>
          <w:ilvl w:val="0"/>
          <w:numId w:val="29"/>
        </w:numPr>
        <w:spacing w:before="60" w:after="60" w:line="360" w:lineRule="auto"/>
        <w:ind w:left="357" w:hanging="357"/>
        <w:rPr>
          <w:rFonts w:ascii="Corbel" w:hAnsi="Corbel"/>
          <w:sz w:val="22"/>
          <w:szCs w:val="22"/>
        </w:rPr>
      </w:pPr>
      <w:r w:rsidRPr="006213EC">
        <w:rPr>
          <w:rFonts w:ascii="Corbel" w:hAnsi="Corbel"/>
          <w:sz w:val="22"/>
        </w:rPr>
        <w:t>Déclarations d’indépendance : existence et documentation des contrôles</w:t>
      </w:r>
    </w:p>
    <w:p w14:paraId="54A38781" w14:textId="77777777" w:rsidR="005601D4" w:rsidRPr="006213EC" w:rsidRDefault="005601D4" w:rsidP="005601D4">
      <w:pPr>
        <w:pStyle w:val="KeinLeerraum"/>
        <w:numPr>
          <w:ilvl w:val="1"/>
          <w:numId w:val="28"/>
        </w:numPr>
        <w:spacing w:line="360" w:lineRule="auto"/>
        <w:rPr>
          <w:rFonts w:ascii="Corbel" w:hAnsi="Corbel"/>
          <w:b/>
          <w:sz w:val="22"/>
          <w:szCs w:val="22"/>
        </w:rPr>
      </w:pPr>
      <w:bookmarkStart w:id="28" w:name="_Toc141092108"/>
      <w:r w:rsidRPr="006213EC">
        <w:rPr>
          <w:rFonts w:ascii="Corbel" w:hAnsi="Corbel"/>
          <w:b/>
          <w:sz w:val="22"/>
        </w:rPr>
        <w:t>Description de l’étendue du contrôle de mandat effectué</w:t>
      </w:r>
      <w:bookmarkEnd w:id="28"/>
    </w:p>
    <w:p w14:paraId="2092343C" w14:textId="77777777" w:rsidR="005601D4" w:rsidRPr="006213EC" w:rsidRDefault="005601D4" w:rsidP="005601D4">
      <w:pPr>
        <w:pStyle w:val="Text"/>
        <w:spacing w:before="120" w:after="120"/>
        <w:rPr>
          <w:rFonts w:ascii="Corbel" w:hAnsi="Corbel"/>
          <w:sz w:val="22"/>
          <w:szCs w:val="22"/>
        </w:rPr>
      </w:pPr>
      <w:r w:rsidRPr="006213EC">
        <w:rPr>
          <w:rFonts w:ascii="Corbel" w:hAnsi="Corbel"/>
          <w:sz w:val="22"/>
        </w:rPr>
        <w:t>Le contrôle de mandat a été effectué sur la base de la liste actuelle des mandats de révision. Le choix du mandat de révision s’effectue suivant une approche axée sur les risques, qui est définie par l’entreprise de révision. Le ou les mandat(s) de révision est/sont choisi(s) de manière aléatoire en fonction de ces informations.</w:t>
      </w:r>
    </w:p>
    <w:p w14:paraId="23EAA981" w14:textId="77777777" w:rsidR="005601D4" w:rsidRPr="006213EC" w:rsidRDefault="005601D4" w:rsidP="005601D4">
      <w:pPr>
        <w:pStyle w:val="Text"/>
        <w:spacing w:before="120" w:after="120"/>
        <w:rPr>
          <w:rFonts w:ascii="Corbel" w:hAnsi="Corbel"/>
          <w:sz w:val="22"/>
        </w:rPr>
      </w:pPr>
      <w:r w:rsidRPr="006213EC">
        <w:rPr>
          <w:rFonts w:ascii="Corbel" w:hAnsi="Corbel"/>
          <w:sz w:val="22"/>
        </w:rPr>
        <w:t>L’objectif du/des contrôle(s) de mandat effectué(s) est de déterminer si les standards qualité de la pratique ont été respectés durant la période de référence contrôlée.</w:t>
      </w:r>
    </w:p>
    <w:p w14:paraId="7C758D2E" w14:textId="77777777" w:rsidR="005601D4" w:rsidRPr="006213EC" w:rsidRDefault="005601D4" w:rsidP="005601D4">
      <w:pPr>
        <w:pStyle w:val="Text"/>
        <w:spacing w:before="120" w:after="120"/>
        <w:rPr>
          <w:rFonts w:ascii="Corbel" w:hAnsi="Corbel"/>
          <w:sz w:val="22"/>
          <w:szCs w:val="22"/>
        </w:rPr>
      </w:pPr>
    </w:p>
    <w:p w14:paraId="44B61D50" w14:textId="77777777" w:rsidR="005601D4" w:rsidRPr="006213EC" w:rsidRDefault="005601D4" w:rsidP="005601D4">
      <w:pPr>
        <w:pStyle w:val="KeinLeerraum"/>
        <w:numPr>
          <w:ilvl w:val="0"/>
          <w:numId w:val="28"/>
        </w:numPr>
        <w:spacing w:line="360" w:lineRule="auto"/>
        <w:rPr>
          <w:rFonts w:ascii="Corbel" w:hAnsi="Corbel"/>
          <w:b/>
          <w:sz w:val="24"/>
          <w:szCs w:val="24"/>
        </w:rPr>
      </w:pPr>
      <w:bookmarkStart w:id="29" w:name="_Toc141092109"/>
      <w:r w:rsidRPr="006213EC">
        <w:rPr>
          <w:rFonts w:ascii="Corbel" w:hAnsi="Corbel"/>
          <w:b/>
          <w:sz w:val="24"/>
        </w:rPr>
        <w:t>Constatations</w:t>
      </w:r>
      <w:bookmarkEnd w:id="29"/>
    </w:p>
    <w:p w14:paraId="198F6CCB" w14:textId="77777777" w:rsidR="005601D4" w:rsidRPr="006213EC" w:rsidRDefault="005601D4" w:rsidP="005601D4">
      <w:pPr>
        <w:pStyle w:val="KeinLeerraum"/>
        <w:numPr>
          <w:ilvl w:val="1"/>
          <w:numId w:val="28"/>
        </w:numPr>
        <w:rPr>
          <w:rFonts w:ascii="Corbel" w:hAnsi="Corbel"/>
          <w:b/>
          <w:sz w:val="22"/>
          <w:szCs w:val="22"/>
        </w:rPr>
      </w:pPr>
      <w:bookmarkStart w:id="30" w:name="_Toc141092110"/>
      <w:r w:rsidRPr="006213EC">
        <w:rPr>
          <w:rFonts w:ascii="Corbel" w:hAnsi="Corbel"/>
          <w:b/>
          <w:sz w:val="22"/>
        </w:rPr>
        <w:t>Erreurs et lacunes importantes constatées dans le système d’assurance qualité au niveau de l’entreprise et recommandations supplémentaires</w:t>
      </w:r>
      <w:bookmarkEnd w:id="30"/>
    </w:p>
    <w:p w14:paraId="2E4D5C59" w14:textId="77777777" w:rsidR="005601D4" w:rsidRPr="006213EC" w:rsidRDefault="005601D4" w:rsidP="005601D4">
      <w:pPr>
        <w:pStyle w:val="KeinLeerraum"/>
        <w:ind w:left="792"/>
        <w:rPr>
          <w:rFonts w:ascii="Corbel" w:hAnsi="Corbel"/>
          <w:b/>
          <w:sz w:val="22"/>
          <w:szCs w:val="22"/>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22"/>
        <w:gridCol w:w="2693"/>
        <w:gridCol w:w="1134"/>
        <w:gridCol w:w="1484"/>
        <w:gridCol w:w="1351"/>
      </w:tblGrid>
      <w:tr w:rsidR="005601D4" w:rsidRPr="006213EC" w14:paraId="0099ED06" w14:textId="77777777" w:rsidTr="005601D4">
        <w:tc>
          <w:tcPr>
            <w:tcW w:w="2622" w:type="dxa"/>
            <w:tcBorders>
              <w:top w:val="single" w:sz="4" w:space="0" w:color="auto"/>
              <w:left w:val="single" w:sz="4" w:space="0" w:color="auto"/>
              <w:bottom w:val="single" w:sz="4" w:space="0" w:color="auto"/>
              <w:right w:val="single" w:sz="4" w:space="0" w:color="auto"/>
            </w:tcBorders>
            <w:hideMark/>
          </w:tcPr>
          <w:p w14:paraId="68DC8970" w14:textId="77777777" w:rsidR="005601D4" w:rsidRPr="006213EC" w:rsidRDefault="005601D4">
            <w:pPr>
              <w:spacing w:before="120"/>
              <w:rPr>
                <w:rFonts w:ascii="Corbel" w:hAnsi="Corbel" w:cs="Arial"/>
                <w:b/>
                <w:bCs/>
                <w:sz w:val="22"/>
                <w:szCs w:val="22"/>
                <w:lang w:val="fr-CH"/>
              </w:rPr>
            </w:pPr>
            <w:r w:rsidRPr="006213EC">
              <w:rPr>
                <w:rFonts w:ascii="Corbel" w:hAnsi="Corbel"/>
                <w:b/>
                <w:sz w:val="22"/>
                <w:lang w:val="fr-CH"/>
              </w:rPr>
              <w:t>Constatation</w:t>
            </w:r>
          </w:p>
        </w:tc>
        <w:tc>
          <w:tcPr>
            <w:tcW w:w="2693" w:type="dxa"/>
            <w:tcBorders>
              <w:top w:val="single" w:sz="4" w:space="0" w:color="auto"/>
              <w:left w:val="single" w:sz="4" w:space="0" w:color="auto"/>
              <w:bottom w:val="single" w:sz="4" w:space="0" w:color="auto"/>
              <w:right w:val="single" w:sz="4" w:space="0" w:color="auto"/>
            </w:tcBorders>
            <w:hideMark/>
          </w:tcPr>
          <w:p w14:paraId="6F9175FC" w14:textId="77777777" w:rsidR="005601D4" w:rsidRPr="006213EC" w:rsidRDefault="005601D4">
            <w:pPr>
              <w:spacing w:before="120"/>
              <w:rPr>
                <w:rFonts w:ascii="Corbel" w:hAnsi="Corbel" w:cs="Arial"/>
                <w:b/>
                <w:bCs/>
                <w:sz w:val="22"/>
                <w:szCs w:val="22"/>
                <w:lang w:val="fr-CH"/>
              </w:rPr>
            </w:pPr>
            <w:r w:rsidRPr="006213EC">
              <w:rPr>
                <w:rFonts w:ascii="Corbel" w:hAnsi="Corbel"/>
                <w:b/>
                <w:sz w:val="22"/>
                <w:lang w:val="fr-CH"/>
              </w:rPr>
              <w:t>Recommandation</w:t>
            </w:r>
          </w:p>
        </w:tc>
        <w:tc>
          <w:tcPr>
            <w:tcW w:w="1134" w:type="dxa"/>
            <w:tcBorders>
              <w:top w:val="single" w:sz="4" w:space="0" w:color="auto"/>
              <w:left w:val="single" w:sz="4" w:space="0" w:color="auto"/>
              <w:bottom w:val="single" w:sz="4" w:space="0" w:color="auto"/>
              <w:right w:val="single" w:sz="4" w:space="0" w:color="auto"/>
            </w:tcBorders>
            <w:hideMark/>
          </w:tcPr>
          <w:p w14:paraId="3A683EC1" w14:textId="77777777" w:rsidR="005601D4" w:rsidRPr="006213EC" w:rsidRDefault="005601D4">
            <w:pPr>
              <w:spacing w:before="120"/>
              <w:rPr>
                <w:rFonts w:ascii="Corbel" w:hAnsi="Corbel" w:cs="Arial"/>
                <w:b/>
                <w:bCs/>
                <w:sz w:val="22"/>
                <w:szCs w:val="22"/>
                <w:lang w:val="fr-CH"/>
              </w:rPr>
            </w:pPr>
            <w:r w:rsidRPr="006213EC">
              <w:rPr>
                <w:rFonts w:ascii="Corbel" w:hAnsi="Corbel"/>
                <w:b/>
                <w:sz w:val="22"/>
                <w:lang w:val="fr-CH"/>
              </w:rPr>
              <w:t>Date</w:t>
            </w:r>
          </w:p>
        </w:tc>
        <w:tc>
          <w:tcPr>
            <w:tcW w:w="1484" w:type="dxa"/>
            <w:tcBorders>
              <w:top w:val="single" w:sz="4" w:space="0" w:color="auto"/>
              <w:left w:val="single" w:sz="4" w:space="0" w:color="auto"/>
              <w:bottom w:val="single" w:sz="4" w:space="0" w:color="auto"/>
              <w:right w:val="single" w:sz="4" w:space="0" w:color="auto"/>
            </w:tcBorders>
            <w:hideMark/>
          </w:tcPr>
          <w:p w14:paraId="4C3C55D8" w14:textId="77777777" w:rsidR="005601D4" w:rsidRPr="006213EC" w:rsidRDefault="005601D4">
            <w:pPr>
              <w:spacing w:before="120"/>
              <w:rPr>
                <w:rFonts w:ascii="Corbel" w:hAnsi="Corbel" w:cs="Arial"/>
                <w:b/>
                <w:bCs/>
                <w:sz w:val="22"/>
                <w:szCs w:val="22"/>
                <w:lang w:val="fr-CH"/>
              </w:rPr>
            </w:pPr>
            <w:r w:rsidRPr="006213EC">
              <w:rPr>
                <w:rFonts w:ascii="Corbel" w:hAnsi="Corbel"/>
                <w:b/>
                <w:sz w:val="22"/>
                <w:lang w:val="fr-CH"/>
              </w:rPr>
              <w:t>Responsable</w:t>
            </w:r>
          </w:p>
        </w:tc>
        <w:tc>
          <w:tcPr>
            <w:tcW w:w="1351" w:type="dxa"/>
            <w:tcBorders>
              <w:top w:val="single" w:sz="4" w:space="0" w:color="auto"/>
              <w:left w:val="single" w:sz="4" w:space="0" w:color="auto"/>
              <w:bottom w:val="single" w:sz="4" w:space="0" w:color="auto"/>
              <w:right w:val="single" w:sz="4" w:space="0" w:color="auto"/>
            </w:tcBorders>
            <w:hideMark/>
          </w:tcPr>
          <w:p w14:paraId="41B6103E" w14:textId="77777777" w:rsidR="005601D4" w:rsidRPr="006213EC" w:rsidRDefault="005601D4">
            <w:pPr>
              <w:spacing w:before="120"/>
              <w:rPr>
                <w:rFonts w:ascii="Corbel" w:hAnsi="Corbel" w:cs="Arial"/>
                <w:b/>
                <w:bCs/>
                <w:sz w:val="22"/>
                <w:szCs w:val="22"/>
                <w:lang w:val="fr-CH"/>
              </w:rPr>
            </w:pPr>
            <w:r w:rsidRPr="006213EC">
              <w:rPr>
                <w:rFonts w:ascii="Corbel" w:hAnsi="Corbel"/>
                <w:b/>
                <w:sz w:val="22"/>
                <w:lang w:val="fr-CH"/>
              </w:rPr>
              <w:t>Prise de position entreprise</w:t>
            </w:r>
          </w:p>
        </w:tc>
      </w:tr>
      <w:tr w:rsidR="005601D4" w:rsidRPr="006213EC" w14:paraId="6D180F11" w14:textId="77777777" w:rsidTr="005601D4">
        <w:tc>
          <w:tcPr>
            <w:tcW w:w="2622" w:type="dxa"/>
            <w:tcBorders>
              <w:top w:val="single" w:sz="4" w:space="0" w:color="auto"/>
              <w:left w:val="single" w:sz="4" w:space="0" w:color="auto"/>
              <w:bottom w:val="single" w:sz="4" w:space="0" w:color="auto"/>
              <w:right w:val="single" w:sz="4" w:space="0" w:color="auto"/>
            </w:tcBorders>
          </w:tcPr>
          <w:p w14:paraId="2C26B222" w14:textId="77777777" w:rsidR="005601D4" w:rsidRPr="006213EC" w:rsidRDefault="005601D4">
            <w:pPr>
              <w:spacing w:before="120" w:after="120"/>
              <w:rPr>
                <w:rFonts w:ascii="Corbel" w:hAnsi="Corbel" w:cs="Arial"/>
                <w:b/>
                <w:sz w:val="22"/>
                <w:szCs w:val="22"/>
                <w:lang w:val="fr-CH"/>
              </w:rPr>
            </w:pPr>
            <w:r w:rsidRPr="006213EC">
              <w:rPr>
                <w:rFonts w:ascii="Corbel" w:hAnsi="Corbel"/>
                <w:b/>
                <w:sz w:val="22"/>
                <w:lang w:val="fr-CH"/>
              </w:rPr>
              <w:t>Déclarations d’indépendance :</w:t>
            </w:r>
          </w:p>
          <w:p w14:paraId="638C899C" w14:textId="77777777" w:rsidR="005601D4" w:rsidRPr="006213EC" w:rsidRDefault="005601D4">
            <w:pPr>
              <w:spacing w:before="120" w:after="120"/>
              <w:rPr>
                <w:rFonts w:ascii="Corbel" w:hAnsi="Corbel" w:cs="Arial"/>
                <w:sz w:val="22"/>
                <w:szCs w:val="22"/>
                <w:lang w:val="fr-CH"/>
              </w:rPr>
            </w:pPr>
            <w:r w:rsidRPr="006213EC">
              <w:rPr>
                <w:rFonts w:ascii="Corbel" w:hAnsi="Corbel"/>
                <w:sz w:val="22"/>
                <w:lang w:val="fr-CH"/>
              </w:rPr>
              <w:t>La déclaration annuelle d’indépendance n’a pas été signée.</w:t>
            </w:r>
          </w:p>
          <w:p w14:paraId="2188010D" w14:textId="77777777" w:rsidR="005601D4" w:rsidRPr="006213EC" w:rsidRDefault="005601D4">
            <w:pPr>
              <w:rPr>
                <w:rFonts w:ascii="Corbel" w:hAnsi="Corbel" w:cs="Arial"/>
                <w:b/>
                <w:sz w:val="22"/>
                <w:szCs w:val="22"/>
                <w:lang w:val="fr-CH"/>
              </w:rPr>
            </w:pPr>
          </w:p>
        </w:tc>
        <w:tc>
          <w:tcPr>
            <w:tcW w:w="2693" w:type="dxa"/>
            <w:tcBorders>
              <w:top w:val="single" w:sz="4" w:space="0" w:color="auto"/>
              <w:left w:val="single" w:sz="4" w:space="0" w:color="auto"/>
              <w:bottom w:val="single" w:sz="4" w:space="0" w:color="auto"/>
              <w:right w:val="single" w:sz="4" w:space="0" w:color="auto"/>
            </w:tcBorders>
            <w:hideMark/>
          </w:tcPr>
          <w:p w14:paraId="799D0392" w14:textId="77777777" w:rsidR="005601D4" w:rsidRPr="006213EC" w:rsidRDefault="005601D4">
            <w:pPr>
              <w:spacing w:before="420" w:after="120"/>
              <w:rPr>
                <w:rFonts w:ascii="Corbel" w:hAnsi="Corbel" w:cs="Arial"/>
                <w:sz w:val="22"/>
                <w:szCs w:val="22"/>
                <w:lang w:val="fr-CH"/>
              </w:rPr>
            </w:pPr>
            <w:r w:rsidRPr="006213EC">
              <w:rPr>
                <w:rFonts w:ascii="Corbel" w:hAnsi="Corbel"/>
                <w:sz w:val="22"/>
                <w:lang w:val="fr-CH"/>
              </w:rPr>
              <w:t>La conformité à l’URL doit être attestée par une confirmation écrite annuelle (collaborateur de la révision, direction, conseil d’administration).</w:t>
            </w:r>
          </w:p>
        </w:tc>
        <w:tc>
          <w:tcPr>
            <w:tcW w:w="1134" w:type="dxa"/>
            <w:tcBorders>
              <w:top w:val="single" w:sz="4" w:space="0" w:color="auto"/>
              <w:left w:val="single" w:sz="4" w:space="0" w:color="auto"/>
              <w:bottom w:val="single" w:sz="4" w:space="0" w:color="auto"/>
              <w:right w:val="single" w:sz="4" w:space="0" w:color="auto"/>
            </w:tcBorders>
            <w:hideMark/>
          </w:tcPr>
          <w:p w14:paraId="179EEC8E" w14:textId="77777777" w:rsidR="005601D4" w:rsidRPr="006213EC" w:rsidRDefault="005601D4">
            <w:pPr>
              <w:spacing w:before="420" w:after="120"/>
              <w:rPr>
                <w:rFonts w:ascii="Corbel" w:hAnsi="Corbel" w:cs="Arial"/>
                <w:sz w:val="22"/>
                <w:szCs w:val="22"/>
                <w:lang w:val="fr-CH"/>
              </w:rPr>
            </w:pPr>
            <w:r w:rsidRPr="006213EC">
              <w:rPr>
                <w:rFonts w:ascii="Corbel" w:hAnsi="Corbel"/>
                <w:sz w:val="22"/>
                <w:lang w:val="fr-CH"/>
              </w:rPr>
              <w:t>31.12.2022</w:t>
            </w:r>
          </w:p>
        </w:tc>
        <w:tc>
          <w:tcPr>
            <w:tcW w:w="1484" w:type="dxa"/>
            <w:tcBorders>
              <w:top w:val="single" w:sz="4" w:space="0" w:color="auto"/>
              <w:left w:val="single" w:sz="4" w:space="0" w:color="auto"/>
              <w:bottom w:val="single" w:sz="4" w:space="0" w:color="auto"/>
              <w:right w:val="single" w:sz="4" w:space="0" w:color="auto"/>
            </w:tcBorders>
            <w:hideMark/>
          </w:tcPr>
          <w:p w14:paraId="46E5C872" w14:textId="77777777" w:rsidR="005601D4" w:rsidRPr="006213EC" w:rsidRDefault="005601D4">
            <w:pPr>
              <w:spacing w:before="420" w:after="120"/>
              <w:rPr>
                <w:rFonts w:ascii="Corbel" w:hAnsi="Corbel" w:cs="Arial"/>
                <w:sz w:val="22"/>
                <w:szCs w:val="22"/>
                <w:lang w:val="fr-CH"/>
              </w:rPr>
            </w:pPr>
            <w:r w:rsidRPr="006213EC">
              <w:rPr>
                <w:rFonts w:ascii="Corbel" w:hAnsi="Corbel"/>
                <w:sz w:val="22"/>
                <w:lang w:val="fr-CH"/>
              </w:rPr>
              <w:t>Direction</w:t>
            </w:r>
          </w:p>
        </w:tc>
        <w:tc>
          <w:tcPr>
            <w:tcW w:w="1351" w:type="dxa"/>
            <w:tcBorders>
              <w:top w:val="single" w:sz="4" w:space="0" w:color="auto"/>
              <w:left w:val="single" w:sz="4" w:space="0" w:color="auto"/>
              <w:bottom w:val="single" w:sz="4" w:space="0" w:color="auto"/>
              <w:right w:val="single" w:sz="4" w:space="0" w:color="auto"/>
            </w:tcBorders>
            <w:hideMark/>
          </w:tcPr>
          <w:p w14:paraId="7847947A" w14:textId="77777777" w:rsidR="005601D4" w:rsidRPr="006213EC" w:rsidRDefault="005601D4">
            <w:pPr>
              <w:spacing w:before="420" w:after="120"/>
              <w:rPr>
                <w:rFonts w:ascii="Corbel" w:hAnsi="Corbel" w:cs="Arial"/>
                <w:sz w:val="22"/>
                <w:szCs w:val="22"/>
                <w:lang w:val="fr-CH"/>
              </w:rPr>
            </w:pPr>
            <w:r w:rsidRPr="006213EC">
              <w:rPr>
                <w:rFonts w:ascii="Corbel" w:hAnsi="Corbel"/>
                <w:sz w:val="22"/>
                <w:lang w:val="fr-CH"/>
              </w:rPr>
              <w:t>approuvé</w:t>
            </w:r>
          </w:p>
        </w:tc>
      </w:tr>
    </w:tbl>
    <w:p w14:paraId="4F06FE07" w14:textId="77777777" w:rsidR="005601D4" w:rsidRPr="006213EC" w:rsidRDefault="005601D4" w:rsidP="005601D4">
      <w:pPr>
        <w:rPr>
          <w:rFonts w:ascii="Corbel" w:hAnsi="Corbel" w:cs="Arial"/>
          <w:sz w:val="22"/>
          <w:szCs w:val="22"/>
          <w:lang w:val="fr-CH"/>
        </w:rPr>
      </w:pPr>
    </w:p>
    <w:p w14:paraId="5A4C4050" w14:textId="77777777" w:rsidR="005601D4" w:rsidRPr="006213EC" w:rsidRDefault="005601D4" w:rsidP="005601D4">
      <w:pPr>
        <w:pStyle w:val="KeinLeerraum"/>
        <w:numPr>
          <w:ilvl w:val="1"/>
          <w:numId w:val="28"/>
        </w:numPr>
        <w:rPr>
          <w:rFonts w:ascii="Corbel" w:hAnsi="Corbel"/>
          <w:b/>
          <w:sz w:val="22"/>
          <w:szCs w:val="22"/>
        </w:rPr>
      </w:pPr>
      <w:bookmarkStart w:id="31" w:name="_Toc141092111"/>
      <w:r w:rsidRPr="006213EC">
        <w:rPr>
          <w:rFonts w:ascii="Corbel" w:hAnsi="Corbel"/>
          <w:b/>
          <w:sz w:val="22"/>
        </w:rPr>
        <w:t>Erreurs et lacunes importantes constatées dans le cadre des contrôles de mandat et recommandations supplémentaires</w:t>
      </w:r>
      <w:bookmarkEnd w:id="31"/>
    </w:p>
    <w:p w14:paraId="3A4C1AE0" w14:textId="77777777" w:rsidR="005601D4" w:rsidRPr="006213EC" w:rsidRDefault="005601D4" w:rsidP="005601D4">
      <w:pPr>
        <w:pStyle w:val="KeinLeerraum"/>
        <w:ind w:left="792"/>
        <w:rPr>
          <w:rFonts w:ascii="Corbel" w:hAnsi="Corbel"/>
          <w:b/>
          <w:sz w:val="22"/>
          <w:szCs w:val="22"/>
        </w:rPr>
      </w:pPr>
    </w:p>
    <w:p w14:paraId="14AFC6BD" w14:textId="77777777" w:rsidR="005601D4" w:rsidRPr="006213EC" w:rsidRDefault="005601D4" w:rsidP="005601D4">
      <w:pPr>
        <w:rPr>
          <w:rFonts w:ascii="Corbel" w:hAnsi="Corbel" w:cs="Arial"/>
          <w:sz w:val="22"/>
          <w:szCs w:val="22"/>
          <w:lang w:val="fr-CH"/>
        </w:rPr>
      </w:pPr>
      <w:r w:rsidRPr="006213EC">
        <w:rPr>
          <w:rFonts w:ascii="Corbel" w:hAnsi="Corbel"/>
          <w:b/>
          <w:sz w:val="22"/>
          <w:u w:val="single"/>
          <w:lang w:val="fr-CH"/>
        </w:rPr>
        <w:t>Nom du client de la révision, lieu (réviseur principal : xxxx)</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2696"/>
        <w:gridCol w:w="1135"/>
        <w:gridCol w:w="1483"/>
        <w:gridCol w:w="1418"/>
      </w:tblGrid>
      <w:tr w:rsidR="005601D4" w:rsidRPr="006213EC" w14:paraId="19FE246F" w14:textId="77777777" w:rsidTr="005601D4">
        <w:tc>
          <w:tcPr>
            <w:tcW w:w="2619" w:type="dxa"/>
            <w:tcBorders>
              <w:top w:val="single" w:sz="4" w:space="0" w:color="auto"/>
              <w:left w:val="single" w:sz="4" w:space="0" w:color="auto"/>
              <w:bottom w:val="single" w:sz="4" w:space="0" w:color="auto"/>
              <w:right w:val="single" w:sz="4" w:space="0" w:color="auto"/>
            </w:tcBorders>
            <w:hideMark/>
          </w:tcPr>
          <w:p w14:paraId="3667FF73" w14:textId="77777777" w:rsidR="005601D4" w:rsidRPr="006213EC" w:rsidRDefault="005601D4">
            <w:pPr>
              <w:spacing w:before="120"/>
              <w:rPr>
                <w:rFonts w:ascii="Corbel" w:hAnsi="Corbel" w:cs="Arial"/>
                <w:b/>
                <w:bCs/>
                <w:lang w:val="fr-CH"/>
              </w:rPr>
            </w:pPr>
            <w:r w:rsidRPr="006213EC">
              <w:rPr>
                <w:rFonts w:ascii="Corbel" w:hAnsi="Corbel"/>
                <w:b/>
                <w:lang w:val="fr-CH"/>
              </w:rPr>
              <w:t>Constatation</w:t>
            </w:r>
          </w:p>
        </w:tc>
        <w:tc>
          <w:tcPr>
            <w:tcW w:w="2696" w:type="dxa"/>
            <w:tcBorders>
              <w:top w:val="single" w:sz="4" w:space="0" w:color="auto"/>
              <w:left w:val="single" w:sz="4" w:space="0" w:color="auto"/>
              <w:bottom w:val="single" w:sz="4" w:space="0" w:color="auto"/>
              <w:right w:val="single" w:sz="4" w:space="0" w:color="auto"/>
            </w:tcBorders>
            <w:hideMark/>
          </w:tcPr>
          <w:p w14:paraId="4EBFC0DC" w14:textId="77777777" w:rsidR="005601D4" w:rsidRPr="006213EC" w:rsidRDefault="005601D4">
            <w:pPr>
              <w:spacing w:before="120"/>
              <w:rPr>
                <w:rFonts w:ascii="Corbel" w:hAnsi="Corbel" w:cs="Arial"/>
                <w:b/>
                <w:bCs/>
                <w:lang w:val="fr-CH"/>
              </w:rPr>
            </w:pPr>
            <w:r w:rsidRPr="006213EC">
              <w:rPr>
                <w:rFonts w:ascii="Corbel" w:hAnsi="Corbel"/>
                <w:b/>
                <w:lang w:val="fr-CH"/>
              </w:rPr>
              <w:t>Recommandation</w:t>
            </w:r>
          </w:p>
        </w:tc>
        <w:tc>
          <w:tcPr>
            <w:tcW w:w="1135" w:type="dxa"/>
            <w:tcBorders>
              <w:top w:val="single" w:sz="4" w:space="0" w:color="auto"/>
              <w:left w:val="single" w:sz="4" w:space="0" w:color="auto"/>
              <w:bottom w:val="single" w:sz="4" w:space="0" w:color="auto"/>
              <w:right w:val="single" w:sz="4" w:space="0" w:color="auto"/>
            </w:tcBorders>
            <w:hideMark/>
          </w:tcPr>
          <w:p w14:paraId="2D5688D9" w14:textId="77777777" w:rsidR="005601D4" w:rsidRPr="006213EC" w:rsidRDefault="005601D4">
            <w:pPr>
              <w:spacing w:before="120"/>
              <w:rPr>
                <w:rFonts w:ascii="Corbel" w:hAnsi="Corbel" w:cs="Arial"/>
                <w:b/>
                <w:bCs/>
                <w:lang w:val="fr-CH"/>
              </w:rPr>
            </w:pPr>
            <w:r w:rsidRPr="006213EC">
              <w:rPr>
                <w:rFonts w:ascii="Corbel" w:hAnsi="Corbel"/>
                <w:b/>
                <w:lang w:val="fr-CH"/>
              </w:rPr>
              <w:t>Date</w:t>
            </w:r>
          </w:p>
        </w:tc>
        <w:tc>
          <w:tcPr>
            <w:tcW w:w="1483" w:type="dxa"/>
            <w:tcBorders>
              <w:top w:val="single" w:sz="4" w:space="0" w:color="auto"/>
              <w:left w:val="single" w:sz="4" w:space="0" w:color="auto"/>
              <w:bottom w:val="single" w:sz="4" w:space="0" w:color="auto"/>
              <w:right w:val="single" w:sz="4" w:space="0" w:color="auto"/>
            </w:tcBorders>
            <w:hideMark/>
          </w:tcPr>
          <w:p w14:paraId="6BCCA6E6" w14:textId="77777777" w:rsidR="005601D4" w:rsidRPr="006213EC" w:rsidRDefault="005601D4">
            <w:pPr>
              <w:spacing w:before="120"/>
              <w:rPr>
                <w:rFonts w:ascii="Corbel" w:hAnsi="Corbel" w:cs="Arial"/>
                <w:b/>
                <w:bCs/>
                <w:lang w:val="fr-CH"/>
              </w:rPr>
            </w:pPr>
            <w:r w:rsidRPr="006213EC">
              <w:rPr>
                <w:rFonts w:ascii="Corbel" w:hAnsi="Corbel"/>
                <w:b/>
                <w:lang w:val="fr-CH"/>
              </w:rPr>
              <w:t>Responsable</w:t>
            </w:r>
          </w:p>
        </w:tc>
        <w:tc>
          <w:tcPr>
            <w:tcW w:w="1418" w:type="dxa"/>
            <w:tcBorders>
              <w:top w:val="single" w:sz="4" w:space="0" w:color="auto"/>
              <w:left w:val="single" w:sz="4" w:space="0" w:color="auto"/>
              <w:bottom w:val="single" w:sz="4" w:space="0" w:color="auto"/>
              <w:right w:val="single" w:sz="4" w:space="0" w:color="auto"/>
            </w:tcBorders>
            <w:hideMark/>
          </w:tcPr>
          <w:p w14:paraId="252BBCFE" w14:textId="77777777" w:rsidR="005601D4" w:rsidRPr="006213EC" w:rsidRDefault="005601D4">
            <w:pPr>
              <w:spacing w:before="120"/>
              <w:rPr>
                <w:rFonts w:ascii="Corbel" w:hAnsi="Corbel" w:cs="Arial"/>
                <w:b/>
                <w:bCs/>
                <w:lang w:val="fr-CH"/>
              </w:rPr>
            </w:pPr>
            <w:r w:rsidRPr="006213EC">
              <w:rPr>
                <w:rFonts w:ascii="Corbel" w:hAnsi="Corbel"/>
                <w:b/>
                <w:lang w:val="fr-CH"/>
              </w:rPr>
              <w:t>Prise de position entreprise</w:t>
            </w:r>
          </w:p>
        </w:tc>
      </w:tr>
      <w:tr w:rsidR="005601D4" w:rsidRPr="006213EC" w14:paraId="22046C61" w14:textId="77777777" w:rsidTr="005601D4">
        <w:tc>
          <w:tcPr>
            <w:tcW w:w="2619" w:type="dxa"/>
            <w:tcBorders>
              <w:top w:val="single" w:sz="4" w:space="0" w:color="auto"/>
              <w:left w:val="single" w:sz="4" w:space="0" w:color="auto"/>
              <w:bottom w:val="single" w:sz="4" w:space="0" w:color="auto"/>
              <w:right w:val="single" w:sz="4" w:space="0" w:color="auto"/>
            </w:tcBorders>
          </w:tcPr>
          <w:p w14:paraId="45C866BA" w14:textId="77777777" w:rsidR="005601D4" w:rsidRPr="006213EC" w:rsidRDefault="005601D4">
            <w:pPr>
              <w:spacing w:before="120" w:after="120"/>
              <w:rPr>
                <w:rFonts w:ascii="Corbel" w:hAnsi="Corbel" w:cs="Arial"/>
                <w:b/>
                <w:lang w:val="fr-CH"/>
              </w:rPr>
            </w:pPr>
            <w:r w:rsidRPr="006213EC">
              <w:rPr>
                <w:rFonts w:ascii="Corbel" w:hAnsi="Corbel"/>
                <w:b/>
                <w:lang w:val="fr-CH"/>
              </w:rPr>
              <w:t>Préparation de l’audit :</w:t>
            </w:r>
          </w:p>
          <w:p w14:paraId="3419D473" w14:textId="77777777" w:rsidR="005601D4" w:rsidRPr="006213EC" w:rsidRDefault="005601D4">
            <w:pPr>
              <w:spacing w:before="120" w:after="120"/>
              <w:rPr>
                <w:rFonts w:ascii="Corbel" w:hAnsi="Corbel" w:cs="Arial"/>
                <w:lang w:val="fr-CH"/>
              </w:rPr>
            </w:pPr>
            <w:r w:rsidRPr="006213EC">
              <w:rPr>
                <w:rFonts w:ascii="Corbel" w:hAnsi="Corbel"/>
                <w:lang w:val="fr-CH"/>
              </w:rPr>
              <w:t>La documentation des connaissances de l’environnement et des activités du client n’a pas été entièrement établie.</w:t>
            </w:r>
          </w:p>
          <w:p w14:paraId="5DF80250" w14:textId="77777777" w:rsidR="005601D4" w:rsidRPr="006213EC" w:rsidRDefault="005601D4">
            <w:pPr>
              <w:rPr>
                <w:rFonts w:ascii="Corbel" w:hAnsi="Corbel" w:cs="Arial"/>
                <w:lang w:val="fr-CH"/>
              </w:rPr>
            </w:pPr>
          </w:p>
        </w:tc>
        <w:tc>
          <w:tcPr>
            <w:tcW w:w="2696" w:type="dxa"/>
            <w:tcBorders>
              <w:top w:val="single" w:sz="4" w:space="0" w:color="auto"/>
              <w:left w:val="single" w:sz="4" w:space="0" w:color="auto"/>
              <w:bottom w:val="single" w:sz="4" w:space="0" w:color="auto"/>
              <w:right w:val="single" w:sz="4" w:space="0" w:color="auto"/>
            </w:tcBorders>
            <w:hideMark/>
          </w:tcPr>
          <w:p w14:paraId="0E7D9C4B" w14:textId="77777777" w:rsidR="005601D4" w:rsidRPr="006213EC" w:rsidRDefault="005601D4">
            <w:pPr>
              <w:spacing w:before="420" w:after="120"/>
              <w:rPr>
                <w:rFonts w:ascii="Corbel" w:hAnsi="Corbel" w:cs="Arial"/>
                <w:lang w:val="fr-CH"/>
              </w:rPr>
            </w:pPr>
            <w:r w:rsidRPr="006213EC">
              <w:rPr>
                <w:rFonts w:ascii="Corbel" w:hAnsi="Corbel"/>
                <w:lang w:val="fr-CH"/>
              </w:rPr>
              <w:t>Les connaissances des activités et de l’environnement de l’entreprise acquises pendant la planification de la révision doivent être soigneusement documentées. Ce savoir doit être mis à jour à chaque audit.</w:t>
            </w:r>
          </w:p>
        </w:tc>
        <w:tc>
          <w:tcPr>
            <w:tcW w:w="1135" w:type="dxa"/>
            <w:tcBorders>
              <w:top w:val="single" w:sz="4" w:space="0" w:color="auto"/>
              <w:left w:val="single" w:sz="4" w:space="0" w:color="auto"/>
              <w:bottom w:val="single" w:sz="4" w:space="0" w:color="auto"/>
              <w:right w:val="single" w:sz="4" w:space="0" w:color="auto"/>
            </w:tcBorders>
            <w:hideMark/>
          </w:tcPr>
          <w:p w14:paraId="03E1ABF0" w14:textId="77777777" w:rsidR="005601D4" w:rsidRPr="006213EC" w:rsidRDefault="005601D4">
            <w:pPr>
              <w:spacing w:before="420" w:after="120"/>
              <w:rPr>
                <w:rFonts w:ascii="Corbel" w:hAnsi="Corbel" w:cs="Arial"/>
                <w:lang w:val="fr-CH"/>
              </w:rPr>
            </w:pPr>
            <w:r w:rsidRPr="006213EC">
              <w:rPr>
                <w:rFonts w:ascii="Corbel" w:hAnsi="Corbel"/>
                <w:lang w:val="fr-CH"/>
              </w:rPr>
              <w:t>À mettre en œuvre pour l’audit consécutif</w:t>
            </w:r>
          </w:p>
        </w:tc>
        <w:tc>
          <w:tcPr>
            <w:tcW w:w="1483" w:type="dxa"/>
            <w:tcBorders>
              <w:top w:val="single" w:sz="4" w:space="0" w:color="auto"/>
              <w:left w:val="single" w:sz="4" w:space="0" w:color="auto"/>
              <w:bottom w:val="single" w:sz="4" w:space="0" w:color="auto"/>
              <w:right w:val="single" w:sz="4" w:space="0" w:color="auto"/>
            </w:tcBorders>
            <w:hideMark/>
          </w:tcPr>
          <w:p w14:paraId="038DBCA1" w14:textId="77777777" w:rsidR="005601D4" w:rsidRPr="006213EC" w:rsidRDefault="005601D4">
            <w:pPr>
              <w:spacing w:before="420" w:after="120"/>
              <w:rPr>
                <w:rFonts w:ascii="Corbel" w:hAnsi="Corbel" w:cs="Arial"/>
                <w:lang w:val="fr-CH"/>
              </w:rPr>
            </w:pPr>
            <w:r w:rsidRPr="006213EC">
              <w:rPr>
                <w:rFonts w:ascii="Corbel" w:hAnsi="Corbel"/>
                <w:lang w:val="fr-CH"/>
              </w:rPr>
              <w:t>Réviseur principal :</w:t>
            </w:r>
          </w:p>
        </w:tc>
        <w:tc>
          <w:tcPr>
            <w:tcW w:w="1418" w:type="dxa"/>
            <w:tcBorders>
              <w:top w:val="single" w:sz="4" w:space="0" w:color="auto"/>
              <w:left w:val="single" w:sz="4" w:space="0" w:color="auto"/>
              <w:bottom w:val="single" w:sz="4" w:space="0" w:color="auto"/>
              <w:right w:val="single" w:sz="4" w:space="0" w:color="auto"/>
            </w:tcBorders>
            <w:hideMark/>
          </w:tcPr>
          <w:p w14:paraId="6F8A26EE" w14:textId="77777777" w:rsidR="005601D4" w:rsidRPr="006213EC" w:rsidRDefault="005601D4">
            <w:pPr>
              <w:spacing w:before="420" w:after="120"/>
              <w:rPr>
                <w:rFonts w:ascii="Corbel" w:hAnsi="Corbel" w:cs="Arial"/>
                <w:lang w:val="fr-CH"/>
              </w:rPr>
            </w:pPr>
            <w:r w:rsidRPr="006213EC">
              <w:rPr>
                <w:rFonts w:ascii="Corbel" w:hAnsi="Corbel"/>
                <w:lang w:val="fr-CH"/>
              </w:rPr>
              <w:t>approuvé</w:t>
            </w:r>
          </w:p>
        </w:tc>
      </w:tr>
    </w:tbl>
    <w:p w14:paraId="0EFBDEC8" w14:textId="77777777" w:rsidR="00BF5D9C" w:rsidRPr="006213EC" w:rsidRDefault="00BF5D9C" w:rsidP="00BF5D9C">
      <w:pPr>
        <w:pStyle w:val="KeinLeerraum"/>
        <w:ind w:left="792"/>
        <w:rPr>
          <w:rFonts w:ascii="Corbel" w:hAnsi="Corbel"/>
          <w:b/>
          <w:sz w:val="22"/>
          <w:szCs w:val="22"/>
        </w:rPr>
      </w:pPr>
      <w:bookmarkStart w:id="32" w:name="_Toc141092112"/>
    </w:p>
    <w:p w14:paraId="1EBE78B7" w14:textId="43938FAE" w:rsidR="005601D4" w:rsidRPr="006213EC" w:rsidRDefault="005601D4" w:rsidP="005601D4">
      <w:pPr>
        <w:pStyle w:val="KeinLeerraum"/>
        <w:numPr>
          <w:ilvl w:val="1"/>
          <w:numId w:val="28"/>
        </w:numPr>
        <w:rPr>
          <w:rFonts w:ascii="Corbel" w:hAnsi="Corbel"/>
          <w:b/>
          <w:sz w:val="22"/>
          <w:szCs w:val="22"/>
        </w:rPr>
      </w:pPr>
      <w:r w:rsidRPr="006213EC">
        <w:rPr>
          <w:rFonts w:ascii="Corbel" w:hAnsi="Corbel"/>
          <w:b/>
          <w:sz w:val="22"/>
        </w:rPr>
        <w:lastRenderedPageBreak/>
        <w:t>État d’avancement de l’élimination des lacunes constatées dans le cadre des dernières mesures de surveillance au niveau de l’entreprise</w:t>
      </w:r>
      <w:bookmarkEnd w:id="32"/>
    </w:p>
    <w:p w14:paraId="0C29D628" w14:textId="77777777" w:rsidR="005601D4" w:rsidRPr="006213EC" w:rsidRDefault="005601D4" w:rsidP="005601D4">
      <w:pPr>
        <w:pStyle w:val="KeinLeerraum"/>
        <w:ind w:left="792"/>
        <w:rPr>
          <w:b/>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619"/>
        <w:gridCol w:w="2552"/>
        <w:gridCol w:w="1135"/>
        <w:gridCol w:w="1627"/>
        <w:gridCol w:w="1418"/>
      </w:tblGrid>
      <w:tr w:rsidR="005601D4" w:rsidRPr="006213EC" w14:paraId="51564D28" w14:textId="77777777" w:rsidTr="005601D4">
        <w:tc>
          <w:tcPr>
            <w:tcW w:w="2619" w:type="dxa"/>
            <w:tcBorders>
              <w:top w:val="single" w:sz="4" w:space="0" w:color="auto"/>
              <w:left w:val="single" w:sz="4" w:space="0" w:color="auto"/>
              <w:bottom w:val="single" w:sz="4" w:space="0" w:color="auto"/>
              <w:right w:val="single" w:sz="4" w:space="0" w:color="auto"/>
            </w:tcBorders>
            <w:hideMark/>
          </w:tcPr>
          <w:p w14:paraId="3C096F8F" w14:textId="77777777" w:rsidR="005601D4" w:rsidRPr="006213EC" w:rsidRDefault="005601D4">
            <w:pPr>
              <w:spacing w:before="120"/>
              <w:rPr>
                <w:rFonts w:ascii="Corbel" w:hAnsi="Corbel" w:cs="Arial"/>
                <w:b/>
                <w:bCs/>
                <w:lang w:val="fr-CH"/>
              </w:rPr>
            </w:pPr>
            <w:r w:rsidRPr="006213EC">
              <w:rPr>
                <w:rFonts w:ascii="Corbel" w:hAnsi="Corbel"/>
                <w:b/>
                <w:lang w:val="fr-CH"/>
              </w:rPr>
              <w:t>Constatation</w:t>
            </w:r>
          </w:p>
        </w:tc>
        <w:tc>
          <w:tcPr>
            <w:tcW w:w="2552" w:type="dxa"/>
            <w:tcBorders>
              <w:top w:val="single" w:sz="4" w:space="0" w:color="auto"/>
              <w:left w:val="single" w:sz="4" w:space="0" w:color="auto"/>
              <w:bottom w:val="single" w:sz="4" w:space="0" w:color="auto"/>
              <w:right w:val="single" w:sz="4" w:space="0" w:color="auto"/>
            </w:tcBorders>
            <w:hideMark/>
          </w:tcPr>
          <w:p w14:paraId="51098F2C" w14:textId="77777777" w:rsidR="005601D4" w:rsidRPr="006213EC" w:rsidRDefault="005601D4">
            <w:pPr>
              <w:spacing w:before="120"/>
              <w:rPr>
                <w:rFonts w:ascii="Corbel" w:hAnsi="Corbel" w:cs="Arial"/>
                <w:b/>
                <w:bCs/>
                <w:lang w:val="fr-CH"/>
              </w:rPr>
            </w:pPr>
            <w:r w:rsidRPr="006213EC">
              <w:rPr>
                <w:rFonts w:ascii="Corbel" w:hAnsi="Corbel"/>
                <w:b/>
                <w:lang w:val="fr-CH"/>
              </w:rPr>
              <w:t>Recommandation découlant de la dernière surveillance</w:t>
            </w:r>
          </w:p>
        </w:tc>
        <w:tc>
          <w:tcPr>
            <w:tcW w:w="1135" w:type="dxa"/>
            <w:tcBorders>
              <w:top w:val="single" w:sz="4" w:space="0" w:color="auto"/>
              <w:left w:val="single" w:sz="4" w:space="0" w:color="auto"/>
              <w:bottom w:val="single" w:sz="4" w:space="0" w:color="auto"/>
              <w:right w:val="single" w:sz="4" w:space="0" w:color="auto"/>
            </w:tcBorders>
            <w:hideMark/>
          </w:tcPr>
          <w:p w14:paraId="76C67D19" w14:textId="77777777" w:rsidR="005601D4" w:rsidRPr="006213EC" w:rsidRDefault="005601D4">
            <w:pPr>
              <w:spacing w:before="120"/>
              <w:rPr>
                <w:rFonts w:ascii="Corbel" w:hAnsi="Corbel" w:cs="Arial"/>
                <w:b/>
                <w:bCs/>
                <w:lang w:val="fr-CH"/>
              </w:rPr>
            </w:pPr>
            <w:r w:rsidRPr="006213EC">
              <w:rPr>
                <w:rFonts w:ascii="Corbel" w:hAnsi="Corbel"/>
                <w:b/>
                <w:lang w:val="fr-CH"/>
              </w:rPr>
              <w:t>Date</w:t>
            </w:r>
          </w:p>
        </w:tc>
        <w:tc>
          <w:tcPr>
            <w:tcW w:w="1627" w:type="dxa"/>
            <w:tcBorders>
              <w:top w:val="single" w:sz="4" w:space="0" w:color="auto"/>
              <w:left w:val="single" w:sz="4" w:space="0" w:color="auto"/>
              <w:bottom w:val="single" w:sz="4" w:space="0" w:color="auto"/>
              <w:right w:val="single" w:sz="4" w:space="0" w:color="auto"/>
            </w:tcBorders>
            <w:hideMark/>
          </w:tcPr>
          <w:p w14:paraId="37BA1A6C" w14:textId="77777777" w:rsidR="005601D4" w:rsidRPr="006213EC" w:rsidRDefault="005601D4">
            <w:pPr>
              <w:spacing w:before="120"/>
              <w:rPr>
                <w:rFonts w:ascii="Corbel" w:hAnsi="Corbel" w:cs="Arial"/>
                <w:b/>
                <w:bCs/>
                <w:lang w:val="fr-CH"/>
              </w:rPr>
            </w:pPr>
            <w:r w:rsidRPr="006213EC">
              <w:rPr>
                <w:rFonts w:ascii="Corbel" w:hAnsi="Corbel"/>
                <w:b/>
                <w:lang w:val="fr-CH"/>
              </w:rPr>
              <w:t>Responsable</w:t>
            </w:r>
          </w:p>
        </w:tc>
        <w:tc>
          <w:tcPr>
            <w:tcW w:w="1418" w:type="dxa"/>
            <w:tcBorders>
              <w:top w:val="single" w:sz="4" w:space="0" w:color="auto"/>
              <w:left w:val="single" w:sz="4" w:space="0" w:color="auto"/>
              <w:bottom w:val="single" w:sz="4" w:space="0" w:color="auto"/>
              <w:right w:val="single" w:sz="4" w:space="0" w:color="auto"/>
            </w:tcBorders>
            <w:hideMark/>
          </w:tcPr>
          <w:p w14:paraId="79948243" w14:textId="77777777" w:rsidR="005601D4" w:rsidRPr="006213EC" w:rsidRDefault="005601D4">
            <w:pPr>
              <w:spacing w:before="120"/>
              <w:rPr>
                <w:rFonts w:ascii="Corbel" w:hAnsi="Corbel" w:cs="Arial"/>
                <w:b/>
                <w:bCs/>
                <w:lang w:val="fr-CH"/>
              </w:rPr>
            </w:pPr>
            <w:r w:rsidRPr="006213EC">
              <w:rPr>
                <w:rFonts w:ascii="Corbel" w:hAnsi="Corbel"/>
                <w:b/>
                <w:lang w:val="fr-CH"/>
              </w:rPr>
              <w:t xml:space="preserve">Prise de position / état </w:t>
            </w:r>
          </w:p>
        </w:tc>
      </w:tr>
      <w:tr w:rsidR="005601D4" w:rsidRPr="006213EC" w14:paraId="211B4254" w14:textId="77777777" w:rsidTr="005601D4">
        <w:tc>
          <w:tcPr>
            <w:tcW w:w="2619" w:type="dxa"/>
            <w:tcBorders>
              <w:top w:val="single" w:sz="4" w:space="0" w:color="auto"/>
              <w:left w:val="single" w:sz="4" w:space="0" w:color="auto"/>
              <w:bottom w:val="single" w:sz="4" w:space="0" w:color="auto"/>
              <w:right w:val="single" w:sz="4" w:space="0" w:color="auto"/>
            </w:tcBorders>
          </w:tcPr>
          <w:p w14:paraId="76DAEB71" w14:textId="77777777" w:rsidR="005601D4" w:rsidRPr="006213EC" w:rsidRDefault="005601D4">
            <w:pPr>
              <w:spacing w:before="120" w:after="120"/>
              <w:rPr>
                <w:rFonts w:ascii="Corbel" w:hAnsi="Corbel" w:cs="Arial"/>
                <w:b/>
                <w:lang w:val="fr-CH"/>
              </w:rPr>
            </w:pPr>
            <w:r w:rsidRPr="006213EC">
              <w:rPr>
                <w:rFonts w:ascii="Corbel" w:hAnsi="Corbel"/>
                <w:b/>
                <w:lang w:val="fr-CH"/>
              </w:rPr>
              <w:t>Manuel AQ :</w:t>
            </w:r>
          </w:p>
          <w:p w14:paraId="47874E2E" w14:textId="77777777" w:rsidR="005601D4" w:rsidRPr="006213EC" w:rsidRDefault="005601D4">
            <w:pPr>
              <w:spacing w:before="120" w:after="120"/>
              <w:rPr>
                <w:rFonts w:ascii="Corbel" w:hAnsi="Corbel" w:cs="Arial"/>
                <w:lang w:val="fr-CH"/>
              </w:rPr>
            </w:pPr>
            <w:r w:rsidRPr="006213EC">
              <w:rPr>
                <w:rFonts w:ascii="Corbel" w:hAnsi="Corbel"/>
                <w:lang w:val="fr-CH"/>
              </w:rPr>
              <w:t>Le manuel AQ existant n’a pas été mis à jour à la version 2022.</w:t>
            </w:r>
          </w:p>
          <w:p w14:paraId="2CCF0591" w14:textId="77777777" w:rsidR="005601D4" w:rsidRPr="006213EC" w:rsidRDefault="005601D4">
            <w:pPr>
              <w:rPr>
                <w:rFonts w:ascii="Corbel" w:hAnsi="Corbel" w:cs="Arial"/>
                <w:lang w:val="fr-CH"/>
              </w:rPr>
            </w:pPr>
          </w:p>
        </w:tc>
        <w:tc>
          <w:tcPr>
            <w:tcW w:w="2552" w:type="dxa"/>
            <w:tcBorders>
              <w:top w:val="single" w:sz="4" w:space="0" w:color="auto"/>
              <w:left w:val="single" w:sz="4" w:space="0" w:color="auto"/>
              <w:bottom w:val="single" w:sz="4" w:space="0" w:color="auto"/>
              <w:right w:val="single" w:sz="4" w:space="0" w:color="auto"/>
            </w:tcBorders>
            <w:hideMark/>
          </w:tcPr>
          <w:p w14:paraId="1D1550C3" w14:textId="77777777" w:rsidR="005601D4" w:rsidRPr="006213EC" w:rsidRDefault="005601D4">
            <w:pPr>
              <w:spacing w:before="420" w:after="120"/>
              <w:rPr>
                <w:rFonts w:ascii="Corbel" w:hAnsi="Corbel" w:cs="Arial"/>
                <w:lang w:val="fr-CH"/>
              </w:rPr>
            </w:pPr>
            <w:r w:rsidRPr="006213EC">
              <w:rPr>
                <w:rFonts w:ascii="Corbel" w:hAnsi="Corbel"/>
                <w:lang w:val="fr-CH"/>
              </w:rPr>
              <w:t>Il convient de contrôler l’intégralité et l’actualité du manuel AQ à intervalles réguliers (au moins une fois par an). Nous recommandons de contrôler les modifications en permanence et de les intégrer au manuel AQ existant.</w:t>
            </w:r>
          </w:p>
        </w:tc>
        <w:tc>
          <w:tcPr>
            <w:tcW w:w="1135" w:type="dxa"/>
            <w:tcBorders>
              <w:top w:val="single" w:sz="4" w:space="0" w:color="auto"/>
              <w:left w:val="single" w:sz="4" w:space="0" w:color="auto"/>
              <w:bottom w:val="single" w:sz="4" w:space="0" w:color="auto"/>
              <w:right w:val="single" w:sz="4" w:space="0" w:color="auto"/>
            </w:tcBorders>
            <w:hideMark/>
          </w:tcPr>
          <w:p w14:paraId="55C80E72" w14:textId="77777777" w:rsidR="005601D4" w:rsidRPr="006213EC" w:rsidRDefault="005601D4">
            <w:pPr>
              <w:spacing w:before="420" w:after="120"/>
              <w:rPr>
                <w:rFonts w:ascii="Corbel" w:hAnsi="Corbel" w:cs="Arial"/>
                <w:lang w:val="fr-CH"/>
              </w:rPr>
            </w:pPr>
            <w:r w:rsidRPr="006213EC">
              <w:rPr>
                <w:rFonts w:ascii="Corbel" w:hAnsi="Corbel"/>
                <w:lang w:val="fr-CH"/>
              </w:rPr>
              <w:t>31.12.2022</w:t>
            </w:r>
          </w:p>
        </w:tc>
        <w:tc>
          <w:tcPr>
            <w:tcW w:w="1627" w:type="dxa"/>
            <w:tcBorders>
              <w:top w:val="single" w:sz="4" w:space="0" w:color="auto"/>
              <w:left w:val="single" w:sz="4" w:space="0" w:color="auto"/>
              <w:bottom w:val="single" w:sz="4" w:space="0" w:color="auto"/>
              <w:right w:val="single" w:sz="4" w:space="0" w:color="auto"/>
            </w:tcBorders>
            <w:hideMark/>
          </w:tcPr>
          <w:p w14:paraId="76DF21CC" w14:textId="77777777" w:rsidR="005601D4" w:rsidRPr="006213EC" w:rsidRDefault="005601D4">
            <w:pPr>
              <w:spacing w:before="420" w:after="120"/>
              <w:rPr>
                <w:rFonts w:ascii="Corbel" w:hAnsi="Corbel" w:cs="Arial"/>
                <w:lang w:val="fr-CH"/>
              </w:rPr>
            </w:pPr>
            <w:r w:rsidRPr="006213EC">
              <w:rPr>
                <w:rFonts w:ascii="Corbel" w:hAnsi="Corbel"/>
                <w:lang w:val="fr-CH"/>
              </w:rPr>
              <w:t>Direction</w:t>
            </w:r>
          </w:p>
        </w:tc>
        <w:tc>
          <w:tcPr>
            <w:tcW w:w="1418" w:type="dxa"/>
            <w:tcBorders>
              <w:top w:val="single" w:sz="4" w:space="0" w:color="auto"/>
              <w:left w:val="single" w:sz="4" w:space="0" w:color="auto"/>
              <w:bottom w:val="single" w:sz="4" w:space="0" w:color="auto"/>
              <w:right w:val="single" w:sz="4" w:space="0" w:color="auto"/>
            </w:tcBorders>
            <w:hideMark/>
          </w:tcPr>
          <w:p w14:paraId="69208F03" w14:textId="77777777" w:rsidR="005601D4" w:rsidRPr="006213EC" w:rsidRDefault="005601D4">
            <w:pPr>
              <w:spacing w:before="420" w:after="120"/>
              <w:rPr>
                <w:rFonts w:ascii="Corbel" w:hAnsi="Corbel" w:cs="Arial"/>
                <w:b/>
                <w:lang w:val="fr-CH"/>
              </w:rPr>
            </w:pPr>
            <w:r w:rsidRPr="006213EC">
              <w:rPr>
                <w:rFonts w:ascii="Corbel" w:hAnsi="Corbel"/>
                <w:b/>
                <w:lang w:val="fr-CH"/>
              </w:rPr>
              <w:t>exécuté</w:t>
            </w:r>
          </w:p>
        </w:tc>
      </w:tr>
    </w:tbl>
    <w:p w14:paraId="2DCC5AFF" w14:textId="77777777" w:rsidR="005601D4" w:rsidRPr="006213EC" w:rsidRDefault="005601D4" w:rsidP="005601D4">
      <w:pPr>
        <w:ind w:left="360"/>
        <w:rPr>
          <w:rFonts w:ascii="Corbel" w:hAnsi="Corbel" w:cs="Arial"/>
          <w:lang w:val="fr-CH"/>
        </w:rPr>
      </w:pPr>
    </w:p>
    <w:p w14:paraId="13CBB13F" w14:textId="77777777" w:rsidR="005601D4" w:rsidRPr="006213EC" w:rsidRDefault="005601D4" w:rsidP="005601D4">
      <w:pPr>
        <w:ind w:left="360"/>
        <w:rPr>
          <w:rFonts w:ascii="Corbel" w:hAnsi="Corbel" w:cs="Arial"/>
          <w:lang w:val="fr-CH"/>
        </w:rPr>
      </w:pPr>
    </w:p>
    <w:p w14:paraId="085B71BE" w14:textId="77777777" w:rsidR="005601D4" w:rsidRPr="006213EC" w:rsidRDefault="005601D4" w:rsidP="005601D4">
      <w:pPr>
        <w:ind w:left="360"/>
        <w:rPr>
          <w:rFonts w:ascii="Corbel" w:hAnsi="Corbel" w:cs="Arial"/>
          <w:b/>
          <w:i/>
          <w:sz w:val="24"/>
          <w:szCs w:val="24"/>
          <w:lang w:val="fr-CH"/>
        </w:rPr>
      </w:pPr>
      <w:r w:rsidRPr="006213EC">
        <w:rPr>
          <w:rFonts w:ascii="Corbel" w:hAnsi="Corbel"/>
          <w:b/>
          <w:i/>
          <w:sz w:val="24"/>
          <w:lang w:val="fr-CH"/>
        </w:rPr>
        <w:t>Alternative</w:t>
      </w:r>
    </w:p>
    <w:p w14:paraId="37272DD0" w14:textId="77777777" w:rsidR="005601D4" w:rsidRPr="006213EC" w:rsidRDefault="005601D4" w:rsidP="005601D4">
      <w:pPr>
        <w:ind w:left="360"/>
        <w:rPr>
          <w:rFonts w:ascii="Corbel" w:hAnsi="Corbel" w:cs="Arial"/>
          <w:sz w:val="22"/>
          <w:szCs w:val="22"/>
          <w:lang w:val="fr-CH"/>
        </w:rPr>
      </w:pPr>
    </w:p>
    <w:p w14:paraId="75154958" w14:textId="77777777" w:rsidR="005601D4" w:rsidRPr="006213EC" w:rsidRDefault="005601D4" w:rsidP="005601D4">
      <w:pPr>
        <w:spacing w:line="480" w:lineRule="auto"/>
        <w:rPr>
          <w:rFonts w:ascii="Corbel" w:hAnsi="Corbel" w:cs="Arial"/>
          <w:sz w:val="22"/>
          <w:szCs w:val="22"/>
          <w:lang w:val="fr-CH"/>
        </w:rPr>
      </w:pPr>
      <w:r w:rsidRPr="006213EC">
        <w:rPr>
          <w:rFonts w:ascii="Corbel" w:hAnsi="Corbel"/>
          <w:sz w:val="22"/>
          <w:lang w:val="fr-CH"/>
        </w:rPr>
        <w:t>Il s’agit de la première surveillance interne exécutée par nos soins.</w:t>
      </w:r>
    </w:p>
    <w:p w14:paraId="4CABAB6E" w14:textId="77777777" w:rsidR="005601D4" w:rsidRPr="006213EC" w:rsidRDefault="005601D4" w:rsidP="005601D4">
      <w:pPr>
        <w:pStyle w:val="KeinLeerraum"/>
        <w:numPr>
          <w:ilvl w:val="0"/>
          <w:numId w:val="28"/>
        </w:numPr>
        <w:spacing w:line="360" w:lineRule="auto"/>
        <w:rPr>
          <w:rFonts w:ascii="Corbel" w:hAnsi="Corbel"/>
          <w:b/>
          <w:sz w:val="22"/>
          <w:szCs w:val="22"/>
        </w:rPr>
      </w:pPr>
      <w:bookmarkStart w:id="33" w:name="_Toc141092113"/>
      <w:r w:rsidRPr="006213EC">
        <w:rPr>
          <w:rFonts w:ascii="Corbel" w:hAnsi="Corbel"/>
          <w:b/>
          <w:sz w:val="22"/>
        </w:rPr>
        <w:t>Propositions d’amélioration et mesures déjà mises en place</w:t>
      </w:r>
      <w:bookmarkEnd w:id="33"/>
    </w:p>
    <w:p w14:paraId="70DC7B8A"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Les recommandations sont retenues aux points 3.1 et 3.2. Les propositions seront portées à l’ordre du jour pour la prochaine réunion de la direction, et des mesures seront proposées.</w:t>
      </w:r>
    </w:p>
    <w:p w14:paraId="557C6281" w14:textId="77777777" w:rsidR="005601D4" w:rsidRPr="006213EC" w:rsidRDefault="005601D4" w:rsidP="005601D4">
      <w:pPr>
        <w:pStyle w:val="KeinLeerraum"/>
        <w:numPr>
          <w:ilvl w:val="0"/>
          <w:numId w:val="28"/>
        </w:numPr>
        <w:spacing w:before="240" w:line="360" w:lineRule="auto"/>
        <w:rPr>
          <w:rFonts w:ascii="Corbel" w:hAnsi="Corbel"/>
          <w:b/>
          <w:sz w:val="22"/>
          <w:szCs w:val="22"/>
        </w:rPr>
      </w:pPr>
      <w:bookmarkStart w:id="34" w:name="_Toc141092114"/>
      <w:r w:rsidRPr="006213EC">
        <w:rPr>
          <w:rFonts w:ascii="Corbel" w:hAnsi="Corbel"/>
          <w:b/>
          <w:sz w:val="22"/>
        </w:rPr>
        <w:t>Conclusion</w:t>
      </w:r>
      <w:bookmarkEnd w:id="34"/>
    </w:p>
    <w:p w14:paraId="1FDBD4FE" w14:textId="77777777" w:rsidR="005601D4" w:rsidRPr="006213EC" w:rsidRDefault="005601D4" w:rsidP="005601D4">
      <w:pPr>
        <w:rPr>
          <w:rFonts w:ascii="Corbel" w:hAnsi="Corbel" w:cs="Arial"/>
          <w:sz w:val="22"/>
          <w:szCs w:val="22"/>
          <w:lang w:val="fr-CH"/>
        </w:rPr>
      </w:pPr>
      <w:r w:rsidRPr="006213EC">
        <w:rPr>
          <w:rFonts w:ascii="Corbel" w:hAnsi="Corbel"/>
          <w:sz w:val="22"/>
          <w:lang w:val="fr-CH"/>
        </w:rPr>
        <w:t>Les erreurs et lacunes constatées ont été abordées avec la direction. Les mesures adéquates seront prises jusqu’à la fin de l’année ou jusqu’à l’audit des comptes annuels 2022.</w:t>
      </w:r>
    </w:p>
    <w:p w14:paraId="4F86DDDA" w14:textId="77777777" w:rsidR="005601D4" w:rsidRPr="006213EC" w:rsidRDefault="005601D4" w:rsidP="005601D4">
      <w:pPr>
        <w:pStyle w:val="Text"/>
        <w:rPr>
          <w:rFonts w:ascii="Corbel" w:hAnsi="Corbel"/>
          <w:sz w:val="22"/>
          <w:szCs w:val="22"/>
        </w:rPr>
      </w:pPr>
    </w:p>
    <w:p w14:paraId="03F9DC46" w14:textId="77777777" w:rsidR="005601D4" w:rsidRPr="006213EC" w:rsidRDefault="005601D4" w:rsidP="005601D4">
      <w:pPr>
        <w:pStyle w:val="Text"/>
        <w:rPr>
          <w:rFonts w:ascii="Corbel" w:hAnsi="Corbel"/>
          <w:sz w:val="22"/>
          <w:szCs w:val="22"/>
        </w:rPr>
      </w:pPr>
    </w:p>
    <w:p w14:paraId="2384285F" w14:textId="77777777" w:rsidR="005601D4" w:rsidRPr="006213EC" w:rsidRDefault="005601D4" w:rsidP="005601D4">
      <w:pPr>
        <w:pStyle w:val="Gruss"/>
        <w:rPr>
          <w:rFonts w:ascii="Corbel" w:hAnsi="Corbel"/>
          <w:sz w:val="22"/>
          <w:szCs w:val="22"/>
        </w:rPr>
      </w:pPr>
      <w:r w:rsidRPr="006213EC">
        <w:rPr>
          <w:rFonts w:ascii="Corbel" w:hAnsi="Corbel"/>
          <w:sz w:val="22"/>
        </w:rPr>
        <w:t>Meilleures salutations</w:t>
      </w:r>
    </w:p>
    <w:p w14:paraId="200D8E2B" w14:textId="77777777" w:rsidR="005601D4" w:rsidRPr="006213EC" w:rsidRDefault="005601D4" w:rsidP="005601D4">
      <w:pPr>
        <w:pStyle w:val="Text"/>
        <w:rPr>
          <w:rFonts w:ascii="Corbel" w:hAnsi="Corbel"/>
          <w:sz w:val="22"/>
          <w:szCs w:val="22"/>
        </w:rPr>
      </w:pPr>
    </w:p>
    <w:p w14:paraId="4313D04D" w14:textId="77777777" w:rsidR="005601D4" w:rsidRPr="006213EC" w:rsidRDefault="005601D4" w:rsidP="005601D4">
      <w:pPr>
        <w:pStyle w:val="Firma"/>
        <w:rPr>
          <w:rFonts w:ascii="Corbel" w:hAnsi="Corbel"/>
          <w:sz w:val="22"/>
          <w:szCs w:val="22"/>
        </w:rPr>
      </w:pPr>
      <w:r w:rsidRPr="006213EC">
        <w:rPr>
          <w:rFonts w:ascii="Corbel" w:hAnsi="Corbel"/>
          <w:sz w:val="22"/>
        </w:rPr>
        <w:t>ASSURANCE-QUALITÉ SA</w:t>
      </w:r>
    </w:p>
    <w:p w14:paraId="6A2AFB27" w14:textId="77777777" w:rsidR="005601D4" w:rsidRPr="006213EC" w:rsidRDefault="005601D4" w:rsidP="005601D4">
      <w:pPr>
        <w:pStyle w:val="Text"/>
        <w:rPr>
          <w:rFonts w:ascii="Corbel" w:hAnsi="Corbel"/>
        </w:rPr>
      </w:pPr>
    </w:p>
    <w:p w14:paraId="0DF1F790" w14:textId="77777777" w:rsidR="005601D4" w:rsidRPr="006213EC" w:rsidRDefault="005601D4" w:rsidP="005601D4">
      <w:pPr>
        <w:pStyle w:val="Text"/>
        <w:rPr>
          <w:rFonts w:ascii="Corbel" w:hAnsi="Corbel"/>
        </w:rPr>
      </w:pPr>
    </w:p>
    <w:p w14:paraId="16B31479" w14:textId="77777777" w:rsidR="005601D4" w:rsidRPr="006213EC" w:rsidRDefault="005601D4" w:rsidP="005601D4">
      <w:pPr>
        <w:pStyle w:val="Text"/>
        <w:rPr>
          <w:rFonts w:ascii="Corbel" w:hAnsi="Corbel"/>
        </w:rPr>
      </w:pPr>
    </w:p>
    <w:p w14:paraId="6F253288" w14:textId="77777777" w:rsidR="005601D4" w:rsidRPr="006213EC" w:rsidRDefault="005601D4" w:rsidP="005601D4">
      <w:pPr>
        <w:pStyle w:val="Text"/>
        <w:rPr>
          <w:rFonts w:ascii="Corbel" w:hAnsi="Corbel"/>
        </w:rPr>
      </w:pPr>
    </w:p>
    <w:p w14:paraId="01107DAD" w14:textId="77777777" w:rsidR="005601D4" w:rsidRPr="006213EC" w:rsidRDefault="005601D4" w:rsidP="005601D4">
      <w:pPr>
        <w:pStyle w:val="Text"/>
        <w:rPr>
          <w:rFonts w:ascii="Corbel" w:hAnsi="Corbel"/>
          <w:sz w:val="22"/>
          <w:szCs w:val="22"/>
        </w:rPr>
      </w:pPr>
    </w:p>
    <w:p w14:paraId="70B20978" w14:textId="77777777" w:rsidR="005601D4" w:rsidRPr="006213EC" w:rsidRDefault="005601D4" w:rsidP="005601D4">
      <w:pPr>
        <w:pStyle w:val="Unterschrift1"/>
        <w:tabs>
          <w:tab w:val="left" w:pos="4820"/>
        </w:tabs>
        <w:rPr>
          <w:rFonts w:ascii="Corbel" w:hAnsi="Corbel"/>
          <w:sz w:val="20"/>
        </w:rPr>
      </w:pPr>
      <w:r w:rsidRPr="006213EC">
        <w:rPr>
          <w:rFonts w:ascii="Corbel" w:hAnsi="Corbel"/>
          <w:sz w:val="22"/>
        </w:rPr>
        <w:t>Prénom modèle Nom modèle</w:t>
      </w:r>
      <w:r w:rsidRPr="006213EC">
        <w:rPr>
          <w:rFonts w:ascii="Corbel" w:hAnsi="Corbel"/>
          <w:sz w:val="20"/>
        </w:rPr>
        <w:tab/>
      </w:r>
    </w:p>
    <w:p w14:paraId="79224690" w14:textId="77777777" w:rsidR="005601D4" w:rsidRPr="006213EC" w:rsidRDefault="005601D4" w:rsidP="005601D4">
      <w:pPr>
        <w:pStyle w:val="Unterschrift1"/>
        <w:tabs>
          <w:tab w:val="left" w:pos="4820"/>
        </w:tabs>
        <w:rPr>
          <w:rFonts w:ascii="Corbel" w:hAnsi="Corbel"/>
        </w:rPr>
      </w:pPr>
      <w:r w:rsidRPr="006213EC">
        <w:rPr>
          <w:rFonts w:ascii="Corbel" w:hAnsi="Corbel"/>
        </w:rPr>
        <w:t>Réviseur agréé</w:t>
      </w:r>
      <w:r w:rsidRPr="006213EC">
        <w:rPr>
          <w:rFonts w:ascii="Corbel" w:hAnsi="Corbel"/>
        </w:rPr>
        <w:tab/>
      </w:r>
    </w:p>
    <w:sectPr w:rsidR="005601D4" w:rsidRPr="006213EC" w:rsidSect="005601D4">
      <w:headerReference w:type="default" r:id="rId9"/>
      <w:footerReference w:type="default" r:id="rId10"/>
      <w:headerReference w:type="first" r:id="rId11"/>
      <w:footerReference w:type="first" r:id="rId12"/>
      <w:pgSz w:w="11907" w:h="16840"/>
      <w:pgMar w:top="1418" w:right="992" w:bottom="851" w:left="1418" w:header="0" w:footer="17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8CE894" w14:textId="77777777" w:rsidR="00B17EDA" w:rsidRDefault="00B17EDA">
      <w:r>
        <w:separator/>
      </w:r>
    </w:p>
  </w:endnote>
  <w:endnote w:type="continuationSeparator" w:id="0">
    <w:p w14:paraId="76B19DDF" w14:textId="77777777" w:rsidR="00B17EDA" w:rsidRDefault="00B17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KievitPro-Regular">
    <w:panose1 w:val="020B0504030101020102"/>
    <w:charset w:val="00"/>
    <w:family w:val="swiss"/>
    <w:notTrueType/>
    <w:pitch w:val="variable"/>
    <w:sig w:usb0="A00002FF" w:usb1="4000205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97529883"/>
      <w:docPartObj>
        <w:docPartGallery w:val="Page Numbers (Bottom of Page)"/>
        <w:docPartUnique/>
      </w:docPartObj>
    </w:sdtPr>
    <w:sdtEndPr/>
    <w:sdtContent>
      <w:p w14:paraId="128D5518" w14:textId="1B60A846" w:rsidR="0015513E" w:rsidRDefault="005601D4" w:rsidP="0015513E">
        <w:pPr>
          <w:pStyle w:val="Fuzeile"/>
          <w:jc w:val="center"/>
        </w:pPr>
        <w:r>
          <w:rPr>
            <w:rFonts w:ascii="KievitPro-Regular" w:hAnsi="KievitPro-Regular"/>
          </w:rPr>
          <w:fldChar w:fldCharType="begin"/>
        </w:r>
        <w:r>
          <w:rPr>
            <w:rFonts w:ascii="KievitPro-Regular" w:hAnsi="KievitPro-Regular"/>
          </w:rPr>
          <w:instrText xml:space="preserve"> PAGE   \* MERGEFORMAT </w:instrText>
        </w:r>
        <w:r>
          <w:rPr>
            <w:rFonts w:ascii="KievitPro-Regular" w:hAnsi="KievitPro-Regular"/>
          </w:rPr>
          <w:fldChar w:fldCharType="separate"/>
        </w:r>
        <w:r w:rsidR="00F94B17">
          <w:rPr>
            <w:rFonts w:ascii="KievitPro-Regular" w:hAnsi="KievitPro-Regular"/>
            <w:noProof/>
          </w:rPr>
          <w:t>3</w:t>
        </w:r>
        <w:r>
          <w:rPr>
            <w:rFonts w:ascii="KievitPro-Regular" w:hAnsi="KievitPro-Regular"/>
          </w:rPr>
          <w:fldChar w:fldCharType="end"/>
        </w:r>
        <w:r w:rsidR="00985540">
          <w:rPr>
            <w:rFonts w:ascii="KievitPro-Regular" w:hAnsi="KievitPro-Regular"/>
          </w:rPr>
          <w:tab/>
        </w:r>
        <w:r w:rsidR="00985540">
          <w:rPr>
            <w:rFonts w:ascii="KievitPro-Regular" w:hAnsi="KievitPro-Regular"/>
          </w:rPr>
          <w:tab/>
          <w:t>www.fiduciairesuisse.ch</w:t>
        </w:r>
        <w:r w:rsidR="000027D7">
          <w:tab/>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3573571"/>
      <w:docPartObj>
        <w:docPartGallery w:val="Page Numbers (Bottom of Page)"/>
        <w:docPartUnique/>
      </w:docPartObj>
    </w:sdtPr>
    <w:sdtEndPr>
      <w:rPr>
        <w:rFonts w:ascii="KievitPro-Regular" w:hAnsi="KievitPro-Regular"/>
      </w:rPr>
    </w:sdtEndPr>
    <w:sdtContent>
      <w:p w14:paraId="367DFB9E" w14:textId="6B3A83DF" w:rsidR="00E80C21" w:rsidRPr="00434C91" w:rsidRDefault="00E80C21" w:rsidP="00E80C21">
        <w:pPr>
          <w:pStyle w:val="Fuzeile"/>
          <w:rPr>
            <w:rFonts w:ascii="KievitPro-Regular" w:hAnsi="KievitPro-Regular"/>
          </w:rPr>
        </w:pPr>
        <w:r>
          <w:rPr>
            <w:rFonts w:ascii="KievitPro-Regular" w:hAnsi="KievitPro-Regular"/>
          </w:rPr>
          <w:tab/>
        </w:r>
        <w:r>
          <w:rPr>
            <w:rFonts w:ascii="KievitPro-Regular" w:hAnsi="KievitPro-Regular"/>
          </w:rPr>
          <w:tab/>
          <w:t>www.fiduciairesuisse.ch</w:t>
        </w:r>
      </w:p>
    </w:sdtContent>
  </w:sdt>
  <w:p w14:paraId="7FB366B5" w14:textId="0AA6A7BF" w:rsidR="0015513E" w:rsidRDefault="0015513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DD8DE7" w14:textId="77777777" w:rsidR="00B17EDA" w:rsidRDefault="00B17EDA">
      <w:r>
        <w:separator/>
      </w:r>
    </w:p>
  </w:footnote>
  <w:footnote w:type="continuationSeparator" w:id="0">
    <w:p w14:paraId="6D65D770" w14:textId="77777777" w:rsidR="00B17EDA" w:rsidRDefault="00B17EDA">
      <w:r>
        <w:continuationSeparator/>
      </w:r>
    </w:p>
  </w:footnote>
  <w:footnote w:id="1">
    <w:p w14:paraId="7D97C3E7" w14:textId="77777777" w:rsidR="008A6A5E" w:rsidRPr="005601D4" w:rsidRDefault="008A6A5E" w:rsidP="008A6A5E">
      <w:pPr>
        <w:pStyle w:val="Funotentext"/>
        <w:rPr>
          <w:rFonts w:ascii="KievitPro-Regular" w:hAnsi="KievitPro-Regular"/>
          <w:lang w:val="fr-CH"/>
        </w:rPr>
      </w:pPr>
      <w:r w:rsidRPr="005601D4">
        <w:rPr>
          <w:rStyle w:val="Funotenzeichen"/>
          <w:rFonts w:ascii="KievitPro-Regular" w:hAnsi="KievitPro-Regular"/>
          <w:sz w:val="20"/>
          <w:lang w:val="fr-CH"/>
        </w:rPr>
        <w:footnoteRef/>
      </w:r>
      <w:r w:rsidRPr="005601D4">
        <w:rPr>
          <w:rFonts w:ascii="KievitPro-Regular" w:hAnsi="KievitPro-Regular"/>
          <w:lang w:val="fr-CH"/>
        </w:rPr>
        <w:t xml:space="preserve"> </w:t>
      </w:r>
      <w:r w:rsidRPr="005601D4">
        <w:rPr>
          <w:rFonts w:ascii="KievitPro-Regular" w:hAnsi="KievitPro-Regular" w:cs="Arial"/>
          <w:color w:val="333333"/>
          <w:lang w:val="fr-CH"/>
        </w:rPr>
        <w:t>Dans une circulaire</w:t>
      </w:r>
      <w:r w:rsidRPr="005601D4">
        <w:rPr>
          <w:rFonts w:ascii="KievitPro-Regular" w:hAnsi="KievitPro-Regular" w:cs="Arial"/>
          <w:lang w:val="fr-CH"/>
        </w:rPr>
        <w:t xml:space="preserve"> </w:t>
      </w:r>
      <w:hyperlink r:id="rId1" w:history="1">
        <w:r w:rsidRPr="005601D4">
          <w:rPr>
            <w:rStyle w:val="Hyperlink"/>
            <w:rFonts w:ascii="KievitPro-Regular" w:hAnsi="KievitPro-Regular" w:cs="Arial"/>
            <w:lang w:val="fr-CH"/>
          </w:rPr>
          <w:t>(Circ. 1/2014),</w:t>
        </w:r>
      </w:hyperlink>
      <w:r w:rsidRPr="005601D4">
        <w:rPr>
          <w:rFonts w:ascii="KievitPro-Regular" w:hAnsi="KievitPro-Regular" w:cs="Arial"/>
          <w:lang w:val="fr-CH"/>
        </w:rPr>
        <w:t xml:space="preserve"> </w:t>
      </w:r>
      <w:r w:rsidRPr="005601D4">
        <w:rPr>
          <w:rFonts w:ascii="KievitPro-Regular" w:hAnsi="KievitPro-Regular" w:cs="Arial"/>
          <w:color w:val="333333"/>
          <w:lang w:val="fr-CH"/>
        </w:rPr>
        <w:t>l’Autorité fédérale de surveillance en matière de révision (ASR) a publié des précisions sur les normes applicables au contrôle qualité interne des entreprises de révision.</w:t>
      </w:r>
    </w:p>
  </w:footnote>
  <w:footnote w:id="2">
    <w:p w14:paraId="0EF5E816" w14:textId="77777777" w:rsidR="008A6A5E" w:rsidRPr="005E495B" w:rsidRDefault="008A6A5E" w:rsidP="008A6A5E">
      <w:pPr>
        <w:pStyle w:val="Funotentext"/>
        <w:rPr>
          <w:rFonts w:ascii="KievitPro-Regular" w:hAnsi="KievitPro-Regular" w:cs="Arial"/>
          <w:lang w:val="fr-CH"/>
        </w:rPr>
      </w:pPr>
      <w:r w:rsidRPr="005E495B">
        <w:rPr>
          <w:rStyle w:val="Funotenzeichen"/>
          <w:rFonts w:ascii="KievitPro-Regular" w:hAnsi="KievitPro-Regular" w:cs="Arial"/>
          <w:sz w:val="20"/>
          <w:lang w:val="fr-CH"/>
        </w:rPr>
        <w:footnoteRef/>
      </w:r>
      <w:r w:rsidRPr="005E495B">
        <w:rPr>
          <w:rFonts w:ascii="KievitPro-Regular" w:hAnsi="KievitPro-Regular" w:cs="Arial"/>
          <w:lang w:val="fr-CH"/>
        </w:rPr>
        <w:t xml:space="preserve"> au moins une fois par année et selon le besoin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5CD71" w14:textId="4D8614AC" w:rsidR="006A55E4" w:rsidRPr="000A7994" w:rsidRDefault="00D9704D" w:rsidP="00985540">
    <w:pPr>
      <w:pStyle w:val="Kopfzeile"/>
      <w:tabs>
        <w:tab w:val="clear" w:pos="9072"/>
        <w:tab w:val="right" w:pos="9498"/>
      </w:tabs>
      <w:ind w:left="-1418"/>
      <w:rPr>
        <w:sz w:val="16"/>
      </w:rPr>
    </w:pPr>
    <w:r>
      <w:rPr>
        <w:noProof/>
        <w:lang w:eastAsia="de-CH"/>
      </w:rPr>
      <w:drawing>
        <wp:inline distT="0" distB="0" distL="0" distR="0" wp14:anchorId="471D829E" wp14:editId="481E4D3E">
          <wp:extent cx="7591425" cy="685800"/>
          <wp:effectExtent l="0" t="0" r="9525" b="0"/>
          <wp:docPr id="3" name="Grafik 3" descr="50744_Treuhand_Suisse_Dokument_Kopfzeile_210x19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0744_Treuhand_Suisse_Dokument_Kopfzeile_210x19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685800"/>
                  </a:xfrm>
                  <a:prstGeom prst="rect">
                    <a:avLst/>
                  </a:prstGeom>
                  <a:noFill/>
                  <a:ln>
                    <a:noFill/>
                  </a:ln>
                </pic:spPr>
              </pic:pic>
            </a:graphicData>
          </a:graphic>
        </wp:inline>
      </w:drawing>
    </w:r>
    <w:r w:rsidR="006A55E4">
      <w:rPr>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CB6A0" w14:textId="3AE2AD95" w:rsidR="0015513E" w:rsidRDefault="00D9704D" w:rsidP="00985540">
    <w:pPr>
      <w:pStyle w:val="Kopfzeile"/>
      <w:ind w:left="-1418"/>
    </w:pPr>
    <w:r>
      <w:rPr>
        <w:noProof/>
        <w:lang w:eastAsia="de-CH"/>
      </w:rPr>
      <w:drawing>
        <wp:inline distT="0" distB="0" distL="0" distR="0" wp14:anchorId="16D8AC97" wp14:editId="22914A78">
          <wp:extent cx="7591425" cy="685800"/>
          <wp:effectExtent l="0" t="0" r="9525" b="0"/>
          <wp:docPr id="4" name="Grafik 4" descr="50744_Treuhand_Suisse_Dokument_Kopfzeile_210x19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50744_Treuhand_Suisse_Dokument_Kopfzeile_210x19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1425"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CE6A4E4"/>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EAC574E"/>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149ACC4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6188279E"/>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E052453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A14E69A"/>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902624"/>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CB4A8D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54C28C6"/>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83ACCFD0"/>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8275F9"/>
    <w:multiLevelType w:val="hybridMultilevel"/>
    <w:tmpl w:val="61BCDD56"/>
    <w:lvl w:ilvl="0" w:tplc="0C3EFED6">
      <w:start w:val="1"/>
      <w:numFmt w:val="bullet"/>
      <w:lvlText w:val="­"/>
      <w:lvlJc w:val="left"/>
      <w:pPr>
        <w:tabs>
          <w:tab w:val="num" w:pos="1068"/>
        </w:tabs>
        <w:ind w:left="1068" w:hanging="360"/>
      </w:pPr>
      <w:rPr>
        <w:rFonts w:ascii="Times New Roman" w:hAnsi="Times New Roman" w:cs="Times New Roman" w:hint="default"/>
      </w:rPr>
    </w:lvl>
    <w:lvl w:ilvl="1" w:tplc="040C0003" w:tentative="1">
      <w:start w:val="1"/>
      <w:numFmt w:val="bullet"/>
      <w:lvlText w:val="o"/>
      <w:lvlJc w:val="left"/>
      <w:pPr>
        <w:tabs>
          <w:tab w:val="num" w:pos="2148"/>
        </w:tabs>
        <w:ind w:left="2148" w:hanging="360"/>
      </w:pPr>
      <w:rPr>
        <w:rFonts w:ascii="Courier New" w:hAnsi="Courier New" w:hint="default"/>
      </w:rPr>
    </w:lvl>
    <w:lvl w:ilvl="2" w:tplc="040C0005" w:tentative="1">
      <w:start w:val="1"/>
      <w:numFmt w:val="bullet"/>
      <w:lvlText w:val=""/>
      <w:lvlJc w:val="left"/>
      <w:pPr>
        <w:tabs>
          <w:tab w:val="num" w:pos="2868"/>
        </w:tabs>
        <w:ind w:left="2868" w:hanging="360"/>
      </w:pPr>
      <w:rPr>
        <w:rFonts w:ascii="Wingdings" w:hAnsi="Wingdings" w:hint="default"/>
      </w:rPr>
    </w:lvl>
    <w:lvl w:ilvl="3" w:tplc="040C0001" w:tentative="1">
      <w:start w:val="1"/>
      <w:numFmt w:val="bullet"/>
      <w:lvlText w:val=""/>
      <w:lvlJc w:val="left"/>
      <w:pPr>
        <w:tabs>
          <w:tab w:val="num" w:pos="3588"/>
        </w:tabs>
        <w:ind w:left="3588" w:hanging="360"/>
      </w:pPr>
      <w:rPr>
        <w:rFonts w:ascii="Symbol" w:hAnsi="Symbol" w:hint="default"/>
      </w:rPr>
    </w:lvl>
    <w:lvl w:ilvl="4" w:tplc="040C0003" w:tentative="1">
      <w:start w:val="1"/>
      <w:numFmt w:val="bullet"/>
      <w:lvlText w:val="o"/>
      <w:lvlJc w:val="left"/>
      <w:pPr>
        <w:tabs>
          <w:tab w:val="num" w:pos="4308"/>
        </w:tabs>
        <w:ind w:left="4308" w:hanging="360"/>
      </w:pPr>
      <w:rPr>
        <w:rFonts w:ascii="Courier New" w:hAnsi="Courier New" w:hint="default"/>
      </w:rPr>
    </w:lvl>
    <w:lvl w:ilvl="5" w:tplc="040C0005" w:tentative="1">
      <w:start w:val="1"/>
      <w:numFmt w:val="bullet"/>
      <w:lvlText w:val=""/>
      <w:lvlJc w:val="left"/>
      <w:pPr>
        <w:tabs>
          <w:tab w:val="num" w:pos="5028"/>
        </w:tabs>
        <w:ind w:left="5028" w:hanging="360"/>
      </w:pPr>
      <w:rPr>
        <w:rFonts w:ascii="Wingdings" w:hAnsi="Wingdings" w:hint="default"/>
      </w:rPr>
    </w:lvl>
    <w:lvl w:ilvl="6" w:tplc="040C0001" w:tentative="1">
      <w:start w:val="1"/>
      <w:numFmt w:val="bullet"/>
      <w:lvlText w:val=""/>
      <w:lvlJc w:val="left"/>
      <w:pPr>
        <w:tabs>
          <w:tab w:val="num" w:pos="5748"/>
        </w:tabs>
        <w:ind w:left="5748" w:hanging="360"/>
      </w:pPr>
      <w:rPr>
        <w:rFonts w:ascii="Symbol" w:hAnsi="Symbol" w:hint="default"/>
      </w:rPr>
    </w:lvl>
    <w:lvl w:ilvl="7" w:tplc="040C0003" w:tentative="1">
      <w:start w:val="1"/>
      <w:numFmt w:val="bullet"/>
      <w:lvlText w:val="o"/>
      <w:lvlJc w:val="left"/>
      <w:pPr>
        <w:tabs>
          <w:tab w:val="num" w:pos="6468"/>
        </w:tabs>
        <w:ind w:left="6468" w:hanging="360"/>
      </w:pPr>
      <w:rPr>
        <w:rFonts w:ascii="Courier New" w:hAnsi="Courier New" w:hint="default"/>
      </w:rPr>
    </w:lvl>
    <w:lvl w:ilvl="8" w:tplc="040C0005" w:tentative="1">
      <w:start w:val="1"/>
      <w:numFmt w:val="bullet"/>
      <w:lvlText w:val=""/>
      <w:lvlJc w:val="left"/>
      <w:pPr>
        <w:tabs>
          <w:tab w:val="num" w:pos="7188"/>
        </w:tabs>
        <w:ind w:left="7188" w:hanging="360"/>
      </w:pPr>
      <w:rPr>
        <w:rFonts w:ascii="Wingdings" w:hAnsi="Wingdings" w:hint="default"/>
      </w:rPr>
    </w:lvl>
  </w:abstractNum>
  <w:abstractNum w:abstractNumId="11" w15:restartNumberingAfterBreak="0">
    <w:nsid w:val="083635EA"/>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DE53DA2"/>
    <w:multiLevelType w:val="multilevel"/>
    <w:tmpl w:val="A1D2965C"/>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1378213C"/>
    <w:multiLevelType w:val="multilevel"/>
    <w:tmpl w:val="800E291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6B95C9D"/>
    <w:multiLevelType w:val="hybridMultilevel"/>
    <w:tmpl w:val="04D6E1F2"/>
    <w:lvl w:ilvl="0" w:tplc="0AC21F24">
      <w:start w:val="1"/>
      <w:numFmt w:val="decimal"/>
      <w:lvlText w:val="%1."/>
      <w:lvlJc w:val="left"/>
      <w:pPr>
        <w:ind w:left="705" w:hanging="705"/>
      </w:pPr>
    </w:lvl>
    <w:lvl w:ilvl="1" w:tplc="08070019">
      <w:start w:val="1"/>
      <w:numFmt w:val="lowerLetter"/>
      <w:lvlText w:val="%2."/>
      <w:lvlJc w:val="left"/>
      <w:pPr>
        <w:ind w:left="1080" w:hanging="360"/>
      </w:pPr>
    </w:lvl>
    <w:lvl w:ilvl="2" w:tplc="0807001B">
      <w:start w:val="1"/>
      <w:numFmt w:val="lowerRoman"/>
      <w:lvlText w:val="%3."/>
      <w:lvlJc w:val="right"/>
      <w:pPr>
        <w:ind w:left="1800" w:hanging="180"/>
      </w:pPr>
    </w:lvl>
    <w:lvl w:ilvl="3" w:tplc="0807000F">
      <w:start w:val="1"/>
      <w:numFmt w:val="decimal"/>
      <w:lvlText w:val="%4."/>
      <w:lvlJc w:val="left"/>
      <w:pPr>
        <w:ind w:left="2520" w:hanging="360"/>
      </w:pPr>
    </w:lvl>
    <w:lvl w:ilvl="4" w:tplc="08070019">
      <w:start w:val="1"/>
      <w:numFmt w:val="lowerLetter"/>
      <w:lvlText w:val="%5."/>
      <w:lvlJc w:val="left"/>
      <w:pPr>
        <w:ind w:left="3240" w:hanging="360"/>
      </w:pPr>
    </w:lvl>
    <w:lvl w:ilvl="5" w:tplc="0807001B">
      <w:start w:val="1"/>
      <w:numFmt w:val="lowerRoman"/>
      <w:lvlText w:val="%6."/>
      <w:lvlJc w:val="right"/>
      <w:pPr>
        <w:ind w:left="3960" w:hanging="180"/>
      </w:pPr>
    </w:lvl>
    <w:lvl w:ilvl="6" w:tplc="0807000F">
      <w:start w:val="1"/>
      <w:numFmt w:val="decimal"/>
      <w:lvlText w:val="%7."/>
      <w:lvlJc w:val="left"/>
      <w:pPr>
        <w:ind w:left="4680" w:hanging="360"/>
      </w:pPr>
    </w:lvl>
    <w:lvl w:ilvl="7" w:tplc="08070019">
      <w:start w:val="1"/>
      <w:numFmt w:val="lowerLetter"/>
      <w:lvlText w:val="%8."/>
      <w:lvlJc w:val="left"/>
      <w:pPr>
        <w:ind w:left="5400" w:hanging="360"/>
      </w:pPr>
    </w:lvl>
    <w:lvl w:ilvl="8" w:tplc="0807001B">
      <w:start w:val="1"/>
      <w:numFmt w:val="lowerRoman"/>
      <w:lvlText w:val="%9."/>
      <w:lvlJc w:val="right"/>
      <w:pPr>
        <w:ind w:left="6120" w:hanging="180"/>
      </w:pPr>
    </w:lvl>
  </w:abstractNum>
  <w:abstractNum w:abstractNumId="15" w15:restartNumberingAfterBreak="0">
    <w:nsid w:val="25C51D5F"/>
    <w:multiLevelType w:val="hybridMultilevel"/>
    <w:tmpl w:val="04686C54"/>
    <w:lvl w:ilvl="0" w:tplc="6C3CD6DA">
      <w:start w:val="1"/>
      <w:numFmt w:val="bullet"/>
      <w:lvlText w:val="-"/>
      <w:lvlJc w:val="left"/>
      <w:pPr>
        <w:ind w:left="-357" w:hanging="360"/>
      </w:pPr>
      <w:rPr>
        <w:rFonts w:ascii="Arial" w:hAnsi="Arial" w:hint="default"/>
        <w:b w:val="0"/>
        <w:i w:val="0"/>
        <w:sz w:val="22"/>
      </w:rPr>
    </w:lvl>
    <w:lvl w:ilvl="1" w:tplc="08070003">
      <w:start w:val="1"/>
      <w:numFmt w:val="bullet"/>
      <w:lvlText w:val="o"/>
      <w:lvlJc w:val="left"/>
      <w:pPr>
        <w:ind w:left="363" w:hanging="360"/>
      </w:pPr>
      <w:rPr>
        <w:rFonts w:ascii="Courier New" w:hAnsi="Courier New" w:cs="Courier New" w:hint="default"/>
      </w:rPr>
    </w:lvl>
    <w:lvl w:ilvl="2" w:tplc="08070005">
      <w:start w:val="1"/>
      <w:numFmt w:val="bullet"/>
      <w:lvlText w:val=""/>
      <w:lvlJc w:val="left"/>
      <w:pPr>
        <w:ind w:left="1083" w:hanging="360"/>
      </w:pPr>
      <w:rPr>
        <w:rFonts w:ascii="Wingdings" w:hAnsi="Wingdings" w:hint="default"/>
      </w:rPr>
    </w:lvl>
    <w:lvl w:ilvl="3" w:tplc="08070001" w:tentative="1">
      <w:start w:val="1"/>
      <w:numFmt w:val="bullet"/>
      <w:lvlText w:val=""/>
      <w:lvlJc w:val="left"/>
      <w:pPr>
        <w:ind w:left="1803" w:hanging="360"/>
      </w:pPr>
      <w:rPr>
        <w:rFonts w:ascii="Symbol" w:hAnsi="Symbol" w:hint="default"/>
      </w:rPr>
    </w:lvl>
    <w:lvl w:ilvl="4" w:tplc="08070003" w:tentative="1">
      <w:start w:val="1"/>
      <w:numFmt w:val="bullet"/>
      <w:lvlText w:val="o"/>
      <w:lvlJc w:val="left"/>
      <w:pPr>
        <w:ind w:left="2523" w:hanging="360"/>
      </w:pPr>
      <w:rPr>
        <w:rFonts w:ascii="Courier New" w:hAnsi="Courier New" w:cs="Courier New" w:hint="default"/>
      </w:rPr>
    </w:lvl>
    <w:lvl w:ilvl="5" w:tplc="08070005" w:tentative="1">
      <w:start w:val="1"/>
      <w:numFmt w:val="bullet"/>
      <w:lvlText w:val=""/>
      <w:lvlJc w:val="left"/>
      <w:pPr>
        <w:ind w:left="3243" w:hanging="360"/>
      </w:pPr>
      <w:rPr>
        <w:rFonts w:ascii="Wingdings" w:hAnsi="Wingdings" w:hint="default"/>
      </w:rPr>
    </w:lvl>
    <w:lvl w:ilvl="6" w:tplc="08070001" w:tentative="1">
      <w:start w:val="1"/>
      <w:numFmt w:val="bullet"/>
      <w:lvlText w:val=""/>
      <w:lvlJc w:val="left"/>
      <w:pPr>
        <w:ind w:left="3963" w:hanging="360"/>
      </w:pPr>
      <w:rPr>
        <w:rFonts w:ascii="Symbol" w:hAnsi="Symbol" w:hint="default"/>
      </w:rPr>
    </w:lvl>
    <w:lvl w:ilvl="7" w:tplc="08070003" w:tentative="1">
      <w:start w:val="1"/>
      <w:numFmt w:val="bullet"/>
      <w:lvlText w:val="o"/>
      <w:lvlJc w:val="left"/>
      <w:pPr>
        <w:ind w:left="4683" w:hanging="360"/>
      </w:pPr>
      <w:rPr>
        <w:rFonts w:ascii="Courier New" w:hAnsi="Courier New" w:cs="Courier New" w:hint="default"/>
      </w:rPr>
    </w:lvl>
    <w:lvl w:ilvl="8" w:tplc="08070005" w:tentative="1">
      <w:start w:val="1"/>
      <w:numFmt w:val="bullet"/>
      <w:lvlText w:val=""/>
      <w:lvlJc w:val="left"/>
      <w:pPr>
        <w:ind w:left="5403" w:hanging="360"/>
      </w:pPr>
      <w:rPr>
        <w:rFonts w:ascii="Wingdings" w:hAnsi="Wingdings" w:hint="default"/>
      </w:rPr>
    </w:lvl>
  </w:abstractNum>
  <w:abstractNum w:abstractNumId="16" w15:restartNumberingAfterBreak="0">
    <w:nsid w:val="2B2E4FEE"/>
    <w:multiLevelType w:val="hybridMultilevel"/>
    <w:tmpl w:val="92A0889E"/>
    <w:lvl w:ilvl="0" w:tplc="0C800894">
      <w:start w:val="1"/>
      <w:numFmt w:val="decimal"/>
      <w:lvlText w:val="%1."/>
      <w:lvlJc w:val="left"/>
      <w:pPr>
        <w:ind w:left="720" w:hanging="360"/>
      </w:pPr>
    </w:lvl>
    <w:lvl w:ilvl="1" w:tplc="0807000F">
      <w:start w:val="1"/>
      <w:numFmt w:val="decimal"/>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44BC2865"/>
    <w:multiLevelType w:val="hybridMultilevel"/>
    <w:tmpl w:val="A4C0E508"/>
    <w:lvl w:ilvl="0" w:tplc="61FC686E">
      <w:numFmt w:val="bullet"/>
      <w:lvlText w:val="-"/>
      <w:lvlJc w:val="left"/>
      <w:pPr>
        <w:ind w:left="360" w:hanging="360"/>
      </w:pPr>
      <w:rPr>
        <w:rFonts w:ascii="Arial" w:eastAsia="Times New Roman" w:hAnsi="Arial" w:cs="Arial" w:hint="default"/>
      </w:rPr>
    </w:lvl>
    <w:lvl w:ilvl="1" w:tplc="08070003">
      <w:start w:val="1"/>
      <w:numFmt w:val="bullet"/>
      <w:lvlText w:val="o"/>
      <w:lvlJc w:val="left"/>
      <w:pPr>
        <w:ind w:left="1080" w:hanging="360"/>
      </w:pPr>
      <w:rPr>
        <w:rFonts w:ascii="Courier New" w:hAnsi="Courier New" w:cs="Courier New" w:hint="default"/>
      </w:rPr>
    </w:lvl>
    <w:lvl w:ilvl="2" w:tplc="08070005">
      <w:start w:val="1"/>
      <w:numFmt w:val="bullet"/>
      <w:lvlText w:val=""/>
      <w:lvlJc w:val="left"/>
      <w:pPr>
        <w:ind w:left="1800" w:hanging="360"/>
      </w:pPr>
      <w:rPr>
        <w:rFonts w:ascii="Wingdings" w:hAnsi="Wingdings" w:hint="default"/>
      </w:rPr>
    </w:lvl>
    <w:lvl w:ilvl="3" w:tplc="08070001">
      <w:start w:val="1"/>
      <w:numFmt w:val="bullet"/>
      <w:lvlText w:val=""/>
      <w:lvlJc w:val="left"/>
      <w:pPr>
        <w:ind w:left="2520" w:hanging="360"/>
      </w:pPr>
      <w:rPr>
        <w:rFonts w:ascii="Symbol" w:hAnsi="Symbol" w:hint="default"/>
      </w:rPr>
    </w:lvl>
    <w:lvl w:ilvl="4" w:tplc="08070003">
      <w:start w:val="1"/>
      <w:numFmt w:val="bullet"/>
      <w:lvlText w:val="o"/>
      <w:lvlJc w:val="left"/>
      <w:pPr>
        <w:ind w:left="3240" w:hanging="360"/>
      </w:pPr>
      <w:rPr>
        <w:rFonts w:ascii="Courier New" w:hAnsi="Courier New" w:cs="Courier New" w:hint="default"/>
      </w:rPr>
    </w:lvl>
    <w:lvl w:ilvl="5" w:tplc="08070005">
      <w:start w:val="1"/>
      <w:numFmt w:val="bullet"/>
      <w:lvlText w:val=""/>
      <w:lvlJc w:val="left"/>
      <w:pPr>
        <w:ind w:left="3960" w:hanging="360"/>
      </w:pPr>
      <w:rPr>
        <w:rFonts w:ascii="Wingdings" w:hAnsi="Wingdings" w:hint="default"/>
      </w:rPr>
    </w:lvl>
    <w:lvl w:ilvl="6" w:tplc="08070001">
      <w:start w:val="1"/>
      <w:numFmt w:val="bullet"/>
      <w:lvlText w:val=""/>
      <w:lvlJc w:val="left"/>
      <w:pPr>
        <w:ind w:left="4680" w:hanging="360"/>
      </w:pPr>
      <w:rPr>
        <w:rFonts w:ascii="Symbol" w:hAnsi="Symbol" w:hint="default"/>
      </w:rPr>
    </w:lvl>
    <w:lvl w:ilvl="7" w:tplc="08070003">
      <w:start w:val="1"/>
      <w:numFmt w:val="bullet"/>
      <w:lvlText w:val="o"/>
      <w:lvlJc w:val="left"/>
      <w:pPr>
        <w:ind w:left="5400" w:hanging="360"/>
      </w:pPr>
      <w:rPr>
        <w:rFonts w:ascii="Courier New" w:hAnsi="Courier New" w:cs="Courier New" w:hint="default"/>
      </w:rPr>
    </w:lvl>
    <w:lvl w:ilvl="8" w:tplc="08070005">
      <w:start w:val="1"/>
      <w:numFmt w:val="bullet"/>
      <w:lvlText w:val=""/>
      <w:lvlJc w:val="left"/>
      <w:pPr>
        <w:ind w:left="6120" w:hanging="360"/>
      </w:pPr>
      <w:rPr>
        <w:rFonts w:ascii="Wingdings" w:hAnsi="Wingdings" w:hint="default"/>
      </w:rPr>
    </w:lvl>
  </w:abstractNum>
  <w:abstractNum w:abstractNumId="18" w15:restartNumberingAfterBreak="0">
    <w:nsid w:val="458F4E8A"/>
    <w:multiLevelType w:val="hybridMultilevel"/>
    <w:tmpl w:val="28A6E728"/>
    <w:lvl w:ilvl="0" w:tplc="88467684">
      <w:start w:val="3"/>
      <w:numFmt w:val="bullet"/>
      <w:lvlText w:val="-"/>
      <w:lvlJc w:val="left"/>
      <w:pPr>
        <w:ind w:left="360" w:hanging="360"/>
      </w:pPr>
      <w:rPr>
        <w:rFonts w:ascii="KievitPro-Regular" w:eastAsia="Times New Roman" w:hAnsi="KievitPro-Regular" w:cs="Times New Roman"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9" w15:restartNumberingAfterBreak="0">
    <w:nsid w:val="45C25731"/>
    <w:multiLevelType w:val="singleLevel"/>
    <w:tmpl w:val="0407000F"/>
    <w:lvl w:ilvl="0">
      <w:start w:val="1"/>
      <w:numFmt w:val="decimal"/>
      <w:lvlText w:val="%1."/>
      <w:lvlJc w:val="left"/>
      <w:pPr>
        <w:tabs>
          <w:tab w:val="num" w:pos="360"/>
        </w:tabs>
        <w:ind w:left="360" w:hanging="360"/>
      </w:pPr>
    </w:lvl>
  </w:abstractNum>
  <w:abstractNum w:abstractNumId="20" w15:restartNumberingAfterBreak="0">
    <w:nsid w:val="49BA3318"/>
    <w:multiLevelType w:val="hybridMultilevel"/>
    <w:tmpl w:val="A9D6151A"/>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6A5A5581"/>
    <w:multiLevelType w:val="hybridMultilevel"/>
    <w:tmpl w:val="0F1C1EA4"/>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22" w15:restartNumberingAfterBreak="0">
    <w:nsid w:val="6AD946F2"/>
    <w:multiLevelType w:val="hybridMultilevel"/>
    <w:tmpl w:val="F37EB3A0"/>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3" w15:restartNumberingAfterBreak="0">
    <w:nsid w:val="700F2D82"/>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03A1E57"/>
    <w:multiLevelType w:val="hybridMultilevel"/>
    <w:tmpl w:val="2852354C"/>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7357319A"/>
    <w:multiLevelType w:val="hybridMultilevel"/>
    <w:tmpl w:val="0C8CA1FC"/>
    <w:lvl w:ilvl="0" w:tplc="943C7098">
      <w:start w:val="1"/>
      <w:numFmt w:val="upperRoman"/>
      <w:lvlText w:val="%1."/>
      <w:lvlJc w:val="left"/>
      <w:pPr>
        <w:tabs>
          <w:tab w:val="num" w:pos="1080"/>
        </w:tabs>
        <w:ind w:left="1080" w:hanging="720"/>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27" w15:restartNumberingAfterBreak="0">
    <w:nsid w:val="76BD77CE"/>
    <w:multiLevelType w:val="multilevel"/>
    <w:tmpl w:val="08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4D575A"/>
    <w:multiLevelType w:val="multilevel"/>
    <w:tmpl w:val="04070025"/>
    <w:lvl w:ilvl="0">
      <w:start w:val="1"/>
      <w:numFmt w:val="decimal"/>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pStyle w:val="berschrift5"/>
      <w:lvlText w:val="%1.%2.%3.%4.%5"/>
      <w:lvlJc w:val="left"/>
      <w:pPr>
        <w:tabs>
          <w:tab w:val="num" w:pos="1008"/>
        </w:tabs>
        <w:ind w:left="1008" w:hanging="1008"/>
      </w:pPr>
    </w:lvl>
    <w:lvl w:ilvl="5">
      <w:start w:val="1"/>
      <w:numFmt w:val="decimal"/>
      <w:pStyle w:val="berschrift6"/>
      <w:lvlText w:val="%1.%2.%3.%4.%5.%6"/>
      <w:lvlJc w:val="left"/>
      <w:pPr>
        <w:tabs>
          <w:tab w:val="num" w:pos="1152"/>
        </w:tabs>
        <w:ind w:left="1152" w:hanging="1152"/>
      </w:pPr>
    </w:lvl>
    <w:lvl w:ilvl="6">
      <w:start w:val="1"/>
      <w:numFmt w:val="decimal"/>
      <w:pStyle w:val="berschrift7"/>
      <w:lvlText w:val="%1.%2.%3.%4.%5.%6.%7"/>
      <w:lvlJc w:val="left"/>
      <w:pPr>
        <w:tabs>
          <w:tab w:val="num" w:pos="1296"/>
        </w:tabs>
        <w:ind w:left="1296" w:hanging="1296"/>
      </w:pPr>
    </w:lvl>
    <w:lvl w:ilvl="7">
      <w:start w:val="1"/>
      <w:numFmt w:val="decimal"/>
      <w:pStyle w:val="berschrift8"/>
      <w:lvlText w:val="%1.%2.%3.%4.%5.%6.%7.%8"/>
      <w:lvlJc w:val="left"/>
      <w:pPr>
        <w:tabs>
          <w:tab w:val="num" w:pos="1440"/>
        </w:tabs>
        <w:ind w:left="1440" w:hanging="1440"/>
      </w:pPr>
    </w:lvl>
    <w:lvl w:ilvl="8">
      <w:start w:val="1"/>
      <w:numFmt w:val="decimal"/>
      <w:pStyle w:val="berschrift9"/>
      <w:lvlText w:val="%1.%2.%3.%4.%5.%6.%7.%8.%9"/>
      <w:lvlJc w:val="left"/>
      <w:pPr>
        <w:tabs>
          <w:tab w:val="num" w:pos="1584"/>
        </w:tabs>
        <w:ind w:left="1584" w:hanging="158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2"/>
  </w:num>
  <w:num w:numId="12">
    <w:abstractNumId w:val="20"/>
  </w:num>
  <w:num w:numId="13">
    <w:abstractNumId w:val="13"/>
  </w:num>
  <w:num w:numId="14">
    <w:abstractNumId w:val="18"/>
  </w:num>
  <w:num w:numId="15">
    <w:abstractNumId w:val="21"/>
  </w:num>
  <w:num w:numId="16">
    <w:abstractNumId w:val="25"/>
  </w:num>
  <w:num w:numId="17">
    <w:abstractNumId w:val="16"/>
  </w:num>
  <w:num w:numId="18">
    <w:abstractNumId w:val="12"/>
  </w:num>
  <w:num w:numId="19">
    <w:abstractNumId w:val="12"/>
  </w:num>
  <w:num w:numId="20">
    <w:abstractNumId w:val="12"/>
  </w:num>
  <w:num w:numId="21">
    <w:abstractNumId w:val="19"/>
  </w:num>
  <w:num w:numId="22">
    <w:abstractNumId w:val="15"/>
  </w:num>
  <w:num w:numId="23">
    <w:abstractNumId w:val="24"/>
  </w:num>
  <w:num w:numId="24">
    <w:abstractNumId w:val="10"/>
  </w:num>
  <w:num w:numId="25">
    <w:abstractNumId w:val="26"/>
  </w:num>
  <w:num w:numId="2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7"/>
  </w:num>
  <w:num w:numId="30">
    <w:abstractNumId w:val="12"/>
  </w:num>
  <w:num w:numId="31">
    <w:abstractNumId w:val="12"/>
  </w:num>
  <w:num w:numId="32">
    <w:abstractNumId w:val="12"/>
  </w:num>
  <w:num w:numId="33">
    <w:abstractNumId w:val="12"/>
  </w:num>
  <w:num w:numId="34">
    <w:abstractNumId w:val="12"/>
  </w:num>
  <w:num w:numId="35">
    <w:abstractNumId w:val="12"/>
  </w:num>
  <w:num w:numId="36">
    <w:abstractNumId w:val="12"/>
  </w:num>
  <w:num w:numId="37">
    <w:abstractNumId w:val="12"/>
  </w:num>
  <w:num w:numId="38">
    <w:abstractNumId w:val="14"/>
  </w:num>
  <w:num w:numId="39">
    <w:abstractNumId w:val="27"/>
  </w:num>
  <w:num w:numId="40">
    <w:abstractNumId w:val="22"/>
  </w:num>
  <w:num w:numId="41">
    <w:abstractNumId w:val="2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708"/>
  <w:autoHyphenation/>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IPSpeechSession$" w:val="FALSE"/>
    <w:docVar w:name="IPSpeechSessionSaved$" w:val="FALSE"/>
  </w:docVars>
  <w:rsids>
    <w:rsidRoot w:val="00B06F23"/>
    <w:rsid w:val="000027D7"/>
    <w:rsid w:val="00011F65"/>
    <w:rsid w:val="00014FE7"/>
    <w:rsid w:val="00022146"/>
    <w:rsid w:val="00030A1D"/>
    <w:rsid w:val="00031143"/>
    <w:rsid w:val="00034EC8"/>
    <w:rsid w:val="00043367"/>
    <w:rsid w:val="00044DA3"/>
    <w:rsid w:val="0004654A"/>
    <w:rsid w:val="00051E56"/>
    <w:rsid w:val="00060285"/>
    <w:rsid w:val="0006474C"/>
    <w:rsid w:val="00066A1A"/>
    <w:rsid w:val="00072264"/>
    <w:rsid w:val="00077D95"/>
    <w:rsid w:val="00096A19"/>
    <w:rsid w:val="000A4888"/>
    <w:rsid w:val="000A7994"/>
    <w:rsid w:val="000B6002"/>
    <w:rsid w:val="000B7B7E"/>
    <w:rsid w:val="000C1B45"/>
    <w:rsid w:val="000C2409"/>
    <w:rsid w:val="000C6262"/>
    <w:rsid w:val="000C7C33"/>
    <w:rsid w:val="000D3F3A"/>
    <w:rsid w:val="000D6B47"/>
    <w:rsid w:val="000E11F3"/>
    <w:rsid w:val="000E747F"/>
    <w:rsid w:val="000F1A95"/>
    <w:rsid w:val="000F325B"/>
    <w:rsid w:val="000F66A2"/>
    <w:rsid w:val="00101061"/>
    <w:rsid w:val="00102EBF"/>
    <w:rsid w:val="00110148"/>
    <w:rsid w:val="0012328F"/>
    <w:rsid w:val="0012347A"/>
    <w:rsid w:val="00133D1B"/>
    <w:rsid w:val="0013786E"/>
    <w:rsid w:val="00144323"/>
    <w:rsid w:val="00145A51"/>
    <w:rsid w:val="0015437A"/>
    <w:rsid w:val="0015513E"/>
    <w:rsid w:val="00164C3A"/>
    <w:rsid w:val="001679DB"/>
    <w:rsid w:val="00170985"/>
    <w:rsid w:val="001725F0"/>
    <w:rsid w:val="00174A28"/>
    <w:rsid w:val="00174A88"/>
    <w:rsid w:val="0018046C"/>
    <w:rsid w:val="001A4D24"/>
    <w:rsid w:val="001A54D8"/>
    <w:rsid w:val="001B0079"/>
    <w:rsid w:val="001B18F0"/>
    <w:rsid w:val="001D2316"/>
    <w:rsid w:val="001D2452"/>
    <w:rsid w:val="001E530F"/>
    <w:rsid w:val="00204444"/>
    <w:rsid w:val="002120A4"/>
    <w:rsid w:val="0021610B"/>
    <w:rsid w:val="00226832"/>
    <w:rsid w:val="00230144"/>
    <w:rsid w:val="002356A0"/>
    <w:rsid w:val="00240800"/>
    <w:rsid w:val="002456E2"/>
    <w:rsid w:val="002568E8"/>
    <w:rsid w:val="002653C6"/>
    <w:rsid w:val="002718A0"/>
    <w:rsid w:val="002723DB"/>
    <w:rsid w:val="0027665E"/>
    <w:rsid w:val="00281641"/>
    <w:rsid w:val="002A7AFF"/>
    <w:rsid w:val="002B0BE7"/>
    <w:rsid w:val="002C2C7D"/>
    <w:rsid w:val="002D2F05"/>
    <w:rsid w:val="002E3EF6"/>
    <w:rsid w:val="002E6CCA"/>
    <w:rsid w:val="002F4559"/>
    <w:rsid w:val="002F5F8A"/>
    <w:rsid w:val="00304E79"/>
    <w:rsid w:val="00310D19"/>
    <w:rsid w:val="003149D7"/>
    <w:rsid w:val="00315E83"/>
    <w:rsid w:val="00323419"/>
    <w:rsid w:val="003314C9"/>
    <w:rsid w:val="00337F3E"/>
    <w:rsid w:val="003429F7"/>
    <w:rsid w:val="00345540"/>
    <w:rsid w:val="003565AD"/>
    <w:rsid w:val="00375A89"/>
    <w:rsid w:val="00383EAE"/>
    <w:rsid w:val="00384BBA"/>
    <w:rsid w:val="00393036"/>
    <w:rsid w:val="00394B1E"/>
    <w:rsid w:val="00394E38"/>
    <w:rsid w:val="003B7168"/>
    <w:rsid w:val="003E1BCC"/>
    <w:rsid w:val="003E1C3E"/>
    <w:rsid w:val="003E26AD"/>
    <w:rsid w:val="003E2702"/>
    <w:rsid w:val="003E3625"/>
    <w:rsid w:val="003E69D0"/>
    <w:rsid w:val="003F12C0"/>
    <w:rsid w:val="00421161"/>
    <w:rsid w:val="00422058"/>
    <w:rsid w:val="004303D5"/>
    <w:rsid w:val="004377F1"/>
    <w:rsid w:val="00441B9B"/>
    <w:rsid w:val="00443E5B"/>
    <w:rsid w:val="004578A8"/>
    <w:rsid w:val="004601B6"/>
    <w:rsid w:val="0046052A"/>
    <w:rsid w:val="00465695"/>
    <w:rsid w:val="00467CDC"/>
    <w:rsid w:val="00470147"/>
    <w:rsid w:val="004735F8"/>
    <w:rsid w:val="004759BC"/>
    <w:rsid w:val="00476B5A"/>
    <w:rsid w:val="0048052C"/>
    <w:rsid w:val="004862FE"/>
    <w:rsid w:val="00491672"/>
    <w:rsid w:val="00491BE7"/>
    <w:rsid w:val="00493F6A"/>
    <w:rsid w:val="004A1404"/>
    <w:rsid w:val="004A3868"/>
    <w:rsid w:val="004B7FCC"/>
    <w:rsid w:val="004C17BC"/>
    <w:rsid w:val="004C391A"/>
    <w:rsid w:val="004C7F44"/>
    <w:rsid w:val="004D06E9"/>
    <w:rsid w:val="004D6744"/>
    <w:rsid w:val="004D67B5"/>
    <w:rsid w:val="004F2FF0"/>
    <w:rsid w:val="004F73AE"/>
    <w:rsid w:val="00504080"/>
    <w:rsid w:val="0050586D"/>
    <w:rsid w:val="005107ED"/>
    <w:rsid w:val="00522300"/>
    <w:rsid w:val="00522AC4"/>
    <w:rsid w:val="00526F16"/>
    <w:rsid w:val="00535282"/>
    <w:rsid w:val="00546D74"/>
    <w:rsid w:val="005601D4"/>
    <w:rsid w:val="00564EE4"/>
    <w:rsid w:val="00571136"/>
    <w:rsid w:val="00573278"/>
    <w:rsid w:val="005825E4"/>
    <w:rsid w:val="005878B2"/>
    <w:rsid w:val="005A2704"/>
    <w:rsid w:val="005A2741"/>
    <w:rsid w:val="005B719D"/>
    <w:rsid w:val="005C676F"/>
    <w:rsid w:val="005E05A8"/>
    <w:rsid w:val="005E25CD"/>
    <w:rsid w:val="005E495B"/>
    <w:rsid w:val="005F1CC3"/>
    <w:rsid w:val="005F4A29"/>
    <w:rsid w:val="006003C8"/>
    <w:rsid w:val="00602170"/>
    <w:rsid w:val="0060673D"/>
    <w:rsid w:val="00607B2C"/>
    <w:rsid w:val="006213EC"/>
    <w:rsid w:val="006238F4"/>
    <w:rsid w:val="00631204"/>
    <w:rsid w:val="00634458"/>
    <w:rsid w:val="00635E7E"/>
    <w:rsid w:val="00642E5B"/>
    <w:rsid w:val="00650B30"/>
    <w:rsid w:val="00655803"/>
    <w:rsid w:val="006607B9"/>
    <w:rsid w:val="00662FF0"/>
    <w:rsid w:val="00663EC4"/>
    <w:rsid w:val="00667ABF"/>
    <w:rsid w:val="00675162"/>
    <w:rsid w:val="0069052E"/>
    <w:rsid w:val="00692882"/>
    <w:rsid w:val="006945D8"/>
    <w:rsid w:val="006A0E6E"/>
    <w:rsid w:val="006A55E4"/>
    <w:rsid w:val="006B2AE1"/>
    <w:rsid w:val="006B5914"/>
    <w:rsid w:val="006B7908"/>
    <w:rsid w:val="006C34ED"/>
    <w:rsid w:val="006C390B"/>
    <w:rsid w:val="006D6F4B"/>
    <w:rsid w:val="006D71E7"/>
    <w:rsid w:val="006E5CE6"/>
    <w:rsid w:val="00704FB2"/>
    <w:rsid w:val="00705010"/>
    <w:rsid w:val="00711B71"/>
    <w:rsid w:val="007203AC"/>
    <w:rsid w:val="00743283"/>
    <w:rsid w:val="0074346B"/>
    <w:rsid w:val="00760CD8"/>
    <w:rsid w:val="00762F93"/>
    <w:rsid w:val="00767821"/>
    <w:rsid w:val="0077055E"/>
    <w:rsid w:val="00776ED8"/>
    <w:rsid w:val="007827CA"/>
    <w:rsid w:val="007A2A1B"/>
    <w:rsid w:val="007A76AA"/>
    <w:rsid w:val="007B091F"/>
    <w:rsid w:val="007B2DA9"/>
    <w:rsid w:val="007B75FB"/>
    <w:rsid w:val="007C2F13"/>
    <w:rsid w:val="007C31AA"/>
    <w:rsid w:val="007D32FC"/>
    <w:rsid w:val="007E5835"/>
    <w:rsid w:val="007E58AA"/>
    <w:rsid w:val="007E5E0A"/>
    <w:rsid w:val="007F538A"/>
    <w:rsid w:val="00802B8C"/>
    <w:rsid w:val="00810A6C"/>
    <w:rsid w:val="00813ED9"/>
    <w:rsid w:val="008160B9"/>
    <w:rsid w:val="008166D1"/>
    <w:rsid w:val="00822233"/>
    <w:rsid w:val="00824E43"/>
    <w:rsid w:val="00825C49"/>
    <w:rsid w:val="008275E3"/>
    <w:rsid w:val="008326B5"/>
    <w:rsid w:val="00864782"/>
    <w:rsid w:val="00865C66"/>
    <w:rsid w:val="008672C9"/>
    <w:rsid w:val="00867A45"/>
    <w:rsid w:val="0088750A"/>
    <w:rsid w:val="00887554"/>
    <w:rsid w:val="008903D9"/>
    <w:rsid w:val="008A07B1"/>
    <w:rsid w:val="008A429E"/>
    <w:rsid w:val="008A6A5E"/>
    <w:rsid w:val="008B644E"/>
    <w:rsid w:val="008C2574"/>
    <w:rsid w:val="008D12D6"/>
    <w:rsid w:val="008D5272"/>
    <w:rsid w:val="008D5662"/>
    <w:rsid w:val="008E58BF"/>
    <w:rsid w:val="008F4738"/>
    <w:rsid w:val="008F5A12"/>
    <w:rsid w:val="0090004A"/>
    <w:rsid w:val="00902D7B"/>
    <w:rsid w:val="009143B5"/>
    <w:rsid w:val="00934B08"/>
    <w:rsid w:val="009467F8"/>
    <w:rsid w:val="009471A3"/>
    <w:rsid w:val="009478D6"/>
    <w:rsid w:val="0095267C"/>
    <w:rsid w:val="0095497A"/>
    <w:rsid w:val="00965BEB"/>
    <w:rsid w:val="0096746E"/>
    <w:rsid w:val="00970DCB"/>
    <w:rsid w:val="009738B8"/>
    <w:rsid w:val="00980258"/>
    <w:rsid w:val="0098247B"/>
    <w:rsid w:val="009845E8"/>
    <w:rsid w:val="00985540"/>
    <w:rsid w:val="009950BD"/>
    <w:rsid w:val="00997D54"/>
    <w:rsid w:val="009A2785"/>
    <w:rsid w:val="009A6A3C"/>
    <w:rsid w:val="009B5205"/>
    <w:rsid w:val="009C0B54"/>
    <w:rsid w:val="009C448E"/>
    <w:rsid w:val="009D1E4F"/>
    <w:rsid w:val="009D4FD9"/>
    <w:rsid w:val="009D7702"/>
    <w:rsid w:val="009E0B29"/>
    <w:rsid w:val="009F0FF3"/>
    <w:rsid w:val="00A0143D"/>
    <w:rsid w:val="00A023CC"/>
    <w:rsid w:val="00A13812"/>
    <w:rsid w:val="00A307C8"/>
    <w:rsid w:val="00A325D1"/>
    <w:rsid w:val="00A41B20"/>
    <w:rsid w:val="00A44292"/>
    <w:rsid w:val="00A46E00"/>
    <w:rsid w:val="00A5100D"/>
    <w:rsid w:val="00A55AA7"/>
    <w:rsid w:val="00A57521"/>
    <w:rsid w:val="00A7402A"/>
    <w:rsid w:val="00A75EF5"/>
    <w:rsid w:val="00A76ABE"/>
    <w:rsid w:val="00A7761B"/>
    <w:rsid w:val="00A8442B"/>
    <w:rsid w:val="00A84AF9"/>
    <w:rsid w:val="00A84FE2"/>
    <w:rsid w:val="00A879D9"/>
    <w:rsid w:val="00A95016"/>
    <w:rsid w:val="00A971BA"/>
    <w:rsid w:val="00AB0C6B"/>
    <w:rsid w:val="00AB2E7C"/>
    <w:rsid w:val="00AB32DB"/>
    <w:rsid w:val="00AB434A"/>
    <w:rsid w:val="00AD1BF5"/>
    <w:rsid w:val="00AD4626"/>
    <w:rsid w:val="00AE469E"/>
    <w:rsid w:val="00AE4EF4"/>
    <w:rsid w:val="00AE5A0C"/>
    <w:rsid w:val="00B06F23"/>
    <w:rsid w:val="00B1040B"/>
    <w:rsid w:val="00B16EC7"/>
    <w:rsid w:val="00B17EDA"/>
    <w:rsid w:val="00B21A8F"/>
    <w:rsid w:val="00B224E2"/>
    <w:rsid w:val="00B24B1C"/>
    <w:rsid w:val="00B26A26"/>
    <w:rsid w:val="00B27B41"/>
    <w:rsid w:val="00B35FA8"/>
    <w:rsid w:val="00B43B78"/>
    <w:rsid w:val="00B47370"/>
    <w:rsid w:val="00B62A15"/>
    <w:rsid w:val="00B62FDF"/>
    <w:rsid w:val="00B7114F"/>
    <w:rsid w:val="00B75A44"/>
    <w:rsid w:val="00B76B82"/>
    <w:rsid w:val="00B775E1"/>
    <w:rsid w:val="00B8021D"/>
    <w:rsid w:val="00B81835"/>
    <w:rsid w:val="00B8513F"/>
    <w:rsid w:val="00B866E3"/>
    <w:rsid w:val="00B91A92"/>
    <w:rsid w:val="00B9453C"/>
    <w:rsid w:val="00B972B5"/>
    <w:rsid w:val="00BA2AFB"/>
    <w:rsid w:val="00BC2DC7"/>
    <w:rsid w:val="00BC5263"/>
    <w:rsid w:val="00BD4F8D"/>
    <w:rsid w:val="00BF165F"/>
    <w:rsid w:val="00BF5D9C"/>
    <w:rsid w:val="00C012D3"/>
    <w:rsid w:val="00C0342D"/>
    <w:rsid w:val="00C0466B"/>
    <w:rsid w:val="00C06F70"/>
    <w:rsid w:val="00C07E4D"/>
    <w:rsid w:val="00C2424B"/>
    <w:rsid w:val="00C3472E"/>
    <w:rsid w:val="00C36DEB"/>
    <w:rsid w:val="00C44883"/>
    <w:rsid w:val="00C479DD"/>
    <w:rsid w:val="00C5100B"/>
    <w:rsid w:val="00C55E55"/>
    <w:rsid w:val="00C678B1"/>
    <w:rsid w:val="00C70B6F"/>
    <w:rsid w:val="00C84A8B"/>
    <w:rsid w:val="00C85AAF"/>
    <w:rsid w:val="00C86CC1"/>
    <w:rsid w:val="00C87E74"/>
    <w:rsid w:val="00C94A72"/>
    <w:rsid w:val="00C95DDE"/>
    <w:rsid w:val="00CA62C6"/>
    <w:rsid w:val="00CB391A"/>
    <w:rsid w:val="00CB6C33"/>
    <w:rsid w:val="00CB7581"/>
    <w:rsid w:val="00CC07D8"/>
    <w:rsid w:val="00CC1CB1"/>
    <w:rsid w:val="00CC502D"/>
    <w:rsid w:val="00CC7C9E"/>
    <w:rsid w:val="00CD451B"/>
    <w:rsid w:val="00CD79B0"/>
    <w:rsid w:val="00CE5E8E"/>
    <w:rsid w:val="00CF4B3F"/>
    <w:rsid w:val="00D11B1C"/>
    <w:rsid w:val="00D15BA5"/>
    <w:rsid w:val="00D27B96"/>
    <w:rsid w:val="00D30D7A"/>
    <w:rsid w:val="00D35A2D"/>
    <w:rsid w:val="00D5243F"/>
    <w:rsid w:val="00D53C30"/>
    <w:rsid w:val="00D5432F"/>
    <w:rsid w:val="00D546B1"/>
    <w:rsid w:val="00D5764A"/>
    <w:rsid w:val="00D613EB"/>
    <w:rsid w:val="00D634BB"/>
    <w:rsid w:val="00D65B18"/>
    <w:rsid w:val="00D73F42"/>
    <w:rsid w:val="00D8046F"/>
    <w:rsid w:val="00D84062"/>
    <w:rsid w:val="00D84224"/>
    <w:rsid w:val="00D9704D"/>
    <w:rsid w:val="00DA2416"/>
    <w:rsid w:val="00DB1BE3"/>
    <w:rsid w:val="00DB701A"/>
    <w:rsid w:val="00DC402E"/>
    <w:rsid w:val="00DE084F"/>
    <w:rsid w:val="00DF141B"/>
    <w:rsid w:val="00DF2447"/>
    <w:rsid w:val="00DF2D46"/>
    <w:rsid w:val="00DF58D6"/>
    <w:rsid w:val="00E07034"/>
    <w:rsid w:val="00E10547"/>
    <w:rsid w:val="00E11D75"/>
    <w:rsid w:val="00E14F83"/>
    <w:rsid w:val="00E17F7A"/>
    <w:rsid w:val="00E20681"/>
    <w:rsid w:val="00E22AF9"/>
    <w:rsid w:val="00E24752"/>
    <w:rsid w:val="00E25EFC"/>
    <w:rsid w:val="00E26038"/>
    <w:rsid w:val="00E3110D"/>
    <w:rsid w:val="00E47614"/>
    <w:rsid w:val="00E527F0"/>
    <w:rsid w:val="00E5723C"/>
    <w:rsid w:val="00E60D1E"/>
    <w:rsid w:val="00E618C5"/>
    <w:rsid w:val="00E733A6"/>
    <w:rsid w:val="00E80C21"/>
    <w:rsid w:val="00E83F13"/>
    <w:rsid w:val="00E86BDC"/>
    <w:rsid w:val="00E87ACF"/>
    <w:rsid w:val="00E92557"/>
    <w:rsid w:val="00E93342"/>
    <w:rsid w:val="00E93447"/>
    <w:rsid w:val="00EA2946"/>
    <w:rsid w:val="00EB114D"/>
    <w:rsid w:val="00EB5313"/>
    <w:rsid w:val="00EB65CC"/>
    <w:rsid w:val="00EB70BB"/>
    <w:rsid w:val="00EC04FE"/>
    <w:rsid w:val="00EC7915"/>
    <w:rsid w:val="00ED3956"/>
    <w:rsid w:val="00ED4046"/>
    <w:rsid w:val="00ED414C"/>
    <w:rsid w:val="00EE1788"/>
    <w:rsid w:val="00EF0045"/>
    <w:rsid w:val="00F071AA"/>
    <w:rsid w:val="00F072F9"/>
    <w:rsid w:val="00F1182D"/>
    <w:rsid w:val="00F17425"/>
    <w:rsid w:val="00F20EE9"/>
    <w:rsid w:val="00F232BC"/>
    <w:rsid w:val="00F25AB9"/>
    <w:rsid w:val="00F26DE6"/>
    <w:rsid w:val="00F347B6"/>
    <w:rsid w:val="00F35AA7"/>
    <w:rsid w:val="00F37313"/>
    <w:rsid w:val="00F45778"/>
    <w:rsid w:val="00F70736"/>
    <w:rsid w:val="00F94B17"/>
    <w:rsid w:val="00F9751C"/>
    <w:rsid w:val="00FA3551"/>
    <w:rsid w:val="00FA3DCC"/>
    <w:rsid w:val="00FB5C5C"/>
    <w:rsid w:val="00FC49ED"/>
    <w:rsid w:val="00FC4AA1"/>
    <w:rsid w:val="00FD15E2"/>
    <w:rsid w:val="00FD17EF"/>
    <w:rsid w:val="00FE1A2B"/>
    <w:rsid w:val="00FF2099"/>
    <w:rsid w:val="00FF28D6"/>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6801"/>
    <o:shapelayout v:ext="edit">
      <o:idmap v:ext="edit" data="1"/>
    </o:shapelayout>
  </w:shapeDefaults>
  <w:decimalSymbol w:val="."/>
  <w:listSeparator w:val=";"/>
  <w14:docId w14:val="66C6BBD8"/>
  <w15:docId w15:val="{9A8CCC11-0F88-4BEA-8E86-64A17751A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jc w:val="both"/>
    </w:pPr>
    <w:rPr>
      <w:rFonts w:ascii="Arial" w:hAnsi="Arial"/>
      <w:snapToGrid w:val="0"/>
      <w:lang w:eastAsia="de-DE"/>
    </w:rPr>
  </w:style>
  <w:style w:type="paragraph" w:styleId="berschrift1">
    <w:name w:val="heading 1"/>
    <w:basedOn w:val="Standard"/>
    <w:next w:val="Standard"/>
    <w:link w:val="berschrift1Zchn"/>
    <w:uiPriority w:val="9"/>
    <w:qFormat/>
    <w:pPr>
      <w:keepNext/>
      <w:outlineLvl w:val="0"/>
    </w:pPr>
    <w:rPr>
      <w:b/>
      <w:kern w:val="28"/>
    </w:rPr>
  </w:style>
  <w:style w:type="paragraph" w:styleId="berschrift2">
    <w:name w:val="heading 2"/>
    <w:basedOn w:val="Standard"/>
    <w:next w:val="Standard"/>
    <w:qFormat/>
    <w:pPr>
      <w:keepNext/>
      <w:numPr>
        <w:ilvl w:val="1"/>
        <w:numId w:val="41"/>
      </w:numPr>
      <w:outlineLvl w:val="1"/>
    </w:pPr>
    <w:rPr>
      <w:b/>
    </w:rPr>
  </w:style>
  <w:style w:type="paragraph" w:styleId="berschrift3">
    <w:name w:val="heading 3"/>
    <w:basedOn w:val="Standard"/>
    <w:next w:val="Standard"/>
    <w:qFormat/>
    <w:pPr>
      <w:keepNext/>
      <w:numPr>
        <w:ilvl w:val="2"/>
        <w:numId w:val="41"/>
      </w:numPr>
      <w:outlineLvl w:val="2"/>
    </w:pPr>
    <w:rPr>
      <w:b/>
      <w:i/>
    </w:rPr>
  </w:style>
  <w:style w:type="paragraph" w:styleId="berschrift4">
    <w:name w:val="heading 4"/>
    <w:basedOn w:val="Standard"/>
    <w:next w:val="Standard"/>
    <w:qFormat/>
    <w:pPr>
      <w:keepNext/>
      <w:numPr>
        <w:ilvl w:val="3"/>
        <w:numId w:val="41"/>
      </w:numPr>
      <w:outlineLvl w:val="3"/>
    </w:pPr>
  </w:style>
  <w:style w:type="paragraph" w:styleId="berschrift5">
    <w:name w:val="heading 5"/>
    <w:basedOn w:val="Standard"/>
    <w:next w:val="Standard"/>
    <w:qFormat/>
    <w:pPr>
      <w:keepNext/>
      <w:numPr>
        <w:ilvl w:val="4"/>
        <w:numId w:val="41"/>
      </w:numPr>
      <w:pBdr>
        <w:top w:val="single" w:sz="6" w:space="1" w:color="auto"/>
        <w:left w:val="single" w:sz="6" w:space="1" w:color="auto"/>
        <w:bottom w:val="single" w:sz="6" w:space="1" w:color="auto"/>
        <w:right w:val="single" w:sz="6" w:space="1" w:color="auto"/>
      </w:pBdr>
      <w:tabs>
        <w:tab w:val="left" w:pos="567"/>
        <w:tab w:val="left" w:pos="1134"/>
        <w:tab w:val="left" w:pos="2268"/>
        <w:tab w:val="left" w:pos="5103"/>
        <w:tab w:val="left" w:pos="6804"/>
        <w:tab w:val="right" w:pos="9356"/>
      </w:tabs>
      <w:outlineLvl w:val="4"/>
    </w:pPr>
    <w:rPr>
      <w:b/>
    </w:rPr>
  </w:style>
  <w:style w:type="paragraph" w:styleId="berschrift6">
    <w:name w:val="heading 6"/>
    <w:basedOn w:val="Standard"/>
    <w:next w:val="Standard"/>
    <w:qFormat/>
    <w:pPr>
      <w:numPr>
        <w:ilvl w:val="5"/>
        <w:numId w:val="41"/>
      </w:numPr>
      <w:spacing w:before="240" w:after="60"/>
      <w:outlineLvl w:val="5"/>
    </w:pPr>
    <w:rPr>
      <w:rFonts w:ascii="Times New Roman" w:hAnsi="Times New Roman"/>
      <w:i/>
    </w:rPr>
  </w:style>
  <w:style w:type="paragraph" w:styleId="berschrift7">
    <w:name w:val="heading 7"/>
    <w:basedOn w:val="Standard"/>
    <w:next w:val="Standard"/>
    <w:qFormat/>
    <w:pPr>
      <w:numPr>
        <w:ilvl w:val="6"/>
        <w:numId w:val="41"/>
      </w:numPr>
      <w:spacing w:before="240" w:after="60"/>
      <w:outlineLvl w:val="6"/>
    </w:pPr>
  </w:style>
  <w:style w:type="paragraph" w:styleId="berschrift8">
    <w:name w:val="heading 8"/>
    <w:basedOn w:val="Standard"/>
    <w:next w:val="Standard"/>
    <w:qFormat/>
    <w:pPr>
      <w:numPr>
        <w:ilvl w:val="7"/>
        <w:numId w:val="41"/>
      </w:numPr>
      <w:spacing w:before="240" w:after="60"/>
      <w:outlineLvl w:val="7"/>
    </w:pPr>
    <w:rPr>
      <w:i/>
    </w:rPr>
  </w:style>
  <w:style w:type="paragraph" w:styleId="berschrift9">
    <w:name w:val="heading 9"/>
    <w:basedOn w:val="Standard"/>
    <w:next w:val="Standard"/>
    <w:qFormat/>
    <w:pPr>
      <w:numPr>
        <w:ilvl w:val="8"/>
        <w:numId w:val="41"/>
      </w:numPr>
      <w:spacing w:before="240" w:after="60"/>
      <w:outlineLvl w:val="8"/>
    </w:pPr>
    <w:rPr>
      <w:b/>
      <w:i/>
      <w:sz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semiHidden/>
    <w:pPr>
      <w:tabs>
        <w:tab w:val="left" w:pos="567"/>
        <w:tab w:val="left" w:pos="1134"/>
        <w:tab w:val="left" w:pos="2268"/>
        <w:tab w:val="left" w:pos="5103"/>
        <w:tab w:val="left" w:pos="6804"/>
        <w:tab w:val="right" w:pos="9356"/>
      </w:tabs>
    </w:pPr>
  </w:style>
  <w:style w:type="paragraph" w:styleId="Verzeichnis9">
    <w:name w:val="toc 9"/>
    <w:basedOn w:val="Standard"/>
    <w:next w:val="Standard"/>
    <w:autoRedefine/>
    <w:semiHidden/>
    <w:pPr>
      <w:ind w:left="1760"/>
    </w:pPr>
  </w:style>
  <w:style w:type="paragraph" w:styleId="Index1">
    <w:name w:val="index 1"/>
    <w:basedOn w:val="Standard"/>
    <w:next w:val="Standard"/>
    <w:autoRedefine/>
    <w:semiHidden/>
    <w:pPr>
      <w:ind w:left="220" w:hanging="220"/>
    </w:pPr>
  </w:style>
  <w:style w:type="paragraph" w:styleId="Verzeichnis2">
    <w:name w:val="toc 2"/>
    <w:basedOn w:val="Standard"/>
    <w:next w:val="Standard"/>
    <w:autoRedefine/>
    <w:uiPriority w:val="39"/>
    <w:pPr>
      <w:tabs>
        <w:tab w:val="left" w:pos="440"/>
        <w:tab w:val="left" w:pos="993"/>
        <w:tab w:val="right" w:leader="dot" w:pos="9345"/>
      </w:tabs>
      <w:spacing w:after="120"/>
      <w:ind w:left="425"/>
    </w:pPr>
    <w:rPr>
      <w:noProof/>
    </w:rPr>
  </w:style>
  <w:style w:type="paragraph" w:styleId="Verzeichnis1">
    <w:name w:val="toc 1"/>
    <w:basedOn w:val="Standard"/>
    <w:next w:val="Standard"/>
    <w:autoRedefine/>
    <w:uiPriority w:val="39"/>
    <w:pPr>
      <w:tabs>
        <w:tab w:val="left" w:pos="426"/>
        <w:tab w:val="right" w:leader="dot" w:pos="9345"/>
      </w:tabs>
    </w:pPr>
    <w:rPr>
      <w:noProof/>
      <w:szCs w:val="22"/>
    </w:rPr>
  </w:style>
  <w:style w:type="paragraph" w:styleId="Verzeichnis4">
    <w:name w:val="toc 4"/>
    <w:basedOn w:val="Standard"/>
    <w:next w:val="Standard"/>
    <w:autoRedefine/>
    <w:semiHidden/>
    <w:pPr>
      <w:ind w:left="660"/>
    </w:pPr>
  </w:style>
  <w:style w:type="paragraph" w:styleId="Verzeichnis3">
    <w:name w:val="toc 3"/>
    <w:basedOn w:val="Standard"/>
    <w:next w:val="Standard"/>
    <w:autoRedefine/>
    <w:uiPriority w:val="39"/>
    <w:pPr>
      <w:tabs>
        <w:tab w:val="left" w:pos="1701"/>
        <w:tab w:val="left" w:pos="1985"/>
        <w:tab w:val="right" w:leader="dot" w:pos="9345"/>
      </w:tabs>
      <w:spacing w:after="120"/>
      <w:ind w:left="992"/>
    </w:pPr>
    <w:rPr>
      <w:noProof/>
    </w:rPr>
  </w:style>
  <w:style w:type="paragraph" w:styleId="Verzeichnis5">
    <w:name w:val="toc 5"/>
    <w:basedOn w:val="Standard"/>
    <w:next w:val="Standard"/>
    <w:autoRedefine/>
    <w:semiHidden/>
    <w:pPr>
      <w:ind w:left="880"/>
    </w:pPr>
  </w:style>
  <w:style w:type="paragraph" w:styleId="Verzeichnis6">
    <w:name w:val="toc 6"/>
    <w:basedOn w:val="Standard"/>
    <w:next w:val="Standard"/>
    <w:autoRedefine/>
    <w:semiHidden/>
    <w:pPr>
      <w:ind w:left="1100"/>
    </w:pPr>
  </w:style>
  <w:style w:type="paragraph" w:styleId="Verzeichnis7">
    <w:name w:val="toc 7"/>
    <w:basedOn w:val="Standard"/>
    <w:next w:val="Standard"/>
    <w:autoRedefine/>
    <w:semiHidden/>
    <w:pPr>
      <w:ind w:left="1320"/>
    </w:pPr>
  </w:style>
  <w:style w:type="paragraph" w:styleId="Verzeichnis8">
    <w:name w:val="toc 8"/>
    <w:basedOn w:val="Standard"/>
    <w:next w:val="Standard"/>
    <w:autoRedefine/>
    <w:semiHidden/>
    <w:pPr>
      <w:ind w:left="1540"/>
    </w:pPr>
  </w:style>
  <w:style w:type="paragraph" w:styleId="Titel">
    <w:name w:val="Title"/>
    <w:basedOn w:val="Standard"/>
    <w:link w:val="TitelZchn"/>
    <w:uiPriority w:val="10"/>
    <w:qFormat/>
    <w:pPr>
      <w:pBdr>
        <w:top w:val="single" w:sz="6" w:space="1" w:color="auto"/>
        <w:left w:val="single" w:sz="6" w:space="4" w:color="auto"/>
        <w:bottom w:val="single" w:sz="6" w:space="1" w:color="auto"/>
        <w:right w:val="single" w:sz="6" w:space="4" w:color="auto"/>
      </w:pBdr>
      <w:jc w:val="center"/>
    </w:pPr>
    <w:rPr>
      <w:b/>
      <w:sz w:val="32"/>
    </w:r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Abbildungsverzeichnis">
    <w:name w:val="table of figures"/>
    <w:basedOn w:val="Standard"/>
    <w:next w:val="Standard"/>
    <w:semiHidden/>
    <w:pPr>
      <w:ind w:left="440" w:hanging="440"/>
    </w:pPr>
  </w:style>
  <w:style w:type="paragraph" w:styleId="Anrede">
    <w:name w:val="Salutation"/>
    <w:basedOn w:val="Standard"/>
    <w:next w:val="Standard"/>
    <w:semiHidden/>
  </w:style>
  <w:style w:type="paragraph" w:styleId="Aufzhlungszeichen">
    <w:name w:val="List Bullet"/>
    <w:basedOn w:val="Standard"/>
    <w:autoRedefine/>
    <w:semiHidden/>
    <w:pPr>
      <w:numPr>
        <w:numId w:val="1"/>
      </w:numPr>
    </w:pPr>
  </w:style>
  <w:style w:type="paragraph" w:styleId="Aufzhlungszeichen2">
    <w:name w:val="List Bullet 2"/>
    <w:basedOn w:val="Standard"/>
    <w:autoRedefine/>
    <w:semiHidden/>
    <w:pPr>
      <w:numPr>
        <w:numId w:val="2"/>
      </w:numPr>
    </w:pPr>
  </w:style>
  <w:style w:type="paragraph" w:styleId="Aufzhlungszeichen3">
    <w:name w:val="List Bullet 3"/>
    <w:basedOn w:val="Standard"/>
    <w:autoRedefine/>
    <w:semiHidden/>
    <w:pPr>
      <w:numPr>
        <w:numId w:val="3"/>
      </w:numPr>
    </w:pPr>
  </w:style>
  <w:style w:type="paragraph" w:styleId="Aufzhlungszeichen4">
    <w:name w:val="List Bullet 4"/>
    <w:basedOn w:val="Standard"/>
    <w:autoRedefine/>
    <w:semiHidden/>
    <w:pPr>
      <w:numPr>
        <w:numId w:val="4"/>
      </w:numPr>
    </w:pPr>
  </w:style>
  <w:style w:type="paragraph" w:styleId="Aufzhlungszeichen5">
    <w:name w:val="List Bullet 5"/>
    <w:basedOn w:val="Standard"/>
    <w:autoRedefine/>
    <w:semiHidden/>
    <w:pPr>
      <w:numPr>
        <w:numId w:val="5"/>
      </w:numPr>
    </w:pPr>
  </w:style>
  <w:style w:type="paragraph" w:styleId="Beschriftung">
    <w:name w:val="caption"/>
    <w:basedOn w:val="Standard"/>
    <w:next w:val="Standard"/>
    <w:qFormat/>
    <w:pPr>
      <w:spacing w:before="120" w:after="120"/>
    </w:pPr>
    <w:rPr>
      <w:b/>
      <w:bCs/>
    </w:rPr>
  </w:style>
  <w:style w:type="paragraph" w:styleId="Blocktext">
    <w:name w:val="Block Text"/>
    <w:basedOn w:val="Standard"/>
    <w:semiHidden/>
    <w:pPr>
      <w:spacing w:after="120"/>
      <w:ind w:left="1440" w:right="1440"/>
    </w:pPr>
  </w:style>
  <w:style w:type="paragraph" w:styleId="Datum">
    <w:name w:val="Date"/>
    <w:basedOn w:val="Standard"/>
    <w:next w:val="Standard"/>
    <w:link w:val="DatumZchn"/>
    <w:semiHidden/>
  </w:style>
  <w:style w:type="paragraph" w:styleId="Dokumentstruktur">
    <w:name w:val="Document Map"/>
    <w:basedOn w:val="Standard"/>
    <w:semiHidden/>
    <w:pPr>
      <w:shd w:val="clear" w:color="auto" w:fill="000080"/>
    </w:pPr>
    <w:rPr>
      <w:rFonts w:ascii="Tahoma" w:hAnsi="Tahoma" w:cs="Tahoma"/>
    </w:rPr>
  </w:style>
  <w:style w:type="paragraph" w:styleId="E-Mail-Signatur">
    <w:name w:val="E-mail Signature"/>
    <w:basedOn w:val="Standard"/>
    <w:semiHidden/>
  </w:style>
  <w:style w:type="paragraph" w:styleId="Endnotentext">
    <w:name w:val="endnote text"/>
    <w:basedOn w:val="Standard"/>
    <w:semiHidden/>
  </w:style>
  <w:style w:type="paragraph" w:styleId="Fu-Endnotenberschrift">
    <w:name w:val="Note Heading"/>
    <w:basedOn w:val="Standard"/>
    <w:next w:val="Standard"/>
    <w:semiHidden/>
  </w:style>
  <w:style w:type="paragraph" w:styleId="Funotentext">
    <w:name w:val="footnote text"/>
    <w:basedOn w:val="Standard"/>
    <w:link w:val="FunotentextZchn"/>
  </w:style>
  <w:style w:type="paragraph" w:styleId="Gruformel">
    <w:name w:val="Closing"/>
    <w:basedOn w:val="Standard"/>
    <w:semiHidden/>
    <w:pPr>
      <w:ind w:left="4252"/>
    </w:pPr>
  </w:style>
  <w:style w:type="paragraph" w:styleId="HTMLAdresse">
    <w:name w:val="HTML Address"/>
    <w:basedOn w:val="Standard"/>
    <w:semiHidden/>
    <w:rPr>
      <w:i/>
      <w:iCs/>
    </w:rPr>
  </w:style>
  <w:style w:type="paragraph" w:styleId="HTMLVorformatiert">
    <w:name w:val="HTML Preformatted"/>
    <w:basedOn w:val="Standard"/>
    <w:semiHidden/>
    <w:rPr>
      <w:rFonts w:ascii="Courier New" w:hAnsi="Courier New" w:cs="Courier New"/>
    </w:rPr>
  </w:style>
  <w:style w:type="paragraph" w:styleId="Index2">
    <w:name w:val="index 2"/>
    <w:basedOn w:val="Standard"/>
    <w:next w:val="Standard"/>
    <w:autoRedefine/>
    <w:semiHidden/>
    <w:pPr>
      <w:ind w:left="440" w:hanging="220"/>
    </w:pPr>
  </w:style>
  <w:style w:type="paragraph" w:styleId="Index3">
    <w:name w:val="index 3"/>
    <w:basedOn w:val="Standard"/>
    <w:next w:val="Standard"/>
    <w:autoRedefine/>
    <w:semiHidden/>
    <w:pPr>
      <w:ind w:left="660" w:hanging="220"/>
    </w:pPr>
  </w:style>
  <w:style w:type="paragraph" w:styleId="Index4">
    <w:name w:val="index 4"/>
    <w:basedOn w:val="Standard"/>
    <w:next w:val="Standard"/>
    <w:autoRedefine/>
    <w:semiHidden/>
    <w:pPr>
      <w:ind w:left="880" w:hanging="220"/>
    </w:pPr>
  </w:style>
  <w:style w:type="paragraph" w:styleId="Index5">
    <w:name w:val="index 5"/>
    <w:basedOn w:val="Standard"/>
    <w:next w:val="Standard"/>
    <w:autoRedefine/>
    <w:semiHidden/>
    <w:pPr>
      <w:ind w:left="1100" w:hanging="220"/>
    </w:pPr>
  </w:style>
  <w:style w:type="paragraph" w:styleId="Index6">
    <w:name w:val="index 6"/>
    <w:basedOn w:val="Standard"/>
    <w:next w:val="Standard"/>
    <w:autoRedefine/>
    <w:semiHidden/>
    <w:pPr>
      <w:ind w:left="1320" w:hanging="220"/>
    </w:pPr>
  </w:style>
  <w:style w:type="paragraph" w:styleId="Index7">
    <w:name w:val="index 7"/>
    <w:basedOn w:val="Standard"/>
    <w:next w:val="Standard"/>
    <w:autoRedefine/>
    <w:semiHidden/>
    <w:pPr>
      <w:ind w:left="1540" w:hanging="220"/>
    </w:pPr>
  </w:style>
  <w:style w:type="paragraph" w:styleId="Index8">
    <w:name w:val="index 8"/>
    <w:basedOn w:val="Standard"/>
    <w:next w:val="Standard"/>
    <w:autoRedefine/>
    <w:semiHidden/>
    <w:pPr>
      <w:ind w:left="1760" w:hanging="220"/>
    </w:pPr>
  </w:style>
  <w:style w:type="paragraph" w:styleId="Index9">
    <w:name w:val="index 9"/>
    <w:basedOn w:val="Standard"/>
    <w:next w:val="Standard"/>
    <w:autoRedefine/>
    <w:semiHidden/>
    <w:pPr>
      <w:ind w:left="1980" w:hanging="220"/>
    </w:pPr>
  </w:style>
  <w:style w:type="paragraph" w:styleId="Indexberschrift">
    <w:name w:val="index heading"/>
    <w:basedOn w:val="Standard"/>
    <w:next w:val="Index1"/>
    <w:semiHidden/>
    <w:rPr>
      <w:rFonts w:cs="Arial"/>
      <w:b/>
      <w:bCs/>
    </w:rPr>
  </w:style>
  <w:style w:type="paragraph" w:styleId="Kommentartext">
    <w:name w:val="annotation text"/>
    <w:basedOn w:val="Standard"/>
    <w:link w:val="KommentartextZchn"/>
    <w:semiHidden/>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6"/>
      </w:numPr>
    </w:pPr>
  </w:style>
  <w:style w:type="paragraph" w:styleId="Listennummer2">
    <w:name w:val="List Number 2"/>
    <w:basedOn w:val="Standard"/>
    <w:semiHidden/>
    <w:pPr>
      <w:numPr>
        <w:numId w:val="7"/>
      </w:numPr>
    </w:pPr>
  </w:style>
  <w:style w:type="paragraph" w:styleId="Listennummer3">
    <w:name w:val="List Number 3"/>
    <w:basedOn w:val="Standard"/>
    <w:semiHidden/>
    <w:pPr>
      <w:numPr>
        <w:numId w:val="8"/>
      </w:numPr>
    </w:pPr>
  </w:style>
  <w:style w:type="paragraph" w:styleId="Listennummer4">
    <w:name w:val="List Number 4"/>
    <w:basedOn w:val="Standard"/>
    <w:semiHidden/>
    <w:pPr>
      <w:numPr>
        <w:numId w:val="9"/>
      </w:numPr>
    </w:pPr>
  </w:style>
  <w:style w:type="paragraph" w:styleId="Listennummer5">
    <w:name w:val="List Number 5"/>
    <w:basedOn w:val="Standard"/>
    <w:semiHidden/>
    <w:pPr>
      <w:numPr>
        <w:numId w:val="10"/>
      </w:numPr>
    </w:pPr>
  </w:style>
  <w:style w:type="paragraph" w:styleId="Mak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snapToGrid w:val="0"/>
      <w:lang w:eastAsia="de-DE"/>
    </w:r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link w:val="NurTextZchn"/>
    <w:uiPriority w:val="99"/>
    <w:rPr>
      <w:rFonts w:ascii="Courier New" w:hAnsi="Courier New" w:cs="Courier New"/>
    </w:rPr>
  </w:style>
  <w:style w:type="paragraph" w:styleId="Rechtsgrundlagenverzeichnis">
    <w:name w:val="table of authorities"/>
    <w:basedOn w:val="Standard"/>
    <w:next w:val="Standard"/>
    <w:semiHidden/>
    <w:pPr>
      <w:ind w:left="220" w:hanging="220"/>
    </w:pPr>
  </w:style>
  <w:style w:type="paragraph" w:styleId="RGV-berschrift">
    <w:name w:val="toa heading"/>
    <w:basedOn w:val="Standard"/>
    <w:next w:val="Standard"/>
    <w:semiHidden/>
    <w:pPr>
      <w:spacing w:before="120"/>
    </w:pPr>
    <w:rPr>
      <w:rFonts w:cs="Arial"/>
      <w:b/>
      <w:bCs/>
      <w:sz w:val="24"/>
      <w:szCs w:val="24"/>
    </w:rPr>
  </w:style>
  <w:style w:type="paragraph" w:styleId="StandardWeb">
    <w:name w:val="Normal (Web)"/>
    <w:basedOn w:val="Standard"/>
    <w:uiPriority w:val="99"/>
    <w:semiHidden/>
    <w:rPr>
      <w:rFonts w:ascii="Times New Roman" w:hAnsi="Times New Roman"/>
      <w:sz w:val="24"/>
      <w:szCs w:val="24"/>
    </w:rPr>
  </w:style>
  <w:style w:type="paragraph" w:styleId="Standardeinzug">
    <w:name w:val="Normal Indent"/>
    <w:basedOn w:val="Standard"/>
    <w:semiHidden/>
    <w:pPr>
      <w:ind w:left="708"/>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Zeileneinzug">
    <w:name w:val="Body Text Indent"/>
    <w:basedOn w:val="Standard"/>
    <w:semiHidden/>
    <w:pPr>
      <w:spacing w:after="120"/>
      <w:ind w:left="283"/>
    </w:p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tabs>
        <w:tab w:val="clear" w:pos="567"/>
        <w:tab w:val="clear" w:pos="1134"/>
        <w:tab w:val="clear" w:pos="2268"/>
        <w:tab w:val="clear" w:pos="5103"/>
        <w:tab w:val="clear" w:pos="6804"/>
        <w:tab w:val="clear" w:pos="9356"/>
      </w:tabs>
      <w:spacing w:after="120"/>
      <w:ind w:firstLine="210"/>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cs="Arial"/>
    </w:rPr>
  </w:style>
  <w:style w:type="paragraph" w:styleId="Umschlagadresse">
    <w:name w:val="envelope address"/>
    <w:basedOn w:val="Standard"/>
    <w:semiHidden/>
    <w:pPr>
      <w:framePr w:w="4320" w:h="2160" w:hRule="exact" w:hSpace="141" w:wrap="auto" w:hAnchor="page" w:xAlign="center" w:yAlign="bottom"/>
      <w:ind w:left="1"/>
    </w:pPr>
    <w:rPr>
      <w:rFonts w:cs="Arial"/>
      <w:sz w:val="24"/>
      <w:szCs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cs="Arial"/>
      <w:sz w:val="24"/>
      <w:szCs w:val="24"/>
    </w:rPr>
  </w:style>
  <w:style w:type="paragraph" w:styleId="Sprechblasentext">
    <w:name w:val="Balloon Text"/>
    <w:basedOn w:val="Standard"/>
    <w:link w:val="SprechblasentextZchn"/>
    <w:uiPriority w:val="99"/>
    <w:semiHidden/>
    <w:unhideWhenUsed/>
    <w:rsid w:val="00B06F23"/>
    <w:rPr>
      <w:rFonts w:ascii="Tahoma" w:hAnsi="Tahoma" w:cs="Tahoma"/>
      <w:sz w:val="16"/>
      <w:szCs w:val="16"/>
    </w:rPr>
  </w:style>
  <w:style w:type="character" w:customStyle="1" w:styleId="SprechblasentextZchn">
    <w:name w:val="Sprechblasentext Zchn"/>
    <w:link w:val="Sprechblasentext"/>
    <w:uiPriority w:val="99"/>
    <w:semiHidden/>
    <w:rsid w:val="00B06F23"/>
    <w:rPr>
      <w:rFonts w:ascii="Tahoma" w:hAnsi="Tahoma" w:cs="Tahoma"/>
      <w:snapToGrid w:val="0"/>
      <w:sz w:val="16"/>
      <w:szCs w:val="16"/>
      <w:lang w:eastAsia="de-DE"/>
    </w:rPr>
  </w:style>
  <w:style w:type="table" w:styleId="Tabellenraster">
    <w:name w:val="Table Grid"/>
    <w:basedOn w:val="NormaleTabelle"/>
    <w:uiPriority w:val="59"/>
    <w:rsid w:val="00E11D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rTextZchn">
    <w:name w:val="Nur Text Zchn"/>
    <w:link w:val="NurText"/>
    <w:uiPriority w:val="99"/>
    <w:rsid w:val="004862FE"/>
    <w:rPr>
      <w:rFonts w:ascii="Courier New" w:hAnsi="Courier New" w:cs="Courier New"/>
      <w:snapToGrid w:val="0"/>
      <w:lang w:eastAsia="de-DE"/>
    </w:rPr>
  </w:style>
  <w:style w:type="paragraph" w:styleId="Listenabsatz">
    <w:name w:val="List Paragraph"/>
    <w:basedOn w:val="Standard"/>
    <w:uiPriority w:val="34"/>
    <w:qFormat/>
    <w:rsid w:val="004862FE"/>
    <w:pPr>
      <w:ind w:left="708"/>
    </w:pPr>
  </w:style>
  <w:style w:type="character" w:styleId="Hyperlink">
    <w:name w:val="Hyperlink"/>
    <w:uiPriority w:val="99"/>
    <w:unhideWhenUsed/>
    <w:rsid w:val="00B21A8F"/>
    <w:rPr>
      <w:color w:val="0563C1"/>
      <w:u w:val="single"/>
    </w:rPr>
  </w:style>
  <w:style w:type="character" w:styleId="BesuchterLink">
    <w:name w:val="FollowedHyperlink"/>
    <w:uiPriority w:val="99"/>
    <w:semiHidden/>
    <w:unhideWhenUsed/>
    <w:rsid w:val="00522AC4"/>
    <w:rPr>
      <w:color w:val="954F72"/>
      <w:u w:val="single"/>
    </w:rPr>
  </w:style>
  <w:style w:type="paragraph" w:styleId="berarbeitung">
    <w:name w:val="Revision"/>
    <w:hidden/>
    <w:uiPriority w:val="99"/>
    <w:semiHidden/>
    <w:rsid w:val="001D2316"/>
    <w:rPr>
      <w:rFonts w:ascii="Arial" w:hAnsi="Arial"/>
      <w:snapToGrid w:val="0"/>
      <w:lang w:eastAsia="de-DE"/>
    </w:rPr>
  </w:style>
  <w:style w:type="character" w:styleId="Fett">
    <w:name w:val="Strong"/>
    <w:uiPriority w:val="22"/>
    <w:qFormat/>
    <w:rsid w:val="00CD79B0"/>
    <w:rPr>
      <w:b/>
      <w:bCs/>
    </w:rPr>
  </w:style>
  <w:style w:type="character" w:customStyle="1" w:styleId="FuzeileZchn">
    <w:name w:val="Fußzeile Zchn"/>
    <w:basedOn w:val="Absatz-Standardschriftart"/>
    <w:link w:val="Fuzeile"/>
    <w:uiPriority w:val="99"/>
    <w:rsid w:val="0015513E"/>
    <w:rPr>
      <w:rFonts w:ascii="Arial" w:hAnsi="Arial"/>
      <w:snapToGrid w:val="0"/>
      <w:lang w:eastAsia="de-DE"/>
    </w:rPr>
  </w:style>
  <w:style w:type="character" w:styleId="Kommentarzeichen">
    <w:name w:val="annotation reference"/>
    <w:basedOn w:val="Absatz-Standardschriftart"/>
    <w:uiPriority w:val="99"/>
    <w:semiHidden/>
    <w:unhideWhenUsed/>
    <w:rsid w:val="00E07034"/>
    <w:rPr>
      <w:sz w:val="16"/>
      <w:szCs w:val="16"/>
    </w:rPr>
  </w:style>
  <w:style w:type="paragraph" w:styleId="Kommentarthema">
    <w:name w:val="annotation subject"/>
    <w:basedOn w:val="Kommentartext"/>
    <w:next w:val="Kommentartext"/>
    <w:link w:val="KommentarthemaZchn"/>
    <w:uiPriority w:val="99"/>
    <w:semiHidden/>
    <w:unhideWhenUsed/>
    <w:rsid w:val="00E07034"/>
    <w:rPr>
      <w:b/>
      <w:bCs/>
    </w:rPr>
  </w:style>
  <w:style w:type="character" w:customStyle="1" w:styleId="KommentartextZchn">
    <w:name w:val="Kommentartext Zchn"/>
    <w:basedOn w:val="Absatz-Standardschriftart"/>
    <w:link w:val="Kommentartext"/>
    <w:semiHidden/>
    <w:rsid w:val="00E07034"/>
    <w:rPr>
      <w:rFonts w:ascii="Arial" w:hAnsi="Arial"/>
      <w:snapToGrid w:val="0"/>
      <w:lang w:eastAsia="de-DE"/>
    </w:rPr>
  </w:style>
  <w:style w:type="character" w:customStyle="1" w:styleId="KommentarthemaZchn">
    <w:name w:val="Kommentarthema Zchn"/>
    <w:basedOn w:val="KommentartextZchn"/>
    <w:link w:val="Kommentarthema"/>
    <w:uiPriority w:val="99"/>
    <w:semiHidden/>
    <w:rsid w:val="00E07034"/>
    <w:rPr>
      <w:rFonts w:ascii="Arial" w:hAnsi="Arial"/>
      <w:b/>
      <w:bCs/>
      <w:snapToGrid w:val="0"/>
      <w:lang w:eastAsia="de-DE"/>
    </w:rPr>
  </w:style>
  <w:style w:type="character" w:customStyle="1" w:styleId="TitelZchn">
    <w:name w:val="Titel Zchn"/>
    <w:basedOn w:val="Absatz-Standardschriftart"/>
    <w:link w:val="Titel"/>
    <w:uiPriority w:val="10"/>
    <w:rsid w:val="00D9704D"/>
    <w:rPr>
      <w:rFonts w:ascii="Arial" w:hAnsi="Arial"/>
      <w:b/>
      <w:snapToGrid w:val="0"/>
      <w:sz w:val="32"/>
      <w:lang w:eastAsia="de-DE"/>
    </w:rPr>
  </w:style>
  <w:style w:type="character" w:customStyle="1" w:styleId="FunotentextZchn">
    <w:name w:val="Fußnotentext Zchn"/>
    <w:basedOn w:val="Absatz-Standardschriftart"/>
    <w:link w:val="Funotentext"/>
    <w:rsid w:val="00D9704D"/>
    <w:rPr>
      <w:rFonts w:ascii="Arial" w:hAnsi="Arial"/>
      <w:snapToGrid w:val="0"/>
      <w:lang w:eastAsia="de-DE"/>
    </w:rPr>
  </w:style>
  <w:style w:type="character" w:styleId="Funotenzeichen">
    <w:name w:val="footnote reference"/>
    <w:basedOn w:val="Absatz-Standardschriftart"/>
    <w:unhideWhenUsed/>
    <w:rsid w:val="00D9704D"/>
    <w:rPr>
      <w:sz w:val="22"/>
      <w:vertAlign w:val="superscript"/>
    </w:rPr>
  </w:style>
  <w:style w:type="paragraph" w:customStyle="1" w:styleId="Absatz">
    <w:name w:val="Absatz"/>
    <w:basedOn w:val="Standard"/>
    <w:qFormat/>
    <w:rsid w:val="00D9704D"/>
    <w:pPr>
      <w:spacing w:after="120"/>
      <w:ind w:left="425"/>
      <w:jc w:val="left"/>
    </w:pPr>
    <w:rPr>
      <w:rFonts w:eastAsiaTheme="minorHAnsi" w:cstheme="minorBidi"/>
      <w:snapToGrid/>
      <w:kern w:val="2"/>
      <w:sz w:val="22"/>
      <w:szCs w:val="22"/>
      <w:lang w:eastAsia="en-US"/>
      <w14:ligatures w14:val="standardContextual"/>
    </w:rPr>
  </w:style>
  <w:style w:type="character" w:customStyle="1" w:styleId="DatumZchn">
    <w:name w:val="Datum Zchn"/>
    <w:basedOn w:val="Absatz-Standardschriftart"/>
    <w:link w:val="Datum"/>
    <w:semiHidden/>
    <w:rsid w:val="005601D4"/>
    <w:rPr>
      <w:rFonts w:ascii="Arial" w:hAnsi="Arial"/>
      <w:snapToGrid w:val="0"/>
      <w:lang w:eastAsia="de-DE"/>
    </w:rPr>
  </w:style>
  <w:style w:type="paragraph" w:styleId="KeinLeerraum">
    <w:name w:val="No Spacing"/>
    <w:uiPriority w:val="1"/>
    <w:qFormat/>
    <w:rsid w:val="005601D4"/>
    <w:pPr>
      <w:snapToGrid w:val="0"/>
      <w:jc w:val="both"/>
    </w:pPr>
    <w:rPr>
      <w:rFonts w:ascii="Arial" w:hAnsi="Arial"/>
      <w:lang w:val="fr-CH" w:eastAsia="de-DE"/>
    </w:rPr>
  </w:style>
  <w:style w:type="paragraph" w:customStyle="1" w:styleId="Adresse">
    <w:name w:val="Adresse"/>
    <w:basedOn w:val="Standard"/>
    <w:rsid w:val="005601D4"/>
    <w:rPr>
      <w:rFonts w:cs="Arial"/>
      <w:snapToGrid/>
      <w:szCs w:val="24"/>
      <w:lang w:val="fr-CH"/>
    </w:rPr>
  </w:style>
  <w:style w:type="paragraph" w:customStyle="1" w:styleId="Gruss">
    <w:name w:val="Gruss"/>
    <w:basedOn w:val="Adresse"/>
    <w:rsid w:val="005601D4"/>
  </w:style>
  <w:style w:type="paragraph" w:customStyle="1" w:styleId="Firma">
    <w:name w:val="Firma"/>
    <w:basedOn w:val="Adresse"/>
    <w:rsid w:val="005601D4"/>
    <w:rPr>
      <w:b/>
    </w:rPr>
  </w:style>
  <w:style w:type="paragraph" w:customStyle="1" w:styleId="Text">
    <w:name w:val="Text"/>
    <w:basedOn w:val="Standard"/>
    <w:rsid w:val="005601D4"/>
    <w:rPr>
      <w:rFonts w:cs="Arial"/>
      <w:snapToGrid/>
      <w:szCs w:val="24"/>
      <w:lang w:val="fr-CH"/>
    </w:rPr>
  </w:style>
  <w:style w:type="paragraph" w:customStyle="1" w:styleId="Unterschrift1">
    <w:name w:val="Unterschrift1"/>
    <w:basedOn w:val="Standard"/>
    <w:rsid w:val="005601D4"/>
    <w:rPr>
      <w:rFonts w:cs="Arial"/>
      <w:snapToGrid/>
      <w:sz w:val="16"/>
      <w:szCs w:val="24"/>
      <w:lang w:val="fr-CH"/>
    </w:rPr>
  </w:style>
  <w:style w:type="paragraph" w:customStyle="1" w:styleId="Betreff">
    <w:name w:val="Betreff"/>
    <w:basedOn w:val="Unterschrift1"/>
    <w:rsid w:val="005601D4"/>
    <w:rPr>
      <w:b/>
      <w:sz w:val="24"/>
    </w:rPr>
  </w:style>
  <w:style w:type="character" w:customStyle="1" w:styleId="berschrift1Zchn">
    <w:name w:val="Überschrift 1 Zchn"/>
    <w:link w:val="berschrift1"/>
    <w:uiPriority w:val="9"/>
    <w:rsid w:val="00133D1B"/>
    <w:rPr>
      <w:rFonts w:ascii="Arial" w:hAnsi="Arial"/>
      <w:b/>
      <w:snapToGrid w:val="0"/>
      <w:kern w:val="28"/>
      <w:lang w:eastAsia="de-DE"/>
    </w:rPr>
  </w:style>
  <w:style w:type="paragraph" w:styleId="Inhaltsverzeichnisberschrift">
    <w:name w:val="TOC Heading"/>
    <w:basedOn w:val="berschrift1"/>
    <w:next w:val="Standard"/>
    <w:uiPriority w:val="39"/>
    <w:unhideWhenUsed/>
    <w:qFormat/>
    <w:rsid w:val="006213EC"/>
    <w:pPr>
      <w:keepLines/>
      <w:spacing w:before="240" w:line="259" w:lineRule="auto"/>
      <w:jc w:val="left"/>
      <w:outlineLvl w:val="9"/>
    </w:pPr>
    <w:rPr>
      <w:rFonts w:asciiTheme="majorHAnsi" w:eastAsiaTheme="majorEastAsia" w:hAnsiTheme="majorHAnsi" w:cstheme="majorBidi"/>
      <w:b w:val="0"/>
      <w:snapToGrid/>
      <w:color w:val="2E74B5" w:themeColor="accent1" w:themeShade="BF"/>
      <w:kern w:val="0"/>
      <w:sz w:val="32"/>
      <w:szCs w:val="32"/>
      <w:lang w:eastAsia="de-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77081">
      <w:bodyDiv w:val="1"/>
      <w:marLeft w:val="0"/>
      <w:marRight w:val="0"/>
      <w:marTop w:val="0"/>
      <w:marBottom w:val="0"/>
      <w:divBdr>
        <w:top w:val="none" w:sz="0" w:space="0" w:color="auto"/>
        <w:left w:val="none" w:sz="0" w:space="0" w:color="auto"/>
        <w:bottom w:val="none" w:sz="0" w:space="0" w:color="auto"/>
        <w:right w:val="none" w:sz="0" w:space="0" w:color="auto"/>
      </w:divBdr>
    </w:div>
    <w:div w:id="68117444">
      <w:bodyDiv w:val="1"/>
      <w:marLeft w:val="0"/>
      <w:marRight w:val="0"/>
      <w:marTop w:val="0"/>
      <w:marBottom w:val="0"/>
      <w:divBdr>
        <w:top w:val="none" w:sz="0" w:space="0" w:color="auto"/>
        <w:left w:val="none" w:sz="0" w:space="0" w:color="auto"/>
        <w:bottom w:val="none" w:sz="0" w:space="0" w:color="auto"/>
        <w:right w:val="none" w:sz="0" w:space="0" w:color="auto"/>
      </w:divBdr>
    </w:div>
    <w:div w:id="165831972">
      <w:bodyDiv w:val="1"/>
      <w:marLeft w:val="0"/>
      <w:marRight w:val="0"/>
      <w:marTop w:val="0"/>
      <w:marBottom w:val="0"/>
      <w:divBdr>
        <w:top w:val="none" w:sz="0" w:space="0" w:color="auto"/>
        <w:left w:val="none" w:sz="0" w:space="0" w:color="auto"/>
        <w:bottom w:val="none" w:sz="0" w:space="0" w:color="auto"/>
        <w:right w:val="none" w:sz="0" w:space="0" w:color="auto"/>
      </w:divBdr>
    </w:div>
    <w:div w:id="918636601">
      <w:bodyDiv w:val="1"/>
      <w:marLeft w:val="0"/>
      <w:marRight w:val="0"/>
      <w:marTop w:val="0"/>
      <w:marBottom w:val="0"/>
      <w:divBdr>
        <w:top w:val="none" w:sz="0" w:space="0" w:color="auto"/>
        <w:left w:val="none" w:sz="0" w:space="0" w:color="auto"/>
        <w:bottom w:val="none" w:sz="0" w:space="0" w:color="auto"/>
        <w:right w:val="none" w:sz="0" w:space="0" w:color="auto"/>
      </w:divBdr>
    </w:div>
    <w:div w:id="956520619">
      <w:bodyDiv w:val="1"/>
      <w:marLeft w:val="0"/>
      <w:marRight w:val="0"/>
      <w:marTop w:val="0"/>
      <w:marBottom w:val="0"/>
      <w:divBdr>
        <w:top w:val="none" w:sz="0" w:space="0" w:color="auto"/>
        <w:left w:val="none" w:sz="0" w:space="0" w:color="auto"/>
        <w:bottom w:val="none" w:sz="0" w:space="0" w:color="auto"/>
        <w:right w:val="none" w:sz="0" w:space="0" w:color="auto"/>
      </w:divBdr>
    </w:div>
    <w:div w:id="988827504">
      <w:bodyDiv w:val="1"/>
      <w:marLeft w:val="0"/>
      <w:marRight w:val="0"/>
      <w:marTop w:val="0"/>
      <w:marBottom w:val="0"/>
      <w:divBdr>
        <w:top w:val="none" w:sz="0" w:space="0" w:color="auto"/>
        <w:left w:val="none" w:sz="0" w:space="0" w:color="auto"/>
        <w:bottom w:val="none" w:sz="0" w:space="0" w:color="auto"/>
        <w:right w:val="none" w:sz="0" w:space="0" w:color="auto"/>
      </w:divBdr>
    </w:div>
    <w:div w:id="1200973951">
      <w:bodyDiv w:val="1"/>
      <w:marLeft w:val="0"/>
      <w:marRight w:val="0"/>
      <w:marTop w:val="0"/>
      <w:marBottom w:val="0"/>
      <w:divBdr>
        <w:top w:val="none" w:sz="0" w:space="0" w:color="auto"/>
        <w:left w:val="none" w:sz="0" w:space="0" w:color="auto"/>
        <w:bottom w:val="none" w:sz="0" w:space="0" w:color="auto"/>
        <w:right w:val="none" w:sz="0" w:space="0" w:color="auto"/>
      </w:divBdr>
    </w:div>
    <w:div w:id="1326014436">
      <w:bodyDiv w:val="1"/>
      <w:marLeft w:val="0"/>
      <w:marRight w:val="0"/>
      <w:marTop w:val="0"/>
      <w:marBottom w:val="0"/>
      <w:divBdr>
        <w:top w:val="none" w:sz="0" w:space="0" w:color="auto"/>
        <w:left w:val="none" w:sz="0" w:space="0" w:color="auto"/>
        <w:bottom w:val="none" w:sz="0" w:space="0" w:color="auto"/>
        <w:right w:val="none" w:sz="0" w:space="0" w:color="auto"/>
      </w:divBdr>
    </w:div>
    <w:div w:id="1453016737">
      <w:bodyDiv w:val="1"/>
      <w:marLeft w:val="0"/>
      <w:marRight w:val="0"/>
      <w:marTop w:val="0"/>
      <w:marBottom w:val="0"/>
      <w:divBdr>
        <w:top w:val="none" w:sz="0" w:space="0" w:color="auto"/>
        <w:left w:val="none" w:sz="0" w:space="0" w:color="auto"/>
        <w:bottom w:val="none" w:sz="0" w:space="0" w:color="auto"/>
        <w:right w:val="none" w:sz="0" w:space="0" w:color="auto"/>
      </w:divBdr>
      <w:divsChild>
        <w:div w:id="1767336476">
          <w:marLeft w:val="0"/>
          <w:marRight w:val="0"/>
          <w:marTop w:val="0"/>
          <w:marBottom w:val="0"/>
          <w:divBdr>
            <w:top w:val="none" w:sz="0" w:space="0" w:color="auto"/>
            <w:left w:val="none" w:sz="0" w:space="0" w:color="auto"/>
            <w:bottom w:val="none" w:sz="0" w:space="0" w:color="auto"/>
            <w:right w:val="none" w:sz="0" w:space="0" w:color="auto"/>
          </w:divBdr>
          <w:divsChild>
            <w:div w:id="352732531">
              <w:marLeft w:val="0"/>
              <w:marRight w:val="0"/>
              <w:marTop w:val="0"/>
              <w:marBottom w:val="0"/>
              <w:divBdr>
                <w:top w:val="none" w:sz="0" w:space="0" w:color="auto"/>
                <w:left w:val="none" w:sz="0" w:space="0" w:color="auto"/>
                <w:bottom w:val="none" w:sz="0" w:space="0" w:color="auto"/>
                <w:right w:val="none" w:sz="0" w:space="0" w:color="auto"/>
              </w:divBdr>
              <w:divsChild>
                <w:div w:id="389814941">
                  <w:marLeft w:val="0"/>
                  <w:marRight w:val="0"/>
                  <w:marTop w:val="0"/>
                  <w:marBottom w:val="0"/>
                  <w:divBdr>
                    <w:top w:val="none" w:sz="0" w:space="0" w:color="auto"/>
                    <w:left w:val="none" w:sz="0" w:space="0" w:color="auto"/>
                    <w:bottom w:val="none" w:sz="0" w:space="0" w:color="auto"/>
                    <w:right w:val="none" w:sz="0" w:space="0" w:color="auto"/>
                  </w:divBdr>
                  <w:divsChild>
                    <w:div w:id="711923047">
                      <w:marLeft w:val="0"/>
                      <w:marRight w:val="0"/>
                      <w:marTop w:val="0"/>
                      <w:marBottom w:val="0"/>
                      <w:divBdr>
                        <w:top w:val="none" w:sz="0" w:space="0" w:color="auto"/>
                        <w:left w:val="none" w:sz="0" w:space="0" w:color="auto"/>
                        <w:bottom w:val="none" w:sz="0" w:space="0" w:color="auto"/>
                        <w:right w:val="none" w:sz="0" w:space="0" w:color="auto"/>
                      </w:divBdr>
                      <w:divsChild>
                        <w:div w:id="1914969671">
                          <w:marLeft w:val="0"/>
                          <w:marRight w:val="0"/>
                          <w:marTop w:val="0"/>
                          <w:marBottom w:val="0"/>
                          <w:divBdr>
                            <w:top w:val="none" w:sz="0" w:space="0" w:color="auto"/>
                            <w:left w:val="none" w:sz="0" w:space="0" w:color="auto"/>
                            <w:bottom w:val="none" w:sz="0" w:space="0" w:color="auto"/>
                            <w:right w:val="none" w:sz="0" w:space="0" w:color="auto"/>
                          </w:divBdr>
                          <w:divsChild>
                            <w:div w:id="90407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138155">
      <w:bodyDiv w:val="1"/>
      <w:marLeft w:val="0"/>
      <w:marRight w:val="0"/>
      <w:marTop w:val="0"/>
      <w:marBottom w:val="0"/>
      <w:divBdr>
        <w:top w:val="none" w:sz="0" w:space="0" w:color="auto"/>
        <w:left w:val="none" w:sz="0" w:space="0" w:color="auto"/>
        <w:bottom w:val="none" w:sz="0" w:space="0" w:color="auto"/>
        <w:right w:val="none" w:sz="0" w:space="0" w:color="auto"/>
      </w:divBdr>
    </w:div>
    <w:div w:id="1592663128">
      <w:bodyDiv w:val="1"/>
      <w:marLeft w:val="0"/>
      <w:marRight w:val="0"/>
      <w:marTop w:val="0"/>
      <w:marBottom w:val="0"/>
      <w:divBdr>
        <w:top w:val="none" w:sz="0" w:space="0" w:color="auto"/>
        <w:left w:val="none" w:sz="0" w:space="0" w:color="auto"/>
        <w:bottom w:val="none" w:sz="0" w:space="0" w:color="auto"/>
        <w:right w:val="none" w:sz="0" w:space="0" w:color="auto"/>
      </w:divBdr>
    </w:div>
    <w:div w:id="1599367118">
      <w:bodyDiv w:val="1"/>
      <w:marLeft w:val="0"/>
      <w:marRight w:val="0"/>
      <w:marTop w:val="0"/>
      <w:marBottom w:val="0"/>
      <w:divBdr>
        <w:top w:val="none" w:sz="0" w:space="0" w:color="auto"/>
        <w:left w:val="none" w:sz="0" w:space="0" w:color="auto"/>
        <w:bottom w:val="none" w:sz="0" w:space="0" w:color="auto"/>
        <w:right w:val="none" w:sz="0" w:space="0" w:color="auto"/>
      </w:divBdr>
    </w:div>
    <w:div w:id="1603338799">
      <w:bodyDiv w:val="1"/>
      <w:marLeft w:val="0"/>
      <w:marRight w:val="0"/>
      <w:marTop w:val="0"/>
      <w:marBottom w:val="0"/>
      <w:divBdr>
        <w:top w:val="none" w:sz="0" w:space="0" w:color="auto"/>
        <w:left w:val="none" w:sz="0" w:space="0" w:color="auto"/>
        <w:bottom w:val="none" w:sz="0" w:space="0" w:color="auto"/>
        <w:right w:val="none" w:sz="0" w:space="0" w:color="auto"/>
      </w:divBdr>
    </w:div>
    <w:div w:id="1673603513">
      <w:bodyDiv w:val="1"/>
      <w:marLeft w:val="0"/>
      <w:marRight w:val="0"/>
      <w:marTop w:val="0"/>
      <w:marBottom w:val="0"/>
      <w:divBdr>
        <w:top w:val="none" w:sz="0" w:space="0" w:color="auto"/>
        <w:left w:val="none" w:sz="0" w:space="0" w:color="auto"/>
        <w:bottom w:val="none" w:sz="0" w:space="0" w:color="auto"/>
        <w:right w:val="none" w:sz="0" w:space="0" w:color="auto"/>
      </w:divBdr>
    </w:div>
    <w:div w:id="210884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rab-asr.ch/backend/internet/cms/resource/421/fr/Circulaire_1_2014__%C3%A9tat_au_15_octobre_2021_"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BE09B6-5D02-445A-AE5D-0DAD5AD759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3059</Words>
  <Characters>18494</Characters>
  <Application>Microsoft Office Word</Application>
  <DocSecurity>0</DocSecurity>
  <Lines>154</Lines>
  <Paragraphs>43</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Partnerschaftskonzept D</vt:lpstr>
      <vt:lpstr>AKTENNOTITZ____6. November 1995</vt:lpstr>
    </vt:vector>
  </TitlesOfParts>
  <Company>TREUHAND|SUISSE</Company>
  <LinksUpToDate>false</LinksUpToDate>
  <CharactersWithSpaces>21510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Partnerschaftskonzept D</dc:title>
  <dc:creator>Vanessa J. Lincoln</dc:creator>
  <cp:lastModifiedBy>Jacqueline Rosales</cp:lastModifiedBy>
  <cp:revision>4</cp:revision>
  <cp:lastPrinted>2022-08-23T12:51:00Z</cp:lastPrinted>
  <dcterms:created xsi:type="dcterms:W3CDTF">2024-02-01T15:26:00Z</dcterms:created>
  <dcterms:modified xsi:type="dcterms:W3CDTF">2024-02-02T13:47:00Z</dcterms:modified>
</cp:coreProperties>
</file>