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90CB5" w14:textId="77777777" w:rsidR="004862FE" w:rsidRPr="00E07034" w:rsidRDefault="004862FE" w:rsidP="000D11F0">
      <w:pPr>
        <w:spacing w:line="276" w:lineRule="auto"/>
        <w:rPr>
          <w:rFonts w:ascii="KievitPro-Regular" w:hAnsi="KievitPro-Regular"/>
          <w:sz w:val="22"/>
          <w:szCs w:val="22"/>
        </w:rPr>
      </w:pPr>
      <w:bookmarkStart w:id="0" w:name="_GoBack"/>
      <w:bookmarkEnd w:id="0"/>
    </w:p>
    <w:p w14:paraId="5D195E6F" w14:textId="77777777" w:rsidR="0015513E" w:rsidRPr="00E07034" w:rsidRDefault="0015513E" w:rsidP="000D11F0">
      <w:pPr>
        <w:spacing w:line="276" w:lineRule="auto"/>
        <w:rPr>
          <w:rFonts w:ascii="KievitPro-Regular" w:hAnsi="KievitPro-Regular"/>
          <w:sz w:val="22"/>
          <w:szCs w:val="22"/>
        </w:rPr>
      </w:pPr>
    </w:p>
    <w:p w14:paraId="3148AAA2" w14:textId="77777777" w:rsidR="0015513E" w:rsidRPr="00E07034" w:rsidRDefault="0015513E" w:rsidP="000D11F0">
      <w:pPr>
        <w:spacing w:line="276" w:lineRule="auto"/>
        <w:rPr>
          <w:rFonts w:ascii="KievitPro-Regular" w:hAnsi="KievitPro-Regular"/>
          <w:sz w:val="22"/>
          <w:szCs w:val="22"/>
        </w:rPr>
      </w:pPr>
    </w:p>
    <w:p w14:paraId="03B560CA" w14:textId="77777777" w:rsidR="000D11F0" w:rsidRPr="002858E4" w:rsidRDefault="000D11F0" w:rsidP="000D11F0">
      <w:pPr>
        <w:spacing w:line="276" w:lineRule="auto"/>
        <w:rPr>
          <w:rFonts w:ascii="Avenir LT Std 35 Light" w:hAnsi="Avenir LT Std 35 Light"/>
          <w:lang w:val="it-CH"/>
        </w:rPr>
      </w:pPr>
    </w:p>
    <w:p w14:paraId="604EDA6E" w14:textId="77777777" w:rsidR="000D11F0" w:rsidRPr="002858E4" w:rsidRDefault="000D11F0" w:rsidP="000D11F0">
      <w:pPr>
        <w:spacing w:line="276" w:lineRule="auto"/>
        <w:rPr>
          <w:rFonts w:ascii="Avenir LT Std 35 Light" w:hAnsi="Avenir LT Std 35 Light"/>
          <w:lang w:val="it-CH"/>
        </w:rPr>
      </w:pPr>
    </w:p>
    <w:p w14:paraId="4C1E9EE1" w14:textId="77777777" w:rsidR="000D11F0" w:rsidRPr="002858E4" w:rsidRDefault="000D11F0" w:rsidP="000D11F0">
      <w:pPr>
        <w:spacing w:line="276" w:lineRule="auto"/>
        <w:rPr>
          <w:rFonts w:ascii="Avenir LT Std 35 Light" w:hAnsi="Avenir LT Std 35 Light"/>
          <w:lang w:val="it-CH"/>
        </w:rPr>
      </w:pPr>
    </w:p>
    <w:p w14:paraId="4DC1ED50" w14:textId="77777777" w:rsidR="000D11F0" w:rsidRPr="00CA1829" w:rsidRDefault="000D11F0" w:rsidP="000D11F0">
      <w:pPr>
        <w:spacing w:after="480" w:line="276" w:lineRule="auto"/>
        <w:jc w:val="center"/>
        <w:rPr>
          <w:rFonts w:ascii="KievitPro-Regular" w:hAnsi="KievitPro-Regular" w:cs="Arial"/>
          <w:b/>
          <w:sz w:val="56"/>
          <w:szCs w:val="56"/>
          <w:lang w:val="it-IT"/>
        </w:rPr>
      </w:pPr>
      <w:r w:rsidRPr="00CA1829">
        <w:rPr>
          <w:rFonts w:ascii="KievitPro-Regular" w:hAnsi="KievitPro-Regular" w:cs="Arial"/>
          <w:b/>
          <w:sz w:val="56"/>
          <w:szCs w:val="56"/>
          <w:lang w:val="it-IT"/>
        </w:rPr>
        <w:t>Manuale</w:t>
      </w:r>
    </w:p>
    <w:p w14:paraId="23B9EC28" w14:textId="77777777" w:rsidR="000D11F0" w:rsidRPr="00CA1829" w:rsidRDefault="000D11F0" w:rsidP="000D11F0">
      <w:pPr>
        <w:spacing w:after="480" w:line="276" w:lineRule="auto"/>
        <w:jc w:val="center"/>
        <w:rPr>
          <w:rFonts w:ascii="KievitPro-Regular" w:hAnsi="KievitPro-Regular" w:cs="Arial"/>
          <w:b/>
          <w:sz w:val="56"/>
          <w:szCs w:val="56"/>
          <w:lang w:val="it-IT"/>
        </w:rPr>
      </w:pPr>
      <w:r w:rsidRPr="00CA1829">
        <w:rPr>
          <w:rFonts w:ascii="KievitPro-Regular" w:hAnsi="KievitPro-Regular" w:cs="Arial"/>
          <w:b/>
          <w:sz w:val="56"/>
          <w:szCs w:val="56"/>
          <w:lang w:val="it-IT"/>
        </w:rPr>
        <w:t xml:space="preserve">in merito alla garanzia della qualità </w:t>
      </w:r>
      <w:r w:rsidRPr="00CA1829">
        <w:rPr>
          <w:rFonts w:ascii="KievitPro-Regular" w:hAnsi="KievitPro-Regular" w:cs="Arial"/>
          <w:b/>
          <w:sz w:val="56"/>
          <w:szCs w:val="56"/>
          <w:lang w:val="it-IT"/>
        </w:rPr>
        <w:br/>
      </w:r>
      <w:r w:rsidRPr="00CA1829">
        <w:rPr>
          <w:rFonts w:ascii="KievitPro-Regular" w:hAnsi="KievitPro-Regular" w:cs="Arial"/>
          <w:b/>
          <w:sz w:val="56"/>
          <w:szCs w:val="56"/>
          <w:lang w:val="it-IT"/>
        </w:rPr>
        <w:br/>
        <w:t xml:space="preserve">della Esempio SA </w:t>
      </w:r>
    </w:p>
    <w:p w14:paraId="2EA5890F" w14:textId="77777777" w:rsidR="000D11F0" w:rsidRPr="00CA1829" w:rsidRDefault="000D11F0" w:rsidP="000D11F0">
      <w:pPr>
        <w:spacing w:after="480" w:line="276" w:lineRule="auto"/>
        <w:jc w:val="center"/>
        <w:rPr>
          <w:rFonts w:ascii="KievitPro-Regular" w:hAnsi="KievitPro-Regular" w:cs="Arial"/>
          <w:b/>
          <w:sz w:val="56"/>
          <w:szCs w:val="56"/>
          <w:lang w:val="it-IT"/>
        </w:rPr>
      </w:pPr>
      <w:r w:rsidRPr="00CA1829">
        <w:rPr>
          <w:rFonts w:ascii="KievitPro-Regular" w:hAnsi="KievitPro-Regular" w:cs="Arial"/>
          <w:b/>
          <w:sz w:val="56"/>
          <w:szCs w:val="56"/>
          <w:lang w:val="it-IT"/>
        </w:rPr>
        <w:t xml:space="preserve"> (società di revisione)</w:t>
      </w:r>
    </w:p>
    <w:p w14:paraId="1F87C5B7" w14:textId="3E167C10" w:rsidR="000D11F0" w:rsidRDefault="00EB2FBE" w:rsidP="000D11F0">
      <w:pPr>
        <w:spacing w:after="480" w:line="276" w:lineRule="auto"/>
        <w:jc w:val="center"/>
        <w:rPr>
          <w:rFonts w:ascii="Avenir LT Std 35 Light" w:hAnsi="Avenir LT Std 35 Light"/>
          <w:sz w:val="48"/>
          <w:szCs w:val="48"/>
          <w:lang w:val="it-CH"/>
        </w:rPr>
      </w:pPr>
      <w:r>
        <w:rPr>
          <w:rFonts w:ascii="Avenir LT Std 35 Light" w:hAnsi="Avenir LT Std 35 Light"/>
          <w:sz w:val="48"/>
          <w:szCs w:val="48"/>
          <w:lang w:val="it-CH"/>
        </w:rPr>
        <w:t>1.1.2023</w:t>
      </w:r>
    </w:p>
    <w:p w14:paraId="16B4C15A" w14:textId="142C2BB1" w:rsidR="000D11F0" w:rsidRPr="000D11F0" w:rsidRDefault="000D11F0" w:rsidP="000D11F0">
      <w:pPr>
        <w:spacing w:after="480" w:line="276" w:lineRule="auto"/>
        <w:jc w:val="center"/>
        <w:rPr>
          <w:rFonts w:ascii="KievitPro-Regular" w:hAnsi="KievitPro-Regular"/>
          <w:sz w:val="24"/>
          <w:szCs w:val="24"/>
          <w:lang w:val="it-CH"/>
        </w:rPr>
      </w:pPr>
    </w:p>
    <w:p w14:paraId="335FAF4C" w14:textId="505C399D" w:rsidR="000D11F0" w:rsidRPr="000D11F0" w:rsidRDefault="000D11F0" w:rsidP="000D11F0">
      <w:pPr>
        <w:spacing w:line="276" w:lineRule="auto"/>
        <w:rPr>
          <w:rFonts w:ascii="KievitPro-Regular" w:hAnsi="KievitPro-Regular"/>
          <w:b/>
          <w:bCs/>
          <w:sz w:val="24"/>
          <w:szCs w:val="24"/>
          <w:lang w:val="it-CH"/>
        </w:rPr>
      </w:pPr>
      <w:r w:rsidRPr="000D11F0">
        <w:rPr>
          <w:rFonts w:ascii="KievitPro-Regular" w:hAnsi="KievitPro-Regular"/>
          <w:b/>
          <w:bCs/>
          <w:sz w:val="24"/>
          <w:szCs w:val="24"/>
          <w:lang w:val="it-CH"/>
        </w:rPr>
        <w:t>Indicazioni:</w:t>
      </w:r>
    </w:p>
    <w:p w14:paraId="7D1B2382" w14:textId="77777777" w:rsidR="000D11F0" w:rsidRPr="000D11F0" w:rsidRDefault="000D11F0" w:rsidP="000D11F0">
      <w:pPr>
        <w:spacing w:line="276" w:lineRule="auto"/>
        <w:rPr>
          <w:rFonts w:ascii="KievitPro-Regular" w:hAnsi="KievitPro-Regular"/>
          <w:b/>
          <w:bCs/>
          <w:sz w:val="24"/>
          <w:szCs w:val="24"/>
          <w:lang w:val="it-CH"/>
        </w:rPr>
      </w:pPr>
    </w:p>
    <w:p w14:paraId="78D4B94B" w14:textId="3F054C2E"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highlight w:val="yellow"/>
          <w:lang w:val="it-CH"/>
        </w:rPr>
        <w:t>Passaggi di testo evidenziati in giallo:</w:t>
      </w:r>
    </w:p>
    <w:p w14:paraId="13D5656A" w14:textId="77777777"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lang w:val="it-CH"/>
        </w:rPr>
        <w:t>Troverai diversi passaggi nel manuale contrassegnati in giallo. Questi passaggi devono essere adattati alle circostanze interne dell'azienda. Deve essere effettuata una scelta (ad esempio, “lo standard ISQC-CH 1 e lo standard ISA-CH 220” o " istruzioni relative alla garanzia della qualità per l’audit delle PMI (FIDUCIAIRE|SUISSE)", revisore abilitato o perito revisore abilitato) o è necessario effettuare una modifica interna alla società di revisione (ad esempio, i documenti vengono salvati sull'unità X:).</w:t>
      </w:r>
    </w:p>
    <w:p w14:paraId="7CA04E06" w14:textId="77777777" w:rsidR="000D11F0" w:rsidRPr="000D11F0" w:rsidRDefault="000D11F0" w:rsidP="000D11F0">
      <w:pPr>
        <w:spacing w:line="276" w:lineRule="auto"/>
        <w:rPr>
          <w:rFonts w:ascii="KievitPro-Regular" w:hAnsi="KievitPro-Regular"/>
          <w:sz w:val="24"/>
          <w:szCs w:val="24"/>
          <w:lang w:val="it-CH"/>
        </w:rPr>
      </w:pPr>
    </w:p>
    <w:p w14:paraId="2CDE3710" w14:textId="6D27F784"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highlight w:val="red"/>
          <w:lang w:val="it-CH"/>
        </w:rPr>
        <w:t>Passaggi di testo segnati in rosso:</w:t>
      </w:r>
    </w:p>
    <w:p w14:paraId="63F33674" w14:textId="77777777" w:rsidR="000D11F0" w:rsidRPr="000D11F0" w:rsidRDefault="000D11F0" w:rsidP="000D11F0">
      <w:pPr>
        <w:spacing w:line="276" w:lineRule="auto"/>
        <w:rPr>
          <w:rFonts w:ascii="KievitPro-Regular" w:hAnsi="KievitPro-Regular"/>
          <w:sz w:val="24"/>
          <w:szCs w:val="24"/>
          <w:lang w:val="it-CH"/>
        </w:rPr>
      </w:pPr>
      <w:r w:rsidRPr="000D11F0">
        <w:rPr>
          <w:rFonts w:ascii="KievitPro-Regular" w:hAnsi="KievitPro-Regular"/>
          <w:sz w:val="24"/>
          <w:szCs w:val="24"/>
          <w:lang w:val="it-CH"/>
        </w:rPr>
        <w:t>Nel manuale troverai alcuni passaggi di testo contrassegnati in rosso. Si tratta di regolamenti o misure relative alla revisione ordinaria. Le società di revisione che non sono accreditate come periti revisori devono cancellare questi passaggi in quanto non applicabili.</w:t>
      </w:r>
    </w:p>
    <w:p w14:paraId="36B8B8F9" w14:textId="77777777" w:rsidR="000D11F0" w:rsidRPr="002858E4" w:rsidRDefault="000D11F0" w:rsidP="000D11F0">
      <w:pPr>
        <w:spacing w:line="276" w:lineRule="auto"/>
        <w:rPr>
          <w:rFonts w:ascii="Avenir LT Std 35 Light" w:hAnsi="Avenir LT Std 35 Light"/>
          <w:lang w:val="it-CH"/>
        </w:rPr>
      </w:pPr>
      <w:r w:rsidRPr="002858E4">
        <w:rPr>
          <w:rFonts w:ascii="Avenir LT Std 35 Light" w:hAnsi="Avenir LT Std 35 Light"/>
          <w:smallCaps/>
          <w:lang w:val="it-CH"/>
        </w:rPr>
        <w:br w:type="page"/>
      </w:r>
    </w:p>
    <w:p w14:paraId="679D0AD6" w14:textId="77777777" w:rsidR="000D11F0" w:rsidRPr="002858E4" w:rsidRDefault="000D11F0" w:rsidP="000D11F0">
      <w:pPr>
        <w:pStyle w:val="Inhaltsverzeichnisberschrift"/>
        <w:spacing w:line="276" w:lineRule="auto"/>
        <w:rPr>
          <w:rFonts w:ascii="Avenir LT Std 35 Light" w:hAnsi="Avenir LT Std 35 Light"/>
          <w:lang w:val="it-CH"/>
        </w:rPr>
      </w:pPr>
      <w:r w:rsidRPr="002858E4">
        <w:rPr>
          <w:rFonts w:ascii="Avenir LT Std 35 Light" w:hAnsi="Avenir LT Std 35 Light"/>
          <w:lang w:val="it-CH"/>
        </w:rPr>
        <w:lastRenderedPageBreak/>
        <w:t>Indice</w:t>
      </w:r>
    </w:p>
    <w:p w14:paraId="0EB5A08B" w14:textId="0783591B" w:rsidR="000D11F0" w:rsidRDefault="000D11F0" w:rsidP="000D11F0">
      <w:pPr>
        <w:pStyle w:val="Verzeichnis1"/>
        <w:spacing w:line="276" w:lineRule="auto"/>
        <w:rPr>
          <w:rFonts w:asciiTheme="minorHAnsi" w:eastAsiaTheme="minorEastAsia" w:hAnsiTheme="minorHAnsi" w:cstheme="minorBidi"/>
          <w:iCs/>
          <w:sz w:val="22"/>
          <w:lang w:eastAsia="de-CH"/>
        </w:rPr>
      </w:pPr>
      <w:r w:rsidRPr="002858E4">
        <w:rPr>
          <w:rFonts w:ascii="Avenir LT 85 Heavy" w:hAnsi="Avenir LT 85 Heavy"/>
          <w:iCs/>
          <w:sz w:val="28"/>
          <w:lang w:val="it-CH"/>
        </w:rPr>
        <w:fldChar w:fldCharType="begin"/>
      </w:r>
      <w:r w:rsidRPr="002858E4">
        <w:rPr>
          <w:lang w:val="it-CH"/>
        </w:rPr>
        <w:instrText xml:space="preserve"> TOC \o "1-3" \h \z \u </w:instrText>
      </w:r>
      <w:r w:rsidRPr="002858E4">
        <w:rPr>
          <w:rFonts w:ascii="Avenir LT 85 Heavy" w:hAnsi="Avenir LT 85 Heavy"/>
          <w:iCs/>
          <w:sz w:val="28"/>
          <w:lang w:val="it-CH"/>
        </w:rPr>
        <w:fldChar w:fldCharType="separate"/>
      </w:r>
      <w:hyperlink w:anchor="_Toc126737250" w:history="1">
        <w:r w:rsidRPr="00953EC1">
          <w:rPr>
            <w:rStyle w:val="Hyperlink"/>
            <w:rFonts w:ascii="Avenir LT Std 35 Light" w:hAnsi="Avenir LT Std 35 Light"/>
            <w:b/>
            <w:lang w:val="it-CH"/>
          </w:rPr>
          <w:t>1</w:t>
        </w:r>
        <w:r>
          <w:rPr>
            <w:rFonts w:asciiTheme="minorHAnsi" w:eastAsiaTheme="minorEastAsia" w:hAnsiTheme="minorHAnsi" w:cstheme="minorBidi"/>
            <w:sz w:val="22"/>
            <w:lang w:eastAsia="de-CH"/>
          </w:rPr>
          <w:tab/>
        </w:r>
        <w:r w:rsidRPr="00953EC1">
          <w:rPr>
            <w:rStyle w:val="Hyperlink"/>
            <w:rFonts w:ascii="Avenir LT Std 35 Light" w:hAnsi="Avenir LT Std 35 Light"/>
            <w:b/>
            <w:lang w:val="it-CH"/>
          </w:rPr>
          <w:t>Strategia e principi del sistema di garanzia della qualità</w:t>
        </w:r>
        <w:r>
          <w:rPr>
            <w:webHidden/>
          </w:rPr>
          <w:tab/>
        </w:r>
        <w:r>
          <w:rPr>
            <w:webHidden/>
          </w:rPr>
          <w:fldChar w:fldCharType="begin"/>
        </w:r>
        <w:r>
          <w:rPr>
            <w:webHidden/>
          </w:rPr>
          <w:instrText xml:space="preserve"> PAGEREF _Toc126737250 \h </w:instrText>
        </w:r>
        <w:r>
          <w:rPr>
            <w:webHidden/>
          </w:rPr>
        </w:r>
        <w:r>
          <w:rPr>
            <w:webHidden/>
          </w:rPr>
          <w:fldChar w:fldCharType="separate"/>
        </w:r>
        <w:r w:rsidR="00375E96">
          <w:rPr>
            <w:webHidden/>
          </w:rPr>
          <w:t>3</w:t>
        </w:r>
        <w:r>
          <w:rPr>
            <w:webHidden/>
          </w:rPr>
          <w:fldChar w:fldCharType="end"/>
        </w:r>
      </w:hyperlink>
    </w:p>
    <w:p w14:paraId="68DC9E14" w14:textId="3FC247F0"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51" w:history="1">
        <w:r w:rsidR="000D11F0" w:rsidRPr="00953EC1">
          <w:rPr>
            <w:rStyle w:val="Hyperlink"/>
            <w:rFonts w:ascii="Avenir LT Std 35 Light" w:hAnsi="Avenir LT Std 35 Light"/>
            <w:b/>
            <w:lang w:val="it-CH"/>
          </w:rPr>
          <w:t>1.1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Obiettivo del sistema di garanzia della qualità</w:t>
        </w:r>
        <w:r w:rsidR="000D11F0">
          <w:rPr>
            <w:webHidden/>
          </w:rPr>
          <w:tab/>
        </w:r>
        <w:r w:rsidR="000D11F0">
          <w:rPr>
            <w:webHidden/>
          </w:rPr>
          <w:fldChar w:fldCharType="begin"/>
        </w:r>
        <w:r w:rsidR="000D11F0">
          <w:rPr>
            <w:webHidden/>
          </w:rPr>
          <w:instrText xml:space="preserve"> PAGEREF _Toc126737251 \h </w:instrText>
        </w:r>
        <w:r w:rsidR="000D11F0">
          <w:rPr>
            <w:webHidden/>
          </w:rPr>
        </w:r>
        <w:r w:rsidR="000D11F0">
          <w:rPr>
            <w:webHidden/>
          </w:rPr>
          <w:fldChar w:fldCharType="separate"/>
        </w:r>
        <w:r w:rsidR="00375E96">
          <w:rPr>
            <w:webHidden/>
          </w:rPr>
          <w:t>4</w:t>
        </w:r>
        <w:r w:rsidR="000D11F0">
          <w:rPr>
            <w:webHidden/>
          </w:rPr>
          <w:fldChar w:fldCharType="end"/>
        </w:r>
      </w:hyperlink>
    </w:p>
    <w:p w14:paraId="72A95E32" w14:textId="56237012"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52" w:history="1">
        <w:r w:rsidR="000D11F0" w:rsidRPr="00953EC1">
          <w:rPr>
            <w:rStyle w:val="Hyperlink"/>
            <w:rFonts w:ascii="Avenir LT Std 35 Light" w:hAnsi="Avenir LT Std 35 Light"/>
            <w:b/>
            <w:lang w:val="it-CH"/>
          </w:rPr>
          <w:t>1.2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Approvazione</w:t>
        </w:r>
        <w:r w:rsidR="000D11F0">
          <w:rPr>
            <w:webHidden/>
          </w:rPr>
          <w:tab/>
        </w:r>
        <w:r w:rsidR="000D11F0">
          <w:rPr>
            <w:webHidden/>
          </w:rPr>
          <w:fldChar w:fldCharType="begin"/>
        </w:r>
        <w:r w:rsidR="000D11F0">
          <w:rPr>
            <w:webHidden/>
          </w:rPr>
          <w:instrText xml:space="preserve"> PAGEREF _Toc126737252 \h </w:instrText>
        </w:r>
        <w:r w:rsidR="000D11F0">
          <w:rPr>
            <w:webHidden/>
          </w:rPr>
        </w:r>
        <w:r w:rsidR="000D11F0">
          <w:rPr>
            <w:webHidden/>
          </w:rPr>
          <w:fldChar w:fldCharType="separate"/>
        </w:r>
        <w:r w:rsidR="00375E96">
          <w:rPr>
            <w:webHidden/>
          </w:rPr>
          <w:t>4</w:t>
        </w:r>
        <w:r w:rsidR="000D11F0">
          <w:rPr>
            <w:webHidden/>
          </w:rPr>
          <w:fldChar w:fldCharType="end"/>
        </w:r>
      </w:hyperlink>
    </w:p>
    <w:p w14:paraId="668FAACF" w14:textId="0A4C4E83" w:rsidR="000D11F0" w:rsidRDefault="0041024D" w:rsidP="000D11F0">
      <w:pPr>
        <w:pStyle w:val="Verzeichnis1"/>
        <w:spacing w:line="276" w:lineRule="auto"/>
        <w:rPr>
          <w:rFonts w:asciiTheme="minorHAnsi" w:eastAsiaTheme="minorEastAsia" w:hAnsiTheme="minorHAnsi" w:cstheme="minorBidi"/>
          <w:iCs/>
          <w:sz w:val="22"/>
          <w:lang w:eastAsia="de-CH"/>
        </w:rPr>
      </w:pPr>
      <w:hyperlink w:anchor="_Toc126737253" w:history="1">
        <w:r w:rsidR="000D11F0" w:rsidRPr="00953EC1">
          <w:rPr>
            <w:rStyle w:val="Hyperlink"/>
            <w:rFonts w:ascii="Avenir LT Std 35 Light" w:hAnsi="Avenir LT Std 35 Light"/>
            <w:b/>
            <w:lang w:val="it-CH"/>
          </w:rPr>
          <w:t>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Organizzazione generale della società di revisione</w:t>
        </w:r>
        <w:r w:rsidR="000D11F0">
          <w:rPr>
            <w:webHidden/>
          </w:rPr>
          <w:tab/>
        </w:r>
        <w:r w:rsidR="000D11F0">
          <w:rPr>
            <w:webHidden/>
          </w:rPr>
          <w:fldChar w:fldCharType="begin"/>
        </w:r>
        <w:r w:rsidR="000D11F0">
          <w:rPr>
            <w:webHidden/>
          </w:rPr>
          <w:instrText xml:space="preserve"> PAGEREF _Toc126737253 \h </w:instrText>
        </w:r>
        <w:r w:rsidR="000D11F0">
          <w:rPr>
            <w:webHidden/>
          </w:rPr>
        </w:r>
        <w:r w:rsidR="000D11F0">
          <w:rPr>
            <w:webHidden/>
          </w:rPr>
          <w:fldChar w:fldCharType="separate"/>
        </w:r>
        <w:r w:rsidR="00375E96">
          <w:rPr>
            <w:webHidden/>
          </w:rPr>
          <w:t>5</w:t>
        </w:r>
        <w:r w:rsidR="000D11F0">
          <w:rPr>
            <w:webHidden/>
          </w:rPr>
          <w:fldChar w:fldCharType="end"/>
        </w:r>
      </w:hyperlink>
    </w:p>
    <w:p w14:paraId="3098B0C6" w14:textId="6DF53384"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54" w:history="1">
        <w:r w:rsidR="000D11F0" w:rsidRPr="00953EC1">
          <w:rPr>
            <w:rStyle w:val="Hyperlink"/>
            <w:rFonts w:ascii="Avenir LT Std 35 Light" w:hAnsi="Avenir LT Std 35 Light"/>
            <w:b/>
            <w:lang w:val="it-CH"/>
          </w:rPr>
          <w:t>2.1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Requisiti legali e principi professionali</w:t>
        </w:r>
        <w:r w:rsidR="000D11F0">
          <w:rPr>
            <w:webHidden/>
          </w:rPr>
          <w:tab/>
        </w:r>
        <w:r w:rsidR="000D11F0">
          <w:rPr>
            <w:webHidden/>
          </w:rPr>
          <w:fldChar w:fldCharType="begin"/>
        </w:r>
        <w:r w:rsidR="000D11F0">
          <w:rPr>
            <w:webHidden/>
          </w:rPr>
          <w:instrText xml:space="preserve"> PAGEREF _Toc126737254 \h </w:instrText>
        </w:r>
        <w:r w:rsidR="000D11F0">
          <w:rPr>
            <w:webHidden/>
          </w:rPr>
        </w:r>
        <w:r w:rsidR="000D11F0">
          <w:rPr>
            <w:webHidden/>
          </w:rPr>
          <w:fldChar w:fldCharType="separate"/>
        </w:r>
        <w:r w:rsidR="00375E96">
          <w:rPr>
            <w:webHidden/>
          </w:rPr>
          <w:t>5</w:t>
        </w:r>
        <w:r w:rsidR="000D11F0">
          <w:rPr>
            <w:webHidden/>
          </w:rPr>
          <w:fldChar w:fldCharType="end"/>
        </w:r>
      </w:hyperlink>
    </w:p>
    <w:p w14:paraId="6CC27325" w14:textId="0B54ECAB"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55" w:history="1">
        <w:r w:rsidR="000D11F0" w:rsidRPr="00953EC1">
          <w:rPr>
            <w:rStyle w:val="Hyperlink"/>
            <w:rFonts w:ascii="Avenir LT Std 35 Light" w:hAnsi="Avenir LT Std 35 Light"/>
            <w:b/>
            <w:lang w:val="it-CH"/>
          </w:rPr>
          <w:t>2.2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Accettazione/ continuazione/ conclusione del mandato</w:t>
        </w:r>
        <w:r w:rsidR="000D11F0">
          <w:rPr>
            <w:webHidden/>
          </w:rPr>
          <w:tab/>
        </w:r>
        <w:r w:rsidR="000D11F0">
          <w:rPr>
            <w:webHidden/>
          </w:rPr>
          <w:fldChar w:fldCharType="begin"/>
        </w:r>
        <w:r w:rsidR="000D11F0">
          <w:rPr>
            <w:webHidden/>
          </w:rPr>
          <w:instrText xml:space="preserve"> PAGEREF _Toc126737255 \h </w:instrText>
        </w:r>
        <w:r w:rsidR="000D11F0">
          <w:rPr>
            <w:webHidden/>
          </w:rPr>
        </w:r>
        <w:r w:rsidR="000D11F0">
          <w:rPr>
            <w:webHidden/>
          </w:rPr>
          <w:fldChar w:fldCharType="separate"/>
        </w:r>
        <w:r w:rsidR="00375E96">
          <w:rPr>
            <w:webHidden/>
          </w:rPr>
          <w:t>7</w:t>
        </w:r>
        <w:r w:rsidR="000D11F0">
          <w:rPr>
            <w:webHidden/>
          </w:rPr>
          <w:fldChar w:fldCharType="end"/>
        </w:r>
      </w:hyperlink>
    </w:p>
    <w:p w14:paraId="7AC83CC3" w14:textId="382972FF"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56" w:history="1">
        <w:r w:rsidR="000D11F0" w:rsidRPr="00953EC1">
          <w:rPr>
            <w:rStyle w:val="Hyperlink"/>
            <w:rFonts w:ascii="Avenir LT Std 35 Light" w:hAnsi="Avenir LT Std 35 Light"/>
            <w:b/>
            <w:lang w:val="it-CH"/>
          </w:rPr>
          <w:t>2.3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Idoneità e formazione dei collaboratori</w:t>
        </w:r>
        <w:r w:rsidR="000D11F0">
          <w:rPr>
            <w:webHidden/>
          </w:rPr>
          <w:tab/>
        </w:r>
        <w:r w:rsidR="000D11F0">
          <w:rPr>
            <w:webHidden/>
          </w:rPr>
          <w:fldChar w:fldCharType="begin"/>
        </w:r>
        <w:r w:rsidR="000D11F0">
          <w:rPr>
            <w:webHidden/>
          </w:rPr>
          <w:instrText xml:space="preserve"> PAGEREF _Toc126737256 \h </w:instrText>
        </w:r>
        <w:r w:rsidR="000D11F0">
          <w:rPr>
            <w:webHidden/>
          </w:rPr>
        </w:r>
        <w:r w:rsidR="000D11F0">
          <w:rPr>
            <w:webHidden/>
          </w:rPr>
          <w:fldChar w:fldCharType="separate"/>
        </w:r>
        <w:r w:rsidR="00375E96">
          <w:rPr>
            <w:webHidden/>
          </w:rPr>
          <w:t>8</w:t>
        </w:r>
        <w:r w:rsidR="000D11F0">
          <w:rPr>
            <w:webHidden/>
          </w:rPr>
          <w:fldChar w:fldCharType="end"/>
        </w:r>
      </w:hyperlink>
    </w:p>
    <w:p w14:paraId="6ECFFB73" w14:textId="485E9587"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57" w:history="1">
        <w:r w:rsidR="000D11F0" w:rsidRPr="00953EC1">
          <w:rPr>
            <w:rStyle w:val="Hyperlink"/>
            <w:rFonts w:ascii="Avenir LT Std 35 Light" w:hAnsi="Avenir LT Std 35 Light"/>
            <w:b/>
            <w:lang w:val="it-CH"/>
          </w:rPr>
          <w:t>2.4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Pianificazione dei mandati</w:t>
        </w:r>
        <w:r w:rsidR="000D11F0">
          <w:rPr>
            <w:webHidden/>
          </w:rPr>
          <w:tab/>
        </w:r>
        <w:r w:rsidR="000D11F0">
          <w:rPr>
            <w:webHidden/>
          </w:rPr>
          <w:fldChar w:fldCharType="begin"/>
        </w:r>
        <w:r w:rsidR="000D11F0">
          <w:rPr>
            <w:webHidden/>
          </w:rPr>
          <w:instrText xml:space="preserve"> PAGEREF _Toc126737257 \h </w:instrText>
        </w:r>
        <w:r w:rsidR="000D11F0">
          <w:rPr>
            <w:webHidden/>
          </w:rPr>
        </w:r>
        <w:r w:rsidR="000D11F0">
          <w:rPr>
            <w:webHidden/>
          </w:rPr>
          <w:fldChar w:fldCharType="separate"/>
        </w:r>
        <w:r w:rsidR="00375E96">
          <w:rPr>
            <w:webHidden/>
          </w:rPr>
          <w:t>9</w:t>
        </w:r>
        <w:r w:rsidR="000D11F0">
          <w:rPr>
            <w:webHidden/>
          </w:rPr>
          <w:fldChar w:fldCharType="end"/>
        </w:r>
      </w:hyperlink>
    </w:p>
    <w:p w14:paraId="3BEE594C" w14:textId="71DEF0B9"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58" w:history="1">
        <w:r w:rsidR="000D11F0" w:rsidRPr="00953EC1">
          <w:rPr>
            <w:rStyle w:val="Hyperlink"/>
            <w:rFonts w:ascii="Avenir LT Std 35 Light" w:hAnsi="Avenir LT Std 35 Light"/>
            <w:b/>
            <w:lang w:val="it-CH"/>
          </w:rPr>
          <w:t>2.5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Istruzioni professionali/organizzative e strumenti d’aiuto</w:t>
        </w:r>
        <w:r w:rsidR="000D11F0">
          <w:rPr>
            <w:webHidden/>
          </w:rPr>
          <w:tab/>
        </w:r>
        <w:r w:rsidR="000D11F0">
          <w:rPr>
            <w:webHidden/>
          </w:rPr>
          <w:fldChar w:fldCharType="begin"/>
        </w:r>
        <w:r w:rsidR="000D11F0">
          <w:rPr>
            <w:webHidden/>
          </w:rPr>
          <w:instrText xml:space="preserve"> PAGEREF _Toc126737258 \h </w:instrText>
        </w:r>
        <w:r w:rsidR="000D11F0">
          <w:rPr>
            <w:webHidden/>
          </w:rPr>
        </w:r>
        <w:r w:rsidR="000D11F0">
          <w:rPr>
            <w:webHidden/>
          </w:rPr>
          <w:fldChar w:fldCharType="separate"/>
        </w:r>
        <w:r w:rsidR="00375E96">
          <w:rPr>
            <w:webHidden/>
          </w:rPr>
          <w:t>10</w:t>
        </w:r>
        <w:r w:rsidR="000D11F0">
          <w:rPr>
            <w:webHidden/>
          </w:rPr>
          <w:fldChar w:fldCharType="end"/>
        </w:r>
      </w:hyperlink>
    </w:p>
    <w:p w14:paraId="41E48F74" w14:textId="70EAD077" w:rsidR="000D11F0" w:rsidRDefault="0041024D" w:rsidP="000D11F0">
      <w:pPr>
        <w:pStyle w:val="Verzeichnis1"/>
        <w:spacing w:line="276" w:lineRule="auto"/>
        <w:rPr>
          <w:rFonts w:asciiTheme="minorHAnsi" w:eastAsiaTheme="minorEastAsia" w:hAnsiTheme="minorHAnsi" w:cstheme="minorBidi"/>
          <w:iCs/>
          <w:sz w:val="22"/>
          <w:lang w:eastAsia="de-CH"/>
        </w:rPr>
      </w:pPr>
      <w:hyperlink w:anchor="_Toc126737259" w:history="1">
        <w:r w:rsidR="000D11F0" w:rsidRPr="00953EC1">
          <w:rPr>
            <w:rStyle w:val="Hyperlink"/>
            <w:rFonts w:ascii="Avenir LT Std 35 Light" w:hAnsi="Avenir LT Std 35 Light"/>
            <w:b/>
            <w:lang w:val="it-CH"/>
          </w:rPr>
          <w:t>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Svolgimento dei singoli mandati di revisione</w:t>
        </w:r>
        <w:r w:rsidR="000D11F0">
          <w:rPr>
            <w:webHidden/>
          </w:rPr>
          <w:tab/>
        </w:r>
        <w:r w:rsidR="000D11F0">
          <w:rPr>
            <w:webHidden/>
          </w:rPr>
          <w:fldChar w:fldCharType="begin"/>
        </w:r>
        <w:r w:rsidR="000D11F0">
          <w:rPr>
            <w:webHidden/>
          </w:rPr>
          <w:instrText xml:space="preserve"> PAGEREF _Toc126737259 \h </w:instrText>
        </w:r>
        <w:r w:rsidR="000D11F0">
          <w:rPr>
            <w:webHidden/>
          </w:rPr>
        </w:r>
        <w:r w:rsidR="000D11F0">
          <w:rPr>
            <w:webHidden/>
          </w:rPr>
          <w:fldChar w:fldCharType="separate"/>
        </w:r>
        <w:r w:rsidR="00375E96">
          <w:rPr>
            <w:webHidden/>
          </w:rPr>
          <w:t>11</w:t>
        </w:r>
        <w:r w:rsidR="000D11F0">
          <w:rPr>
            <w:webHidden/>
          </w:rPr>
          <w:fldChar w:fldCharType="end"/>
        </w:r>
      </w:hyperlink>
    </w:p>
    <w:p w14:paraId="78601C9E" w14:textId="042C6811"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0" w:history="1">
        <w:r w:rsidR="000D11F0" w:rsidRPr="00953EC1">
          <w:rPr>
            <w:rStyle w:val="Hyperlink"/>
            <w:rFonts w:ascii="Avenir LT Std 35 Light" w:hAnsi="Avenir LT Std 35 Light"/>
            <w:b/>
            <w:lang w:val="it-CH"/>
          </w:rPr>
          <w:t>3.1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Introduzione</w:t>
        </w:r>
        <w:r w:rsidR="000D11F0">
          <w:rPr>
            <w:webHidden/>
          </w:rPr>
          <w:tab/>
        </w:r>
        <w:r w:rsidR="000D11F0">
          <w:rPr>
            <w:webHidden/>
          </w:rPr>
          <w:fldChar w:fldCharType="begin"/>
        </w:r>
        <w:r w:rsidR="000D11F0">
          <w:rPr>
            <w:webHidden/>
          </w:rPr>
          <w:instrText xml:space="preserve"> PAGEREF _Toc126737260 \h </w:instrText>
        </w:r>
        <w:r w:rsidR="000D11F0">
          <w:rPr>
            <w:webHidden/>
          </w:rPr>
        </w:r>
        <w:r w:rsidR="000D11F0">
          <w:rPr>
            <w:webHidden/>
          </w:rPr>
          <w:fldChar w:fldCharType="separate"/>
        </w:r>
        <w:r w:rsidR="00375E96">
          <w:rPr>
            <w:webHidden/>
          </w:rPr>
          <w:t>11</w:t>
        </w:r>
        <w:r w:rsidR="000D11F0">
          <w:rPr>
            <w:webHidden/>
          </w:rPr>
          <w:fldChar w:fldCharType="end"/>
        </w:r>
      </w:hyperlink>
    </w:p>
    <w:p w14:paraId="1A36E48B" w14:textId="5A633143"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1" w:history="1">
        <w:r w:rsidR="000D11F0" w:rsidRPr="00953EC1">
          <w:rPr>
            <w:rStyle w:val="Hyperlink"/>
            <w:rFonts w:ascii="Avenir LT Std 35 Light" w:hAnsi="Avenir LT Std 35 Light"/>
            <w:b/>
            <w:lang w:val="it-CH"/>
          </w:rPr>
          <w:t>3.2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Sorveglianza e controllo</w:t>
        </w:r>
        <w:r w:rsidR="000D11F0">
          <w:rPr>
            <w:webHidden/>
          </w:rPr>
          <w:tab/>
        </w:r>
        <w:r w:rsidR="000D11F0">
          <w:rPr>
            <w:webHidden/>
          </w:rPr>
          <w:fldChar w:fldCharType="begin"/>
        </w:r>
        <w:r w:rsidR="000D11F0">
          <w:rPr>
            <w:webHidden/>
          </w:rPr>
          <w:instrText xml:space="preserve"> PAGEREF _Toc126737261 \h </w:instrText>
        </w:r>
        <w:r w:rsidR="000D11F0">
          <w:rPr>
            <w:webHidden/>
          </w:rPr>
        </w:r>
        <w:r w:rsidR="000D11F0">
          <w:rPr>
            <w:webHidden/>
          </w:rPr>
          <w:fldChar w:fldCharType="separate"/>
        </w:r>
        <w:r w:rsidR="00375E96">
          <w:rPr>
            <w:webHidden/>
          </w:rPr>
          <w:t>12</w:t>
        </w:r>
        <w:r w:rsidR="000D11F0">
          <w:rPr>
            <w:webHidden/>
          </w:rPr>
          <w:fldChar w:fldCharType="end"/>
        </w:r>
      </w:hyperlink>
    </w:p>
    <w:p w14:paraId="46EA67CF" w14:textId="5E8D3745"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2" w:history="1">
        <w:r w:rsidR="000D11F0" w:rsidRPr="00953EC1">
          <w:rPr>
            <w:rStyle w:val="Hyperlink"/>
            <w:rFonts w:ascii="Avenir LT Std 35 Light" w:hAnsi="Avenir LT Std 35 Light"/>
            <w:b/>
            <w:lang w:val="it-CH"/>
          </w:rPr>
          <w:t>3.3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Consultazione</w:t>
        </w:r>
        <w:r w:rsidR="000D11F0">
          <w:rPr>
            <w:webHidden/>
          </w:rPr>
          <w:tab/>
        </w:r>
        <w:r w:rsidR="000D11F0">
          <w:rPr>
            <w:webHidden/>
          </w:rPr>
          <w:fldChar w:fldCharType="begin"/>
        </w:r>
        <w:r w:rsidR="000D11F0">
          <w:rPr>
            <w:webHidden/>
          </w:rPr>
          <w:instrText xml:space="preserve"> PAGEREF _Toc126737262 \h </w:instrText>
        </w:r>
        <w:r w:rsidR="000D11F0">
          <w:rPr>
            <w:webHidden/>
          </w:rPr>
        </w:r>
        <w:r w:rsidR="000D11F0">
          <w:rPr>
            <w:webHidden/>
          </w:rPr>
          <w:fldChar w:fldCharType="separate"/>
        </w:r>
        <w:r w:rsidR="00375E96">
          <w:rPr>
            <w:webHidden/>
          </w:rPr>
          <w:t>13</w:t>
        </w:r>
        <w:r w:rsidR="000D11F0">
          <w:rPr>
            <w:webHidden/>
          </w:rPr>
          <w:fldChar w:fldCharType="end"/>
        </w:r>
      </w:hyperlink>
    </w:p>
    <w:p w14:paraId="299D5CB2" w14:textId="6AE6ED65"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3" w:history="1">
        <w:r w:rsidR="000D11F0" w:rsidRPr="00953EC1">
          <w:rPr>
            <w:rStyle w:val="Hyperlink"/>
            <w:rFonts w:ascii="Avenir LT Std 35 Light" w:hAnsi="Avenir LT Std 35 Light"/>
            <w:b/>
            <w:lang w:val="it-CH"/>
          </w:rPr>
          <w:t>3.4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Divergenza d’opinioni</w:t>
        </w:r>
        <w:r w:rsidR="000D11F0">
          <w:rPr>
            <w:webHidden/>
          </w:rPr>
          <w:tab/>
        </w:r>
        <w:r w:rsidR="000D11F0">
          <w:rPr>
            <w:webHidden/>
          </w:rPr>
          <w:fldChar w:fldCharType="begin"/>
        </w:r>
        <w:r w:rsidR="000D11F0">
          <w:rPr>
            <w:webHidden/>
          </w:rPr>
          <w:instrText xml:space="preserve"> PAGEREF _Toc126737263 \h </w:instrText>
        </w:r>
        <w:r w:rsidR="000D11F0">
          <w:rPr>
            <w:webHidden/>
          </w:rPr>
        </w:r>
        <w:r w:rsidR="000D11F0">
          <w:rPr>
            <w:webHidden/>
          </w:rPr>
          <w:fldChar w:fldCharType="separate"/>
        </w:r>
        <w:r w:rsidR="00375E96">
          <w:rPr>
            <w:webHidden/>
          </w:rPr>
          <w:t>14</w:t>
        </w:r>
        <w:r w:rsidR="000D11F0">
          <w:rPr>
            <w:webHidden/>
          </w:rPr>
          <w:fldChar w:fldCharType="end"/>
        </w:r>
      </w:hyperlink>
    </w:p>
    <w:p w14:paraId="14F9F31B" w14:textId="359BF44A"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4" w:history="1">
        <w:r w:rsidR="000D11F0" w:rsidRPr="00953EC1">
          <w:rPr>
            <w:rStyle w:val="Hyperlink"/>
            <w:rFonts w:ascii="Avenir LT Std 35 Light" w:hAnsi="Avenir LT Std 35 Light"/>
            <w:b/>
            <w:lang w:val="it-CH"/>
          </w:rPr>
          <w:t>3.5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Documentazione del mandato</w:t>
        </w:r>
        <w:r w:rsidR="000D11F0">
          <w:rPr>
            <w:webHidden/>
          </w:rPr>
          <w:tab/>
        </w:r>
        <w:r w:rsidR="000D11F0">
          <w:rPr>
            <w:webHidden/>
          </w:rPr>
          <w:fldChar w:fldCharType="begin"/>
        </w:r>
        <w:r w:rsidR="000D11F0">
          <w:rPr>
            <w:webHidden/>
          </w:rPr>
          <w:instrText xml:space="preserve"> PAGEREF _Toc126737264 \h </w:instrText>
        </w:r>
        <w:r w:rsidR="000D11F0">
          <w:rPr>
            <w:webHidden/>
          </w:rPr>
        </w:r>
        <w:r w:rsidR="000D11F0">
          <w:rPr>
            <w:webHidden/>
          </w:rPr>
          <w:fldChar w:fldCharType="separate"/>
        </w:r>
        <w:r w:rsidR="00375E96">
          <w:rPr>
            <w:webHidden/>
          </w:rPr>
          <w:t>15</w:t>
        </w:r>
        <w:r w:rsidR="000D11F0">
          <w:rPr>
            <w:webHidden/>
          </w:rPr>
          <w:fldChar w:fldCharType="end"/>
        </w:r>
      </w:hyperlink>
    </w:p>
    <w:p w14:paraId="53F00F80" w14:textId="7BE6C8D9"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5" w:history="1">
        <w:r w:rsidR="000D11F0" w:rsidRPr="00953EC1">
          <w:rPr>
            <w:rStyle w:val="Hyperlink"/>
            <w:rFonts w:ascii="Avenir LT Std 35 Light" w:hAnsi="Avenir LT Std 35 Light"/>
            <w:b/>
            <w:lang w:val="it-CH"/>
          </w:rPr>
          <w:t>3.6</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Separazione organizzativa tra revisione e contabilità (mandati doppi) e la fornitura di altri servizi</w:t>
        </w:r>
        <w:r w:rsidR="000D11F0">
          <w:rPr>
            <w:webHidden/>
          </w:rPr>
          <w:tab/>
        </w:r>
        <w:r w:rsidR="000D11F0">
          <w:rPr>
            <w:webHidden/>
          </w:rPr>
          <w:fldChar w:fldCharType="begin"/>
        </w:r>
        <w:r w:rsidR="000D11F0">
          <w:rPr>
            <w:webHidden/>
          </w:rPr>
          <w:instrText xml:space="preserve"> PAGEREF _Toc126737265 \h </w:instrText>
        </w:r>
        <w:r w:rsidR="000D11F0">
          <w:rPr>
            <w:webHidden/>
          </w:rPr>
        </w:r>
        <w:r w:rsidR="000D11F0">
          <w:rPr>
            <w:webHidden/>
          </w:rPr>
          <w:fldChar w:fldCharType="separate"/>
        </w:r>
        <w:r w:rsidR="00375E96">
          <w:rPr>
            <w:webHidden/>
          </w:rPr>
          <w:t>17</w:t>
        </w:r>
        <w:r w:rsidR="000D11F0">
          <w:rPr>
            <w:webHidden/>
          </w:rPr>
          <w:fldChar w:fldCharType="end"/>
        </w:r>
      </w:hyperlink>
    </w:p>
    <w:p w14:paraId="3B8F8049" w14:textId="6A18D138"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6" w:history="1">
        <w:r w:rsidR="000D11F0" w:rsidRPr="00953EC1">
          <w:rPr>
            <w:rStyle w:val="Hyperlink"/>
            <w:rFonts w:ascii="Avenir LT Std 35 Light" w:hAnsi="Avenir LT Std 35 Light"/>
            <w:b/>
            <w:lang w:val="it-CH"/>
          </w:rPr>
          <w:t>3.7</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Riesame della qualità del mandato</w:t>
        </w:r>
        <w:r w:rsidR="000D11F0">
          <w:rPr>
            <w:webHidden/>
          </w:rPr>
          <w:tab/>
        </w:r>
        <w:r w:rsidR="000D11F0">
          <w:rPr>
            <w:webHidden/>
          </w:rPr>
          <w:fldChar w:fldCharType="begin"/>
        </w:r>
        <w:r w:rsidR="000D11F0">
          <w:rPr>
            <w:webHidden/>
          </w:rPr>
          <w:instrText xml:space="preserve"> PAGEREF _Toc126737266 \h </w:instrText>
        </w:r>
        <w:r w:rsidR="000D11F0">
          <w:rPr>
            <w:webHidden/>
          </w:rPr>
        </w:r>
        <w:r w:rsidR="000D11F0">
          <w:rPr>
            <w:webHidden/>
          </w:rPr>
          <w:fldChar w:fldCharType="separate"/>
        </w:r>
        <w:r w:rsidR="00375E96">
          <w:rPr>
            <w:webHidden/>
          </w:rPr>
          <w:t>19</w:t>
        </w:r>
        <w:r w:rsidR="000D11F0">
          <w:rPr>
            <w:webHidden/>
          </w:rPr>
          <w:fldChar w:fldCharType="end"/>
        </w:r>
      </w:hyperlink>
    </w:p>
    <w:p w14:paraId="0B3941BF" w14:textId="03EA7483"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7" w:history="1">
        <w:r w:rsidR="000D11F0" w:rsidRPr="00953EC1">
          <w:rPr>
            <w:rStyle w:val="Hyperlink"/>
            <w:rFonts w:ascii="Avenir LT Std 35 Light" w:hAnsi="Avenir LT Std 35 Light"/>
            <w:b/>
            <w:lang w:val="it-CH"/>
          </w:rPr>
          <w:t>3.8</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Accettazione di ulteriori mandati da parte dei clienti</w:t>
        </w:r>
        <w:r w:rsidR="000D11F0">
          <w:rPr>
            <w:webHidden/>
          </w:rPr>
          <w:tab/>
        </w:r>
        <w:r w:rsidR="000D11F0">
          <w:rPr>
            <w:webHidden/>
          </w:rPr>
          <w:fldChar w:fldCharType="begin"/>
        </w:r>
        <w:r w:rsidR="000D11F0">
          <w:rPr>
            <w:webHidden/>
          </w:rPr>
          <w:instrText xml:space="preserve"> PAGEREF _Toc126737267 \h </w:instrText>
        </w:r>
        <w:r w:rsidR="000D11F0">
          <w:rPr>
            <w:webHidden/>
          </w:rPr>
        </w:r>
        <w:r w:rsidR="000D11F0">
          <w:rPr>
            <w:webHidden/>
          </w:rPr>
          <w:fldChar w:fldCharType="separate"/>
        </w:r>
        <w:r w:rsidR="00375E96">
          <w:rPr>
            <w:webHidden/>
          </w:rPr>
          <w:t>21</w:t>
        </w:r>
        <w:r w:rsidR="000D11F0">
          <w:rPr>
            <w:webHidden/>
          </w:rPr>
          <w:fldChar w:fldCharType="end"/>
        </w:r>
      </w:hyperlink>
    </w:p>
    <w:p w14:paraId="2E9BEBF8" w14:textId="3A1E32C2" w:rsidR="000D11F0" w:rsidRDefault="0041024D" w:rsidP="000D11F0">
      <w:pPr>
        <w:pStyle w:val="Verzeichnis1"/>
        <w:spacing w:line="276" w:lineRule="auto"/>
        <w:rPr>
          <w:rFonts w:asciiTheme="minorHAnsi" w:eastAsiaTheme="minorEastAsia" w:hAnsiTheme="minorHAnsi" w:cstheme="minorBidi"/>
          <w:iCs/>
          <w:sz w:val="22"/>
          <w:lang w:eastAsia="de-CH"/>
        </w:rPr>
      </w:pPr>
      <w:hyperlink w:anchor="_Toc126737268" w:history="1">
        <w:r w:rsidR="000D11F0" w:rsidRPr="00953EC1">
          <w:rPr>
            <w:rStyle w:val="Hyperlink"/>
            <w:rFonts w:ascii="Avenir LT Std 35 Light" w:hAnsi="Avenir LT Std 35 Light"/>
            <w:b/>
            <w:lang w:val="it-CH"/>
          </w:rPr>
          <w:t>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Controllo e documentazione del sistema di assicurazione della qualità</w:t>
        </w:r>
        <w:r w:rsidR="000D11F0">
          <w:rPr>
            <w:webHidden/>
          </w:rPr>
          <w:tab/>
        </w:r>
        <w:r w:rsidR="000D11F0">
          <w:rPr>
            <w:webHidden/>
          </w:rPr>
          <w:fldChar w:fldCharType="begin"/>
        </w:r>
        <w:r w:rsidR="000D11F0">
          <w:rPr>
            <w:webHidden/>
          </w:rPr>
          <w:instrText xml:space="preserve"> PAGEREF _Toc126737268 \h </w:instrText>
        </w:r>
        <w:r w:rsidR="000D11F0">
          <w:rPr>
            <w:webHidden/>
          </w:rPr>
        </w:r>
        <w:r w:rsidR="000D11F0">
          <w:rPr>
            <w:webHidden/>
          </w:rPr>
          <w:fldChar w:fldCharType="separate"/>
        </w:r>
        <w:r w:rsidR="00375E96">
          <w:rPr>
            <w:webHidden/>
          </w:rPr>
          <w:t>22</w:t>
        </w:r>
        <w:r w:rsidR="000D11F0">
          <w:rPr>
            <w:webHidden/>
          </w:rPr>
          <w:fldChar w:fldCharType="end"/>
        </w:r>
      </w:hyperlink>
    </w:p>
    <w:p w14:paraId="2EB849AF" w14:textId="2F344F2A"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69" w:history="1">
        <w:r w:rsidR="000D11F0" w:rsidRPr="00953EC1">
          <w:rPr>
            <w:rStyle w:val="Hyperlink"/>
            <w:rFonts w:ascii="Avenir LT Std 35 Light" w:hAnsi="Avenir LT Std 35 Light"/>
            <w:b/>
            <w:lang w:val="it-CH"/>
          </w:rPr>
          <w:t>4.1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Controllo</w:t>
        </w:r>
        <w:r w:rsidR="000D11F0">
          <w:rPr>
            <w:webHidden/>
          </w:rPr>
          <w:tab/>
        </w:r>
        <w:r w:rsidR="000D11F0">
          <w:rPr>
            <w:webHidden/>
          </w:rPr>
          <w:fldChar w:fldCharType="begin"/>
        </w:r>
        <w:r w:rsidR="000D11F0">
          <w:rPr>
            <w:webHidden/>
          </w:rPr>
          <w:instrText xml:space="preserve"> PAGEREF _Toc126737269 \h </w:instrText>
        </w:r>
        <w:r w:rsidR="000D11F0">
          <w:rPr>
            <w:webHidden/>
          </w:rPr>
        </w:r>
        <w:r w:rsidR="000D11F0">
          <w:rPr>
            <w:webHidden/>
          </w:rPr>
          <w:fldChar w:fldCharType="separate"/>
        </w:r>
        <w:r w:rsidR="00375E96">
          <w:rPr>
            <w:webHidden/>
          </w:rPr>
          <w:t>22</w:t>
        </w:r>
        <w:r w:rsidR="000D11F0">
          <w:rPr>
            <w:webHidden/>
          </w:rPr>
          <w:fldChar w:fldCharType="end"/>
        </w:r>
      </w:hyperlink>
    </w:p>
    <w:p w14:paraId="6EEF8814" w14:textId="18FA60C7"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0" w:history="1">
        <w:r w:rsidR="000D11F0" w:rsidRPr="00953EC1">
          <w:rPr>
            <w:rStyle w:val="Hyperlink"/>
            <w:rFonts w:ascii="Avenir LT Std 35 Light" w:hAnsi="Avenir LT Std 35 Light"/>
            <w:b/>
            <w:lang w:val="it-CH"/>
          </w:rPr>
          <w:t>4.2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Documentazione del sistema di assicurazione della qualità</w:t>
        </w:r>
        <w:r w:rsidR="000D11F0">
          <w:rPr>
            <w:webHidden/>
          </w:rPr>
          <w:tab/>
        </w:r>
        <w:r w:rsidR="000D11F0">
          <w:rPr>
            <w:webHidden/>
          </w:rPr>
          <w:fldChar w:fldCharType="begin"/>
        </w:r>
        <w:r w:rsidR="000D11F0">
          <w:rPr>
            <w:webHidden/>
          </w:rPr>
          <w:instrText xml:space="preserve"> PAGEREF _Toc126737270 \h </w:instrText>
        </w:r>
        <w:r w:rsidR="000D11F0">
          <w:rPr>
            <w:webHidden/>
          </w:rPr>
        </w:r>
        <w:r w:rsidR="000D11F0">
          <w:rPr>
            <w:webHidden/>
          </w:rPr>
          <w:fldChar w:fldCharType="separate"/>
        </w:r>
        <w:r w:rsidR="00375E96">
          <w:rPr>
            <w:webHidden/>
          </w:rPr>
          <w:t>25</w:t>
        </w:r>
        <w:r w:rsidR="000D11F0">
          <w:rPr>
            <w:webHidden/>
          </w:rPr>
          <w:fldChar w:fldCharType="end"/>
        </w:r>
      </w:hyperlink>
    </w:p>
    <w:p w14:paraId="7644485F" w14:textId="525EA0E8" w:rsidR="000D11F0" w:rsidRDefault="0041024D" w:rsidP="000D11F0">
      <w:pPr>
        <w:pStyle w:val="Verzeichnis1"/>
        <w:spacing w:line="276" w:lineRule="auto"/>
        <w:rPr>
          <w:rFonts w:asciiTheme="minorHAnsi" w:eastAsiaTheme="minorEastAsia" w:hAnsiTheme="minorHAnsi" w:cstheme="minorBidi"/>
          <w:iCs/>
          <w:sz w:val="22"/>
          <w:lang w:eastAsia="de-CH"/>
        </w:rPr>
      </w:pPr>
      <w:hyperlink w:anchor="_Toc126737271" w:history="1">
        <w:r w:rsidR="000D11F0" w:rsidRPr="00953EC1">
          <w:rPr>
            <w:rStyle w:val="Hyperlink"/>
            <w:rFonts w:ascii="Avenir LT Std 35 Light" w:hAnsi="Avenir LT Std 35 Light"/>
            <w:b/>
            <w:lang w:val="it-CH"/>
          </w:rPr>
          <w:t>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Allegati del manuale di assicurazione della qualità</w:t>
        </w:r>
        <w:r w:rsidR="000D11F0">
          <w:rPr>
            <w:webHidden/>
          </w:rPr>
          <w:tab/>
        </w:r>
        <w:r w:rsidR="000D11F0">
          <w:rPr>
            <w:webHidden/>
          </w:rPr>
          <w:fldChar w:fldCharType="begin"/>
        </w:r>
        <w:r w:rsidR="000D11F0">
          <w:rPr>
            <w:webHidden/>
          </w:rPr>
          <w:instrText xml:space="preserve"> PAGEREF _Toc126737271 \h </w:instrText>
        </w:r>
        <w:r w:rsidR="000D11F0">
          <w:rPr>
            <w:webHidden/>
          </w:rPr>
        </w:r>
        <w:r w:rsidR="000D11F0">
          <w:rPr>
            <w:webHidden/>
          </w:rPr>
          <w:fldChar w:fldCharType="separate"/>
        </w:r>
        <w:r w:rsidR="00375E96">
          <w:rPr>
            <w:webHidden/>
          </w:rPr>
          <w:t>26</w:t>
        </w:r>
        <w:r w:rsidR="000D11F0">
          <w:rPr>
            <w:webHidden/>
          </w:rPr>
          <w:fldChar w:fldCharType="end"/>
        </w:r>
      </w:hyperlink>
    </w:p>
    <w:p w14:paraId="34994DF0" w14:textId="11BD09F9"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2" w:history="1">
        <w:r w:rsidR="000D11F0" w:rsidRPr="00953EC1">
          <w:rPr>
            <w:rStyle w:val="Hyperlink"/>
            <w:rFonts w:ascii="Avenir LT Std 35 Light" w:hAnsi="Avenir LT Std 35 Light"/>
            <w:b/>
            <w:lang w:val="it-CH"/>
          </w:rPr>
          <w:t>5.1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Analisi del rischio</w:t>
        </w:r>
        <w:r w:rsidR="000D11F0">
          <w:rPr>
            <w:webHidden/>
          </w:rPr>
          <w:tab/>
        </w:r>
        <w:r w:rsidR="000D11F0">
          <w:rPr>
            <w:webHidden/>
          </w:rPr>
          <w:fldChar w:fldCharType="begin"/>
        </w:r>
        <w:r w:rsidR="000D11F0">
          <w:rPr>
            <w:webHidden/>
          </w:rPr>
          <w:instrText xml:space="preserve"> PAGEREF _Toc126737272 \h </w:instrText>
        </w:r>
        <w:r w:rsidR="000D11F0">
          <w:rPr>
            <w:webHidden/>
          </w:rPr>
        </w:r>
        <w:r w:rsidR="000D11F0">
          <w:rPr>
            <w:webHidden/>
          </w:rPr>
          <w:fldChar w:fldCharType="separate"/>
        </w:r>
        <w:r w:rsidR="00375E96">
          <w:rPr>
            <w:webHidden/>
          </w:rPr>
          <w:t>27</w:t>
        </w:r>
        <w:r w:rsidR="000D11F0">
          <w:rPr>
            <w:webHidden/>
          </w:rPr>
          <w:fldChar w:fldCharType="end"/>
        </w:r>
      </w:hyperlink>
    </w:p>
    <w:p w14:paraId="784FB98A" w14:textId="00E36B1F"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3" w:history="1">
        <w:r w:rsidR="000D11F0" w:rsidRPr="00953EC1">
          <w:rPr>
            <w:rStyle w:val="Hyperlink"/>
            <w:rFonts w:ascii="Avenir LT Std 35 Light" w:hAnsi="Avenir LT Std 35 Light"/>
            <w:b/>
            <w:lang w:val="it-CH"/>
          </w:rPr>
          <w:t xml:space="preserve">5.2 </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Conferma annuale del mantenimento dell’indipendenza</w:t>
        </w:r>
        <w:r w:rsidR="000D11F0">
          <w:rPr>
            <w:webHidden/>
          </w:rPr>
          <w:tab/>
        </w:r>
        <w:r w:rsidR="000D11F0">
          <w:rPr>
            <w:webHidden/>
          </w:rPr>
          <w:fldChar w:fldCharType="begin"/>
        </w:r>
        <w:r w:rsidR="000D11F0">
          <w:rPr>
            <w:webHidden/>
          </w:rPr>
          <w:instrText xml:space="preserve"> PAGEREF _Toc126737273 \h </w:instrText>
        </w:r>
        <w:r w:rsidR="000D11F0">
          <w:rPr>
            <w:webHidden/>
          </w:rPr>
        </w:r>
        <w:r w:rsidR="000D11F0">
          <w:rPr>
            <w:webHidden/>
          </w:rPr>
          <w:fldChar w:fldCharType="separate"/>
        </w:r>
        <w:r w:rsidR="00375E96">
          <w:rPr>
            <w:webHidden/>
          </w:rPr>
          <w:t>28</w:t>
        </w:r>
        <w:r w:rsidR="000D11F0">
          <w:rPr>
            <w:webHidden/>
          </w:rPr>
          <w:fldChar w:fldCharType="end"/>
        </w:r>
      </w:hyperlink>
    </w:p>
    <w:p w14:paraId="258DDCAB" w14:textId="266D55B0"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4" w:history="1">
        <w:r w:rsidR="000D11F0" w:rsidRPr="00953EC1">
          <w:rPr>
            <w:rStyle w:val="Hyperlink"/>
            <w:rFonts w:ascii="Avenir LT Std 35 Light" w:hAnsi="Avenir LT Std 35 Light"/>
            <w:b/>
            <w:lang w:val="it-CH"/>
          </w:rPr>
          <w:t>5.3</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completezza della formazione continua e conferma di indipendenza</w:t>
        </w:r>
        <w:r w:rsidR="000D11F0">
          <w:rPr>
            <w:webHidden/>
          </w:rPr>
          <w:tab/>
        </w:r>
        <w:r w:rsidR="000D11F0">
          <w:rPr>
            <w:webHidden/>
          </w:rPr>
          <w:fldChar w:fldCharType="begin"/>
        </w:r>
        <w:r w:rsidR="000D11F0">
          <w:rPr>
            <w:webHidden/>
          </w:rPr>
          <w:instrText xml:space="preserve"> PAGEREF _Toc126737274 \h </w:instrText>
        </w:r>
        <w:r w:rsidR="000D11F0">
          <w:rPr>
            <w:webHidden/>
          </w:rPr>
        </w:r>
        <w:r w:rsidR="000D11F0">
          <w:rPr>
            <w:webHidden/>
          </w:rPr>
          <w:fldChar w:fldCharType="separate"/>
        </w:r>
        <w:r w:rsidR="00375E96">
          <w:rPr>
            <w:webHidden/>
          </w:rPr>
          <w:t>29</w:t>
        </w:r>
        <w:r w:rsidR="000D11F0">
          <w:rPr>
            <w:webHidden/>
          </w:rPr>
          <w:fldChar w:fldCharType="end"/>
        </w:r>
      </w:hyperlink>
    </w:p>
    <w:p w14:paraId="4E575793" w14:textId="6F7B703B"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5" w:history="1">
        <w:r w:rsidR="000D11F0" w:rsidRPr="00953EC1">
          <w:rPr>
            <w:rStyle w:val="Hyperlink"/>
            <w:rFonts w:ascii="Avenir LT Std 35 Light" w:hAnsi="Avenir LT Std 35 Light"/>
            <w:b/>
            <w:lang w:val="it-CH"/>
          </w:rPr>
          <w:t>5.4</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Organigramma Esempio SA</w:t>
        </w:r>
        <w:r w:rsidR="000D11F0">
          <w:rPr>
            <w:webHidden/>
          </w:rPr>
          <w:tab/>
        </w:r>
        <w:r w:rsidR="000D11F0">
          <w:rPr>
            <w:webHidden/>
          </w:rPr>
          <w:fldChar w:fldCharType="begin"/>
        </w:r>
        <w:r w:rsidR="000D11F0">
          <w:rPr>
            <w:webHidden/>
          </w:rPr>
          <w:instrText xml:space="preserve"> PAGEREF _Toc126737275 \h </w:instrText>
        </w:r>
        <w:r w:rsidR="000D11F0">
          <w:rPr>
            <w:webHidden/>
          </w:rPr>
        </w:r>
        <w:r w:rsidR="000D11F0">
          <w:rPr>
            <w:webHidden/>
          </w:rPr>
          <w:fldChar w:fldCharType="separate"/>
        </w:r>
        <w:r w:rsidR="00375E96">
          <w:rPr>
            <w:webHidden/>
          </w:rPr>
          <w:t>30</w:t>
        </w:r>
        <w:r w:rsidR="000D11F0">
          <w:rPr>
            <w:webHidden/>
          </w:rPr>
          <w:fldChar w:fldCharType="end"/>
        </w:r>
      </w:hyperlink>
    </w:p>
    <w:p w14:paraId="07C778E0" w14:textId="1D785881"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6" w:history="1">
        <w:r w:rsidR="000D11F0" w:rsidRPr="00953EC1">
          <w:rPr>
            <w:rStyle w:val="Hyperlink"/>
            <w:rFonts w:ascii="Avenir LT Std 35 Light" w:hAnsi="Avenir LT Std 35 Light"/>
            <w:b/>
            <w:lang w:val="it-CH"/>
          </w:rPr>
          <w:t>5.5</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per la valutazione dell’accettazione del mandato</w:t>
        </w:r>
        <w:r w:rsidR="000D11F0">
          <w:rPr>
            <w:webHidden/>
          </w:rPr>
          <w:tab/>
        </w:r>
        <w:r w:rsidR="000D11F0">
          <w:rPr>
            <w:webHidden/>
          </w:rPr>
          <w:fldChar w:fldCharType="begin"/>
        </w:r>
        <w:r w:rsidR="000D11F0">
          <w:rPr>
            <w:webHidden/>
          </w:rPr>
          <w:instrText xml:space="preserve"> PAGEREF _Toc126737276 \h </w:instrText>
        </w:r>
        <w:r w:rsidR="000D11F0">
          <w:rPr>
            <w:webHidden/>
          </w:rPr>
        </w:r>
        <w:r w:rsidR="000D11F0">
          <w:rPr>
            <w:webHidden/>
          </w:rPr>
          <w:fldChar w:fldCharType="separate"/>
        </w:r>
        <w:r w:rsidR="00375E96">
          <w:rPr>
            <w:webHidden/>
          </w:rPr>
          <w:t>31</w:t>
        </w:r>
        <w:r w:rsidR="000D11F0">
          <w:rPr>
            <w:webHidden/>
          </w:rPr>
          <w:fldChar w:fldCharType="end"/>
        </w:r>
      </w:hyperlink>
    </w:p>
    <w:p w14:paraId="0A74CE05" w14:textId="3093C2DC"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7" w:history="1">
        <w:r w:rsidR="000D11F0" w:rsidRPr="00953EC1">
          <w:rPr>
            <w:rStyle w:val="Hyperlink"/>
            <w:rFonts w:ascii="Avenir LT Std 35 Light" w:hAnsi="Avenir LT Std 35 Light"/>
            <w:b/>
            <w:lang w:val="it-CH"/>
          </w:rPr>
          <w:t>5.6</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in merito alla continuazione del mandato</w:t>
        </w:r>
        <w:r w:rsidR="000D11F0">
          <w:rPr>
            <w:webHidden/>
          </w:rPr>
          <w:tab/>
        </w:r>
        <w:r w:rsidR="000D11F0">
          <w:rPr>
            <w:webHidden/>
          </w:rPr>
          <w:fldChar w:fldCharType="begin"/>
        </w:r>
        <w:r w:rsidR="000D11F0">
          <w:rPr>
            <w:webHidden/>
          </w:rPr>
          <w:instrText xml:space="preserve"> PAGEREF _Toc126737277 \h </w:instrText>
        </w:r>
        <w:r w:rsidR="000D11F0">
          <w:rPr>
            <w:webHidden/>
          </w:rPr>
        </w:r>
        <w:r w:rsidR="000D11F0">
          <w:rPr>
            <w:webHidden/>
          </w:rPr>
          <w:fldChar w:fldCharType="separate"/>
        </w:r>
        <w:r w:rsidR="00375E96">
          <w:rPr>
            <w:webHidden/>
          </w:rPr>
          <w:t>36</w:t>
        </w:r>
        <w:r w:rsidR="000D11F0">
          <w:rPr>
            <w:webHidden/>
          </w:rPr>
          <w:fldChar w:fldCharType="end"/>
        </w:r>
      </w:hyperlink>
    </w:p>
    <w:p w14:paraId="3E104279" w14:textId="1549AC48"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8" w:history="1">
        <w:r w:rsidR="000D11F0" w:rsidRPr="00953EC1">
          <w:rPr>
            <w:rStyle w:val="Hyperlink"/>
            <w:rFonts w:ascii="Avenir LT Std 35 Light" w:hAnsi="Avenir LT Std 35 Light"/>
            <w:b/>
            <w:lang w:val="it-CH"/>
          </w:rPr>
          <w:t>5.7</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Lista di controllo dei mandati di revisione</w:t>
        </w:r>
        <w:r w:rsidR="000D11F0">
          <w:rPr>
            <w:webHidden/>
          </w:rPr>
          <w:tab/>
        </w:r>
        <w:r w:rsidR="000D11F0">
          <w:rPr>
            <w:webHidden/>
          </w:rPr>
          <w:fldChar w:fldCharType="begin"/>
        </w:r>
        <w:r w:rsidR="000D11F0">
          <w:rPr>
            <w:webHidden/>
          </w:rPr>
          <w:instrText xml:space="preserve"> PAGEREF _Toc126737278 \h </w:instrText>
        </w:r>
        <w:r w:rsidR="000D11F0">
          <w:rPr>
            <w:webHidden/>
          </w:rPr>
        </w:r>
        <w:r w:rsidR="000D11F0">
          <w:rPr>
            <w:webHidden/>
          </w:rPr>
          <w:fldChar w:fldCharType="separate"/>
        </w:r>
        <w:r w:rsidR="00375E96">
          <w:rPr>
            <w:webHidden/>
          </w:rPr>
          <w:t>38</w:t>
        </w:r>
        <w:r w:rsidR="000D11F0">
          <w:rPr>
            <w:webHidden/>
          </w:rPr>
          <w:fldChar w:fldCharType="end"/>
        </w:r>
      </w:hyperlink>
    </w:p>
    <w:p w14:paraId="10D2FFB1" w14:textId="73CB8797"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79" w:history="1">
        <w:r w:rsidR="000D11F0" w:rsidRPr="00953EC1">
          <w:rPr>
            <w:rStyle w:val="Hyperlink"/>
            <w:rFonts w:ascii="Avenir LT Std 35 Light" w:hAnsi="Avenir LT Std 35 Light"/>
            <w:b/>
            <w:lang w:val="it-CH"/>
          </w:rPr>
          <w:t>5.8</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Lista dei documenti necessari per il sistema della garanzia della qualità</w:t>
        </w:r>
        <w:r w:rsidR="000D11F0">
          <w:rPr>
            <w:webHidden/>
          </w:rPr>
          <w:tab/>
        </w:r>
        <w:r w:rsidR="000D11F0">
          <w:rPr>
            <w:webHidden/>
          </w:rPr>
          <w:fldChar w:fldCharType="begin"/>
        </w:r>
        <w:r w:rsidR="000D11F0">
          <w:rPr>
            <w:webHidden/>
          </w:rPr>
          <w:instrText xml:space="preserve"> PAGEREF _Toc126737279 \h </w:instrText>
        </w:r>
        <w:r w:rsidR="000D11F0">
          <w:rPr>
            <w:webHidden/>
          </w:rPr>
        </w:r>
        <w:r w:rsidR="000D11F0">
          <w:rPr>
            <w:webHidden/>
          </w:rPr>
          <w:fldChar w:fldCharType="separate"/>
        </w:r>
        <w:r w:rsidR="00375E96">
          <w:rPr>
            <w:webHidden/>
          </w:rPr>
          <w:t>39</w:t>
        </w:r>
        <w:r w:rsidR="000D11F0">
          <w:rPr>
            <w:webHidden/>
          </w:rPr>
          <w:fldChar w:fldCharType="end"/>
        </w:r>
      </w:hyperlink>
    </w:p>
    <w:p w14:paraId="09A7D3B7" w14:textId="6981CD0D"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80" w:history="1">
        <w:r w:rsidR="000D11F0" w:rsidRPr="00953EC1">
          <w:rPr>
            <w:rStyle w:val="Hyperlink"/>
            <w:rFonts w:ascii="Avenir LT Std 35 Light" w:hAnsi="Avenir LT Std 35 Light"/>
            <w:b/>
            <w:lang w:val="it-CH"/>
          </w:rPr>
          <w:t>5.9</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Lista delle fonti di informazione</w:t>
        </w:r>
        <w:r w:rsidR="000D11F0">
          <w:rPr>
            <w:webHidden/>
          </w:rPr>
          <w:tab/>
        </w:r>
        <w:r w:rsidR="000D11F0">
          <w:rPr>
            <w:webHidden/>
          </w:rPr>
          <w:fldChar w:fldCharType="begin"/>
        </w:r>
        <w:r w:rsidR="000D11F0">
          <w:rPr>
            <w:webHidden/>
          </w:rPr>
          <w:instrText xml:space="preserve"> PAGEREF _Toc126737280 \h </w:instrText>
        </w:r>
        <w:r w:rsidR="000D11F0">
          <w:rPr>
            <w:webHidden/>
          </w:rPr>
        </w:r>
        <w:r w:rsidR="000D11F0">
          <w:rPr>
            <w:webHidden/>
          </w:rPr>
          <w:fldChar w:fldCharType="separate"/>
        </w:r>
        <w:r w:rsidR="00375E96">
          <w:rPr>
            <w:webHidden/>
          </w:rPr>
          <w:t>40</w:t>
        </w:r>
        <w:r w:rsidR="000D11F0">
          <w:rPr>
            <w:webHidden/>
          </w:rPr>
          <w:fldChar w:fldCharType="end"/>
        </w:r>
      </w:hyperlink>
    </w:p>
    <w:p w14:paraId="0671BF9E" w14:textId="4F6A7192"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81" w:history="1">
        <w:r w:rsidR="000D11F0" w:rsidRPr="00953EC1">
          <w:rPr>
            <w:rStyle w:val="Hyperlink"/>
            <w:rFonts w:ascii="Avenir LT Std 35 Light" w:hAnsi="Avenir LT Std 35 Light"/>
            <w:b/>
            <w:lang w:val="it-CH"/>
          </w:rPr>
          <w:t>5.10</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Memo riassuntivo</w:t>
        </w:r>
        <w:r w:rsidR="000D11F0">
          <w:rPr>
            <w:webHidden/>
          </w:rPr>
          <w:tab/>
        </w:r>
        <w:r w:rsidR="000D11F0">
          <w:rPr>
            <w:webHidden/>
          </w:rPr>
          <w:fldChar w:fldCharType="begin"/>
        </w:r>
        <w:r w:rsidR="000D11F0">
          <w:rPr>
            <w:webHidden/>
          </w:rPr>
          <w:instrText xml:space="preserve"> PAGEREF _Toc126737281 \h </w:instrText>
        </w:r>
        <w:r w:rsidR="000D11F0">
          <w:rPr>
            <w:webHidden/>
          </w:rPr>
        </w:r>
        <w:r w:rsidR="000D11F0">
          <w:rPr>
            <w:webHidden/>
          </w:rPr>
          <w:fldChar w:fldCharType="separate"/>
        </w:r>
        <w:r w:rsidR="00375E96">
          <w:rPr>
            <w:webHidden/>
          </w:rPr>
          <w:t>41</w:t>
        </w:r>
        <w:r w:rsidR="000D11F0">
          <w:rPr>
            <w:webHidden/>
          </w:rPr>
          <w:fldChar w:fldCharType="end"/>
        </w:r>
      </w:hyperlink>
    </w:p>
    <w:p w14:paraId="54D0C359" w14:textId="4412BD9D"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82" w:history="1">
        <w:r w:rsidR="000D11F0" w:rsidRPr="00953EC1">
          <w:rPr>
            <w:rStyle w:val="Hyperlink"/>
            <w:rFonts w:ascii="Avenir LT Std 35 Light" w:hAnsi="Avenir LT Std 35 Light"/>
            <w:b/>
            <w:lang w:val="it-CH"/>
          </w:rPr>
          <w:t>5.11</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Regolamento di collaborazione</w:t>
        </w:r>
        <w:r w:rsidR="000D11F0">
          <w:rPr>
            <w:webHidden/>
          </w:rPr>
          <w:tab/>
        </w:r>
        <w:r w:rsidR="000D11F0">
          <w:rPr>
            <w:webHidden/>
          </w:rPr>
          <w:fldChar w:fldCharType="begin"/>
        </w:r>
        <w:r w:rsidR="000D11F0">
          <w:rPr>
            <w:webHidden/>
          </w:rPr>
          <w:instrText xml:space="preserve"> PAGEREF _Toc126737282 \h </w:instrText>
        </w:r>
        <w:r w:rsidR="000D11F0">
          <w:rPr>
            <w:webHidden/>
          </w:rPr>
        </w:r>
        <w:r w:rsidR="000D11F0">
          <w:rPr>
            <w:webHidden/>
          </w:rPr>
          <w:fldChar w:fldCharType="separate"/>
        </w:r>
        <w:r w:rsidR="00375E96">
          <w:rPr>
            <w:webHidden/>
          </w:rPr>
          <w:t>43</w:t>
        </w:r>
        <w:r w:rsidR="000D11F0">
          <w:rPr>
            <w:webHidden/>
          </w:rPr>
          <w:fldChar w:fldCharType="end"/>
        </w:r>
      </w:hyperlink>
    </w:p>
    <w:p w14:paraId="67E31AF3" w14:textId="364C4515" w:rsidR="000D11F0" w:rsidRDefault="0041024D" w:rsidP="000D11F0">
      <w:pPr>
        <w:pStyle w:val="Verzeichnis2"/>
        <w:spacing w:line="276" w:lineRule="auto"/>
        <w:rPr>
          <w:rFonts w:asciiTheme="minorHAnsi" w:eastAsiaTheme="minorEastAsia" w:hAnsiTheme="minorHAnsi" w:cstheme="minorBidi"/>
          <w:iCs/>
          <w:sz w:val="22"/>
          <w:lang w:eastAsia="de-CH"/>
        </w:rPr>
      </w:pPr>
      <w:hyperlink w:anchor="_Toc126737283" w:history="1">
        <w:r w:rsidR="000D11F0" w:rsidRPr="00953EC1">
          <w:rPr>
            <w:rStyle w:val="Hyperlink"/>
            <w:rFonts w:ascii="Avenir LT Std 35 Light" w:hAnsi="Avenir LT Std 35 Light"/>
            <w:b/>
            <w:lang w:val="it-CH"/>
          </w:rPr>
          <w:t>5.12</w:t>
        </w:r>
        <w:r w:rsidR="000D11F0">
          <w:rPr>
            <w:rFonts w:asciiTheme="minorHAnsi" w:eastAsiaTheme="minorEastAsia" w:hAnsiTheme="minorHAnsi" w:cstheme="minorBidi"/>
            <w:sz w:val="22"/>
            <w:lang w:eastAsia="de-CH"/>
          </w:rPr>
          <w:tab/>
        </w:r>
        <w:r w:rsidR="000D11F0" w:rsidRPr="00953EC1">
          <w:rPr>
            <w:rStyle w:val="Hyperlink"/>
            <w:rFonts w:ascii="Avenir LT Std 35 Light" w:hAnsi="Avenir LT Std 35 Light"/>
            <w:b/>
            <w:lang w:val="it-CH"/>
          </w:rPr>
          <w:t>Checklist in merito al riesame della qualità del mandato</w:t>
        </w:r>
        <w:r w:rsidR="000D11F0">
          <w:rPr>
            <w:webHidden/>
          </w:rPr>
          <w:tab/>
        </w:r>
        <w:r w:rsidR="000D11F0">
          <w:rPr>
            <w:webHidden/>
          </w:rPr>
          <w:fldChar w:fldCharType="begin"/>
        </w:r>
        <w:r w:rsidR="000D11F0">
          <w:rPr>
            <w:webHidden/>
          </w:rPr>
          <w:instrText xml:space="preserve"> PAGEREF _Toc126737283 \h </w:instrText>
        </w:r>
        <w:r w:rsidR="000D11F0">
          <w:rPr>
            <w:webHidden/>
          </w:rPr>
        </w:r>
        <w:r w:rsidR="000D11F0">
          <w:rPr>
            <w:webHidden/>
          </w:rPr>
          <w:fldChar w:fldCharType="separate"/>
        </w:r>
        <w:r w:rsidR="00375E96">
          <w:rPr>
            <w:webHidden/>
          </w:rPr>
          <w:t>45</w:t>
        </w:r>
        <w:r w:rsidR="000D11F0">
          <w:rPr>
            <w:webHidden/>
          </w:rPr>
          <w:fldChar w:fldCharType="end"/>
        </w:r>
      </w:hyperlink>
    </w:p>
    <w:p w14:paraId="0E8DD284" w14:textId="77777777" w:rsidR="000D11F0" w:rsidRPr="002858E4" w:rsidRDefault="000D11F0" w:rsidP="000D11F0">
      <w:pPr>
        <w:spacing w:line="276" w:lineRule="auto"/>
        <w:rPr>
          <w:rFonts w:ascii="Avenir LT Std 35 Light" w:hAnsi="Avenir LT Std 35 Light"/>
          <w:lang w:val="it-CH"/>
        </w:rPr>
      </w:pPr>
      <w:r w:rsidRPr="002858E4">
        <w:rPr>
          <w:rFonts w:ascii="Avenir LT Std 35 Light" w:hAnsi="Avenir LT Std 35 Light"/>
          <w:lang w:val="it-CH"/>
        </w:rPr>
        <w:fldChar w:fldCharType="end"/>
      </w:r>
    </w:p>
    <w:p w14:paraId="71D1DD8E" w14:textId="77777777" w:rsidR="000D11F0" w:rsidRPr="002858E4" w:rsidRDefault="000D11F0" w:rsidP="000D11F0">
      <w:pPr>
        <w:spacing w:line="276" w:lineRule="auto"/>
        <w:rPr>
          <w:rFonts w:ascii="Avenir LT Std 35 Light" w:hAnsi="Avenir LT Std 35 Light" w:cs="Arial"/>
          <w:color w:val="222222"/>
          <w:lang w:val="it-CH" w:eastAsia="de-CH"/>
        </w:rPr>
      </w:pPr>
      <w:r w:rsidRPr="002858E4">
        <w:rPr>
          <w:rFonts w:ascii="Avenir LT Std 35 Light" w:hAnsi="Avenir LT Std 35 Light" w:cs="Arial"/>
          <w:color w:val="222222"/>
          <w:lang w:val="it-CH" w:eastAsia="de-CH"/>
        </w:rPr>
        <w:br w:type="page"/>
      </w:r>
    </w:p>
    <w:p w14:paraId="1B2D74FE" w14:textId="77777777" w:rsidR="000D11F0" w:rsidRPr="002858E4" w:rsidRDefault="000D11F0" w:rsidP="000619AC">
      <w:pPr>
        <w:spacing w:line="276" w:lineRule="auto"/>
        <w:rPr>
          <w:rFonts w:ascii="Avenir LT Std 35 Light" w:hAnsi="Avenir LT Std 35 Light" w:cs="Arial"/>
          <w:color w:val="222222"/>
          <w:lang w:val="it-CH" w:eastAsia="de-CH"/>
        </w:rPr>
      </w:pPr>
      <w:bookmarkStart w:id="1" w:name="_Hlk10260123"/>
    </w:p>
    <w:p w14:paraId="39EDF709" w14:textId="77777777" w:rsidR="000D11F0" w:rsidRPr="00186AEE" w:rsidRDefault="000D11F0" w:rsidP="000D11F0">
      <w:pPr>
        <w:spacing w:line="276" w:lineRule="auto"/>
        <w:rPr>
          <w:rFonts w:ascii="KievitPro-Regular" w:hAnsi="KievitPro-Regular" w:cs="Arial"/>
          <w:color w:val="222222"/>
          <w:sz w:val="22"/>
          <w:szCs w:val="22"/>
          <w:lang w:val="it-CH" w:eastAsia="de-CH"/>
        </w:rPr>
      </w:pPr>
      <w:r w:rsidRPr="00186AEE">
        <w:rPr>
          <w:rFonts w:ascii="KievitPro-Regular" w:hAnsi="KievitPro-Regular" w:cs="Arial"/>
          <w:color w:val="222222"/>
          <w:sz w:val="22"/>
          <w:szCs w:val="22"/>
          <w:lang w:val="it-CH" w:eastAsia="de-CH"/>
        </w:rPr>
        <w:t xml:space="preserve">Per questioni di praticità, nel seguente testo viene utilizzato solo il </w:t>
      </w:r>
      <w:r w:rsidRPr="00186AEE">
        <w:rPr>
          <w:rFonts w:ascii="KievitPro-Regular" w:hAnsi="KievitPro-Regular" w:cs="Arial"/>
          <w:b/>
          <w:sz w:val="22"/>
          <w:szCs w:val="22"/>
          <w:lang w:val="it-CH" w:eastAsia="de-CH"/>
        </w:rPr>
        <w:t>genere maschile</w:t>
      </w:r>
      <w:r w:rsidRPr="00186AEE">
        <w:rPr>
          <w:rFonts w:ascii="KievitPro-Regular" w:hAnsi="KievitPro-Regular" w:cs="Arial"/>
          <w:color w:val="222222"/>
          <w:sz w:val="22"/>
          <w:szCs w:val="22"/>
          <w:lang w:val="it-CH" w:eastAsia="de-CH"/>
        </w:rPr>
        <w:t xml:space="preserve">, ma è da intendersi riferito ad </w:t>
      </w:r>
      <w:r w:rsidRPr="00186AEE">
        <w:rPr>
          <w:rFonts w:ascii="KievitPro-Regular" w:hAnsi="KievitPro-Regular" w:cs="Arial"/>
          <w:b/>
          <w:sz w:val="22"/>
          <w:szCs w:val="22"/>
          <w:lang w:val="it-CH" w:eastAsia="de-CH"/>
        </w:rPr>
        <w:t>entrambi i generi</w:t>
      </w:r>
      <w:r w:rsidRPr="00186AEE">
        <w:rPr>
          <w:rFonts w:ascii="KievitPro-Regular" w:hAnsi="KievitPro-Regular" w:cs="Arial"/>
          <w:color w:val="222222"/>
          <w:sz w:val="22"/>
          <w:szCs w:val="22"/>
          <w:lang w:val="it-CH" w:eastAsia="de-CH"/>
        </w:rPr>
        <w:t>.</w:t>
      </w:r>
    </w:p>
    <w:bookmarkEnd w:id="1"/>
    <w:p w14:paraId="792AE809" w14:textId="77777777" w:rsidR="000D11F0" w:rsidRPr="00186AEE" w:rsidRDefault="000D11F0" w:rsidP="000D11F0">
      <w:pPr>
        <w:spacing w:line="276" w:lineRule="auto"/>
        <w:rPr>
          <w:rFonts w:ascii="KievitPro-Regular" w:hAnsi="KievitPro-Regular"/>
          <w:sz w:val="22"/>
          <w:szCs w:val="22"/>
          <w:lang w:val="it-CH"/>
        </w:rPr>
      </w:pPr>
    </w:p>
    <w:p w14:paraId="1B6548FE" w14:textId="77777777" w:rsidR="000D11F0" w:rsidRPr="00186AEE" w:rsidRDefault="000D11F0" w:rsidP="000D11F0">
      <w:pPr>
        <w:spacing w:line="276" w:lineRule="auto"/>
        <w:rPr>
          <w:rFonts w:ascii="KievitPro-Regular" w:hAnsi="KievitPro-Regular"/>
          <w:sz w:val="22"/>
          <w:szCs w:val="22"/>
          <w:lang w:val="it-CH"/>
        </w:rPr>
      </w:pPr>
    </w:p>
    <w:p w14:paraId="17ADF591" w14:textId="77777777" w:rsidR="000D11F0" w:rsidRPr="00186AEE" w:rsidRDefault="000D11F0" w:rsidP="000D11F0">
      <w:pPr>
        <w:spacing w:after="240" w:line="276" w:lineRule="auto"/>
        <w:rPr>
          <w:rFonts w:ascii="KievitPro-Regular" w:hAnsi="KievitPro-Regular"/>
          <w:b/>
          <w:sz w:val="22"/>
          <w:szCs w:val="22"/>
          <w:lang w:val="it-CH"/>
        </w:rPr>
      </w:pPr>
      <w:r w:rsidRPr="00186AEE">
        <w:rPr>
          <w:rFonts w:ascii="KievitPro-Regular" w:hAnsi="KievitPro-Regular"/>
          <w:b/>
          <w:sz w:val="22"/>
          <w:szCs w:val="22"/>
          <w:lang w:val="it-CH"/>
        </w:rPr>
        <w:t>Disclaimer</w:t>
      </w:r>
    </w:p>
    <w:p w14:paraId="07B2857C" w14:textId="77777777" w:rsidR="000D11F0" w:rsidRPr="00186AEE" w:rsidRDefault="000D11F0" w:rsidP="000D11F0">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Il seguente manuale in merito alla garanzia della qualità è valido per tutti i tipi di revisione, revisione ordinarie comprese. Il manuale dovrà essere adattato alle particolarità specifiche della società di revisione in questione. Alcune Checklist e alcune informazioni possono essere adeguate dall’utente o tralasciate.</w:t>
      </w:r>
    </w:p>
    <w:p w14:paraId="66B7964C" w14:textId="77777777" w:rsidR="000D11F0" w:rsidRPr="00186AEE" w:rsidRDefault="000D11F0" w:rsidP="000D11F0">
      <w:pPr>
        <w:spacing w:after="240" w:line="276" w:lineRule="auto"/>
        <w:rPr>
          <w:rFonts w:ascii="KievitPro-Regular" w:hAnsi="KievitPro-Regular"/>
          <w:sz w:val="22"/>
          <w:szCs w:val="22"/>
          <w:lang w:val="it-CH"/>
        </w:rPr>
      </w:pPr>
      <w:bookmarkStart w:id="2" w:name="_Hlk10260215"/>
      <w:r w:rsidRPr="00186AEE">
        <w:rPr>
          <w:rFonts w:ascii="KievitPro-Regular" w:hAnsi="KievitPro-Regular"/>
          <w:sz w:val="22"/>
          <w:szCs w:val="22"/>
          <w:lang w:val="it-CH"/>
        </w:rPr>
        <w:t>La seguente versione del manuale di assicurazione della qualità non ha carattere vincolante, né pretesa di completezza.</w:t>
      </w:r>
    </w:p>
    <w:bookmarkEnd w:id="2"/>
    <w:p w14:paraId="2C0DE0EA" w14:textId="77777777" w:rsidR="000D11F0" w:rsidRPr="00186AEE" w:rsidRDefault="000D11F0" w:rsidP="000D11F0">
      <w:pPr>
        <w:spacing w:after="240" w:line="276" w:lineRule="auto"/>
        <w:rPr>
          <w:rFonts w:ascii="KievitPro-Regular" w:hAnsi="KievitPro-Regular" w:cs="Arial"/>
          <w:color w:val="222222"/>
          <w:sz w:val="22"/>
          <w:szCs w:val="22"/>
          <w:lang w:val="it-CH" w:eastAsia="de-CH"/>
        </w:rPr>
      </w:pPr>
      <w:r w:rsidRPr="00186AEE">
        <w:rPr>
          <w:rFonts w:ascii="KievitPro-Regular" w:hAnsi="KievitPro-Regular"/>
          <w:sz w:val="22"/>
          <w:szCs w:val="22"/>
          <w:lang w:val="it-CH"/>
        </w:rPr>
        <w:t xml:space="preserve">Non è sufficiente introdurre il manuale di assicurazione della qualità: quest’ultimo deve anche essere effettivamente implementato e vissuto. </w:t>
      </w:r>
      <w:bookmarkStart w:id="3" w:name="_Hlk10260134"/>
    </w:p>
    <w:bookmarkEnd w:id="3"/>
    <w:p w14:paraId="2B7A3BCA" w14:textId="77777777" w:rsidR="000D11F0" w:rsidRPr="000D11F0" w:rsidRDefault="000D11F0" w:rsidP="000D11F0">
      <w:pPr>
        <w:pStyle w:val="berschrift1"/>
        <w:spacing w:line="276" w:lineRule="auto"/>
        <w:rPr>
          <w:rFonts w:ascii="KievitPro-Regular" w:hAnsi="KievitPro-Regular"/>
          <w:lang w:val="it-CH"/>
        </w:rPr>
      </w:pPr>
      <w:r w:rsidRPr="000D11F0">
        <w:rPr>
          <w:rFonts w:ascii="KievitPro-Regular" w:hAnsi="KievitPro-Regular"/>
          <w:lang w:val="it-CH"/>
        </w:rPr>
        <w:br w:type="page"/>
      </w:r>
      <w:bookmarkStart w:id="4" w:name="_Toc331493575"/>
      <w:bookmarkStart w:id="5" w:name="_Toc331493991"/>
      <w:bookmarkStart w:id="6" w:name="_Toc331495023"/>
      <w:bookmarkStart w:id="7" w:name="_Toc331495815"/>
      <w:bookmarkStart w:id="8" w:name="_Toc331510673"/>
    </w:p>
    <w:p w14:paraId="0B547280" w14:textId="77777777" w:rsidR="000D11F0" w:rsidRPr="000E27FB" w:rsidRDefault="000D11F0" w:rsidP="000D11F0">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bookmarkStart w:id="9" w:name="_Toc126737250"/>
      <w:r w:rsidRPr="000E27FB">
        <w:rPr>
          <w:rFonts w:ascii="Avenir LT Std 35 Light" w:hAnsi="Avenir LT Std 35 Light"/>
          <w:smallCaps/>
          <w:snapToGrid/>
          <w:spacing w:val="5"/>
          <w:kern w:val="0"/>
          <w:sz w:val="28"/>
          <w:szCs w:val="36"/>
          <w:lang w:val="it-CH" w:eastAsia="en-US"/>
        </w:rPr>
        <w:lastRenderedPageBreak/>
        <w:t>Strategia e principi del sistema di garanzia della qualità</w:t>
      </w:r>
      <w:bookmarkEnd w:id="9"/>
      <w:r w:rsidRPr="000E27FB">
        <w:rPr>
          <w:rFonts w:ascii="Avenir LT Std 35 Light" w:hAnsi="Avenir LT Std 35 Light"/>
          <w:smallCaps/>
          <w:snapToGrid/>
          <w:spacing w:val="5"/>
          <w:kern w:val="0"/>
          <w:sz w:val="28"/>
          <w:szCs w:val="36"/>
          <w:lang w:val="it-CH" w:eastAsia="en-US"/>
        </w:rPr>
        <w:t xml:space="preserve"> </w:t>
      </w:r>
      <w:bookmarkEnd w:id="4"/>
      <w:bookmarkEnd w:id="5"/>
      <w:bookmarkEnd w:id="6"/>
      <w:bookmarkEnd w:id="7"/>
      <w:bookmarkEnd w:id="8"/>
    </w:p>
    <w:p w14:paraId="41B9623B"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Siamo una società di revisione che, grazie allo spirito imprenditoriale e all’impegno personale, sostiene i propri mandatari nel raggiungimento dei loro scopi economici. Per noi, sostegno attivo significa rispetto delle responsabilità legali e massimo impegno a beneficio del cliente.</w:t>
      </w:r>
    </w:p>
    <w:p w14:paraId="7FFA4114"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 fiducia reciproca sta alla base di un’esecuzione del mandato che soddisfi i bisogni del cliente. I nostri revisori si attengono ai requisiti legali, alle disposizioni delle associazioni professionali e prestano particolare attenzione alle necessità dei nostri clienti. Il nostro metodo di lavoro è obiettivo e imparziale. Per questo i nostri servizi si distinguono per imprenditorialità, competenza e professionalità. </w:t>
      </w:r>
    </w:p>
    <w:p w14:paraId="3E9F9FB1"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Il nostro obiettivo è offrire dei servizi di revisione di alta qualità professionale. Il raggiungimento di questo obiettivo è assicurato grazie ad una serie di misure organizzative e provvedimenti a livello dei singoli mandati. I nostri collaboratori sono responsabili per l’applicazione e il rispetto delle disposizioni riguardanti l’assicurazione della qualità. Al fine di comprendere l’obiettivo del sistema di assicurazione della qualità e di conseguenza applicarlo al meglio, i collaboratori conoscono il manuale, i regolamenti e le direttive. Ogni collaboratore sa quindi quali sono le sue responsabilità nell’ambito dell’assicurazione della qualità e quali regole deve rispettare.</w:t>
      </w:r>
    </w:p>
    <w:p w14:paraId="0CBE13DC"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I nostri collaboratori sono professionisti del settore: la nostra politica è intransigente per quanto riguarda la formazione continua e gli aggiornamenti professionali.</w:t>
      </w:r>
    </w:p>
    <w:p w14:paraId="730C8821"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Verifichiamo in continuazione il rispetto delle direttive per l’assicurazione della qualità e ci impegniamo a migliorarle. </w:t>
      </w:r>
    </w:p>
    <w:p w14:paraId="42CF5672"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Il nostro sistema di garanzia della qualità si riferisce a diversi settori d’attività ed utilizza </w:t>
      </w:r>
      <w:r w:rsidRPr="00186AEE">
        <w:rPr>
          <w:rFonts w:ascii="KievitPro-Regular" w:hAnsi="KievitPro-Regular"/>
          <w:sz w:val="22"/>
          <w:szCs w:val="22"/>
          <w:highlight w:val="yellow"/>
          <w:lang w:val="it-CH"/>
        </w:rPr>
        <w:t xml:space="preserve">lo standard </w:t>
      </w:r>
      <w:r w:rsidRPr="00186AEE">
        <w:rPr>
          <w:rFonts w:ascii="KievitPro-Regular" w:hAnsi="KievitPro-Regular"/>
          <w:sz w:val="22"/>
          <w:szCs w:val="22"/>
          <w:lang w:val="it-CH"/>
        </w:rPr>
        <w:t>ISQC-CH 1</w:t>
      </w:r>
      <w:r w:rsidRPr="00186AEE">
        <w:rPr>
          <w:rFonts w:ascii="KievitPro-Regular" w:hAnsi="KievitPro-Regular"/>
          <w:sz w:val="22"/>
          <w:szCs w:val="22"/>
          <w:highlight w:val="yellow"/>
          <w:lang w:val="it-CH"/>
        </w:rPr>
        <w:t xml:space="preserve"> e lo standard ISA-CH 220</w:t>
      </w:r>
      <w:r w:rsidRPr="00186AEE">
        <w:rPr>
          <w:rStyle w:val="Funotenzeichen"/>
          <w:rFonts w:ascii="KievitPro-Regular" w:hAnsi="KievitPro-Regular"/>
          <w:sz w:val="22"/>
          <w:szCs w:val="22"/>
          <w:highlight w:val="yellow"/>
          <w:lang w:val="it-CH"/>
        </w:rPr>
        <w:footnoteReference w:id="1"/>
      </w:r>
      <w:r w:rsidRPr="00186AEE">
        <w:rPr>
          <w:rFonts w:ascii="KievitPro-Regular" w:hAnsi="KievitPro-Regular"/>
          <w:sz w:val="22"/>
          <w:szCs w:val="22"/>
          <w:highlight w:val="yellow"/>
          <w:lang w:val="it-CH"/>
        </w:rPr>
        <w:t xml:space="preserve"> (EXPERTsuisse) o le istruzioni relative alla garanzia della qualità per l’audit delle PMI (FIDUCIAIRE|SUISSE)</w:t>
      </w:r>
      <w:r w:rsidRPr="00186AEE">
        <w:rPr>
          <w:rStyle w:val="Funotenzeichen"/>
          <w:rFonts w:ascii="KievitPro-Regular" w:hAnsi="KievitPro-Regular"/>
          <w:sz w:val="22"/>
          <w:szCs w:val="22"/>
          <w:highlight w:val="yellow"/>
          <w:lang w:val="it-CH"/>
        </w:rPr>
        <w:footnoteReference w:id="2"/>
      </w:r>
      <w:r w:rsidRPr="00186AEE">
        <w:rPr>
          <w:rFonts w:ascii="KievitPro-Regular" w:hAnsi="KievitPro-Regular"/>
          <w:sz w:val="22"/>
          <w:szCs w:val="22"/>
          <w:highlight w:val="yellow"/>
          <w:lang w:val="it-CH"/>
        </w:rPr>
        <w:t>.</w:t>
      </w:r>
      <w:r w:rsidRPr="00186AEE">
        <w:rPr>
          <w:rFonts w:ascii="KievitPro-Regular" w:hAnsi="KievitPro-Regular"/>
          <w:sz w:val="22"/>
          <w:szCs w:val="22"/>
          <w:lang w:val="it-CH"/>
        </w:rPr>
        <w:t xml:space="preserve"> L’iscrizione nel registro ASR in relazione all’applicazione degli standard di controllo della qualità sarà oggetto di un controllo regolare e modificato in caso di cambiamento dello standard utilizzato. Il CdA è responsabile per l’allestimento del sistema di garanzia della qualità. I singoli settori d’attività sono illustrati nel nostro organigramma (vedi allegato). </w:t>
      </w:r>
    </w:p>
    <w:p w14:paraId="27342204" w14:textId="77777777" w:rsidR="000D11F0" w:rsidRPr="00186AEE" w:rsidRDefault="000D11F0" w:rsidP="00A45D38">
      <w:pPr>
        <w:spacing w:after="240" w:line="276" w:lineRule="auto"/>
        <w:rPr>
          <w:rFonts w:ascii="KievitPro-Regular" w:hAnsi="KievitPro-Regular"/>
          <w:sz w:val="22"/>
          <w:szCs w:val="22"/>
          <w:lang w:val="it-CH"/>
        </w:rPr>
      </w:pPr>
      <w:bookmarkStart w:id="10" w:name="_Hlk10261228"/>
      <w:r w:rsidRPr="00186AEE">
        <w:rPr>
          <w:rFonts w:ascii="KievitPro-Regular" w:hAnsi="KievitPro-Regular"/>
          <w:sz w:val="22"/>
          <w:szCs w:val="22"/>
          <w:lang w:val="it-CH"/>
        </w:rPr>
        <w:t>Il seguente manuale ha lo scopo di assicurare la qualità nell’ambito delle revisioni dei conti annuali, dei review dei conti annuali, nonché altri servizi di revisione e verifiche speciali</w:t>
      </w:r>
      <w:bookmarkStart w:id="11" w:name="_Hlk66103023"/>
      <w:r w:rsidRPr="00186AEE">
        <w:rPr>
          <w:rFonts w:ascii="KievitPro-Regular" w:hAnsi="KievitPro-Regular"/>
          <w:sz w:val="22"/>
          <w:szCs w:val="22"/>
          <w:highlight w:val="red"/>
          <w:lang w:val="it-CH"/>
        </w:rPr>
        <w:t>, revisione ordinarie incluse</w:t>
      </w:r>
      <w:r w:rsidRPr="00186AEE">
        <w:rPr>
          <w:rStyle w:val="Funotenzeichen"/>
          <w:rFonts w:ascii="KievitPro-Regular" w:hAnsi="KievitPro-Regular"/>
          <w:sz w:val="22"/>
          <w:szCs w:val="22"/>
          <w:lang w:val="it-CH"/>
        </w:rPr>
        <w:footnoteReference w:id="3"/>
      </w:r>
      <w:r w:rsidRPr="00186AEE">
        <w:rPr>
          <w:rFonts w:ascii="KievitPro-Regular" w:hAnsi="KievitPro-Regular"/>
          <w:sz w:val="22"/>
          <w:szCs w:val="22"/>
          <w:lang w:val="it-CH"/>
        </w:rPr>
        <w:t xml:space="preserve">. </w:t>
      </w:r>
      <w:bookmarkEnd w:id="11"/>
      <w:r w:rsidRPr="00186AEE">
        <w:rPr>
          <w:rFonts w:ascii="KievitPro-Regular" w:hAnsi="KievitPro-Regular"/>
          <w:sz w:val="22"/>
          <w:szCs w:val="22"/>
          <w:lang w:val="it-CH"/>
        </w:rPr>
        <w:t xml:space="preserve">Oltre al manuale, prestiamo attenzione al rispetto della legge, delle ordinanze e dei decreti oltre che ai principi professionali. Per quanto riguarda le verifiche speciali, come ad esempio la verifica di fondazione, di aumento del capitale o di riduzione del capitale, sono applicati anche gli standard svizzeri di revisione d’EXPERTsuisse. </w:t>
      </w:r>
    </w:p>
    <w:p w14:paraId="1609BBB0" w14:textId="77777777" w:rsidR="000D11F0" w:rsidRPr="00186AEE" w:rsidRDefault="000D11F0" w:rsidP="00A45D38">
      <w:pPr>
        <w:spacing w:after="240" w:line="276" w:lineRule="auto"/>
        <w:rPr>
          <w:rFonts w:ascii="KievitPro-Regular" w:hAnsi="KievitPro-Regular"/>
          <w:sz w:val="22"/>
          <w:szCs w:val="22"/>
          <w:lang w:val="it-CH"/>
        </w:rPr>
      </w:pPr>
      <w:bookmarkStart w:id="12" w:name="_Hlk30934146"/>
      <w:bookmarkEnd w:id="10"/>
      <w:r w:rsidRPr="00186AEE">
        <w:rPr>
          <w:rFonts w:ascii="KievitPro-Regular" w:hAnsi="KievitPro-Regular"/>
          <w:sz w:val="22"/>
          <w:szCs w:val="22"/>
          <w:lang w:val="it-CH"/>
        </w:rPr>
        <w:t xml:space="preserve">Il sistema di assicurazione della qualità ha lo scopo di raggiungere gli obiettivi enunciati di seguito in questo manuale, sviluppare i provvedimenti necessari e verificarne il rispetto e l’applicazione. </w:t>
      </w:r>
    </w:p>
    <w:p w14:paraId="0E720650"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13" w:name="_Toc126737251"/>
      <w:bookmarkEnd w:id="12"/>
      <w:r w:rsidRPr="000E27FB">
        <w:rPr>
          <w:rFonts w:ascii="Avenir LT Std 35 Light" w:hAnsi="Avenir LT Std 35 Light"/>
          <w:smallCaps/>
          <w:snapToGrid/>
          <w:sz w:val="24"/>
          <w:szCs w:val="28"/>
          <w:lang w:val="it-CH" w:eastAsia="en-US"/>
        </w:rPr>
        <w:lastRenderedPageBreak/>
        <w:t>Obiettivo del sistema di garanzia della qualità</w:t>
      </w:r>
      <w:bookmarkEnd w:id="13"/>
    </w:p>
    <w:p w14:paraId="4768E774"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Principio</w:t>
      </w:r>
    </w:p>
    <w:p w14:paraId="1E84366B"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Occorre identificare e valutare i rischi per il settore della revisione, e di conseguenza sviluppare le dovute misure. Va inoltre prestata attenzione ai cambiamenti negli standard professionali, come anche ai requisiti legali rilevanti e ne viene garantito il rispetto attraverso corsi di formazione, l’allestimento di strumenti d’aiuto o la messa a disposizione di modelli.</w:t>
      </w:r>
    </w:p>
    <w:p w14:paraId="51286237"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 direzione della società è responsabile per l’implementazione e l’aggiornamento del sistema di assicurazione della qualità. L’applicazione interna del sistema è affidata al capodipartimento revisione, il quale annualmente aggiorna la direzione. </w:t>
      </w:r>
    </w:p>
    <w:p w14:paraId="154CAC6D"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Provvedimenti</w:t>
      </w:r>
    </w:p>
    <w:p w14:paraId="397FA046"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Il compito di identificare e valutare il rischio imprenditoriale per il settore della revisione viene svolto, sottoforma di analisi dei rischi</w:t>
      </w:r>
      <w:bookmarkStart w:id="14" w:name="_Hlk30934274"/>
      <w:r w:rsidRPr="00186AEE">
        <w:rPr>
          <w:rFonts w:ascii="KievitPro-Regular" w:hAnsi="KievitPro-Regular"/>
          <w:sz w:val="22"/>
          <w:szCs w:val="22"/>
          <w:lang w:val="it-CH"/>
        </w:rPr>
        <w:t xml:space="preserve">, </w:t>
      </w:r>
      <w:r w:rsidRPr="00186AEE">
        <w:rPr>
          <w:rFonts w:ascii="KievitPro-Regular" w:hAnsi="KievitPro-Regular"/>
          <w:sz w:val="22"/>
          <w:szCs w:val="22"/>
          <w:highlight w:val="yellow"/>
          <w:lang w:val="it-CH"/>
        </w:rPr>
        <w:t>dal Consiglio di Amministrazione risp. dalla Direzione</w:t>
      </w:r>
      <w:bookmarkEnd w:id="14"/>
      <w:r w:rsidRPr="00186AEE">
        <w:rPr>
          <w:rFonts w:ascii="KievitPro-Regular" w:hAnsi="KievitPro-Regular"/>
          <w:sz w:val="22"/>
          <w:szCs w:val="22"/>
          <w:lang w:val="it-CH"/>
        </w:rPr>
        <w:t>. Questo compito deve essere svolto regolarmente (almeno una volta all’anno) e documentato con minuziosità.</w:t>
      </w:r>
    </w:p>
    <w:p w14:paraId="70346CA0"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Sulla base dei rischi imprenditoriali identificati e valutati per quanto riguarda la revisione, occorre sviluppare e applicare le necessarie misure di mitigazione del rischio, entro un termine ragionevole.</w:t>
      </w:r>
    </w:p>
    <w:p w14:paraId="55806693" w14:textId="77777777" w:rsidR="000D11F0" w:rsidRPr="00186AEE" w:rsidRDefault="000D11F0" w:rsidP="00A45D38">
      <w:pPr>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5.1: Analisi del rischio</w:t>
      </w:r>
    </w:p>
    <w:p w14:paraId="6F31280C"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15" w:name="_Toc126737252"/>
      <w:r w:rsidRPr="000E27FB">
        <w:rPr>
          <w:rFonts w:ascii="Avenir LT Std 35 Light" w:hAnsi="Avenir LT Std 35 Light"/>
          <w:smallCaps/>
          <w:snapToGrid/>
          <w:sz w:val="24"/>
          <w:szCs w:val="28"/>
          <w:lang w:val="it-CH" w:eastAsia="en-US"/>
        </w:rPr>
        <w:t>Approvazione</w:t>
      </w:r>
      <w:bookmarkEnd w:id="15"/>
    </w:p>
    <w:p w14:paraId="4BDA55FC"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Questo manuale è stato approvato nella seguente versione </w:t>
      </w:r>
      <w:r w:rsidRPr="00186AEE">
        <w:rPr>
          <w:rFonts w:ascii="KievitPro-Regular" w:hAnsi="KievitPro-Regular"/>
          <w:sz w:val="22"/>
          <w:szCs w:val="22"/>
          <w:highlight w:val="yellow"/>
          <w:lang w:val="it-CH"/>
        </w:rPr>
        <w:t>dal CdA/dalla direzione</w:t>
      </w:r>
      <w:r w:rsidRPr="00186AEE">
        <w:rPr>
          <w:rFonts w:ascii="KievitPro-Regular" w:hAnsi="KievitPro-Regular"/>
          <w:sz w:val="22"/>
          <w:szCs w:val="22"/>
          <w:lang w:val="it-CH"/>
        </w:rPr>
        <w:t xml:space="preserve"> il </w:t>
      </w:r>
      <w:r w:rsidRPr="00186AEE">
        <w:rPr>
          <w:rFonts w:ascii="KievitPro-Regular" w:hAnsi="KievitPro-Regular"/>
          <w:sz w:val="22"/>
          <w:szCs w:val="22"/>
          <w:highlight w:val="yellow"/>
          <w:lang w:val="it-CH"/>
        </w:rPr>
        <w:t>xx.xx.xxxx.</w:t>
      </w:r>
    </w:p>
    <w:p w14:paraId="122187AE"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(ultima revisione </w:t>
      </w:r>
      <w:r w:rsidRPr="00186AEE">
        <w:rPr>
          <w:rFonts w:ascii="KievitPro-Regular" w:hAnsi="KievitPro-Regular"/>
          <w:sz w:val="22"/>
          <w:szCs w:val="22"/>
          <w:highlight w:val="yellow"/>
          <w:lang w:val="it-CH"/>
        </w:rPr>
        <w:t>xx.xx.xxxx</w:t>
      </w:r>
      <w:r w:rsidRPr="00186AEE">
        <w:rPr>
          <w:rFonts w:ascii="KievitPro-Regular" w:hAnsi="KievitPro-Regular"/>
          <w:sz w:val="22"/>
          <w:szCs w:val="22"/>
          <w:lang w:val="it-CH"/>
        </w:rPr>
        <w:t>)</w:t>
      </w:r>
    </w:p>
    <w:p w14:paraId="2B5EDD9A" w14:textId="77777777" w:rsidR="000D11F0" w:rsidRPr="00186AEE" w:rsidRDefault="000D11F0" w:rsidP="00A45D38">
      <w:pPr>
        <w:spacing w:after="240" w:line="276" w:lineRule="auto"/>
        <w:rPr>
          <w:rFonts w:ascii="KievitPro-Regular" w:hAnsi="KievitPro-Regular"/>
          <w:sz w:val="22"/>
          <w:szCs w:val="22"/>
          <w:lang w:val="it-CH"/>
        </w:rPr>
      </w:pPr>
      <w:bookmarkStart w:id="16" w:name="_Toc331493576"/>
      <w:bookmarkStart w:id="17" w:name="_Toc331493992"/>
      <w:bookmarkStart w:id="18" w:name="_Toc331495024"/>
      <w:bookmarkStart w:id="19" w:name="_Toc331495816"/>
      <w:bookmarkStart w:id="20" w:name="_Toc331510675"/>
    </w:p>
    <w:p w14:paraId="71682A0B"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Firma/e:</w:t>
      </w:r>
    </w:p>
    <w:p w14:paraId="4421E4AD" w14:textId="77777777" w:rsidR="000D11F0" w:rsidRPr="000D11F0" w:rsidRDefault="000D11F0" w:rsidP="00A45D38">
      <w:pPr>
        <w:spacing w:after="240" w:line="276" w:lineRule="auto"/>
        <w:rPr>
          <w:rFonts w:ascii="KievitPro-Regular" w:hAnsi="KievitPro-Regular"/>
          <w:lang w:val="it-CH"/>
        </w:rPr>
      </w:pPr>
    </w:p>
    <w:p w14:paraId="634EA447" w14:textId="77777777" w:rsidR="000D11F0" w:rsidRPr="000D11F0" w:rsidRDefault="000D11F0" w:rsidP="00A45D38">
      <w:pPr>
        <w:spacing w:after="240" w:line="276" w:lineRule="auto"/>
        <w:rPr>
          <w:rFonts w:ascii="KievitPro-Regular" w:hAnsi="KievitPro-Regular"/>
          <w:lang w:val="it-CH"/>
        </w:rPr>
      </w:pPr>
    </w:p>
    <w:p w14:paraId="5B01130E" w14:textId="77777777" w:rsidR="000D11F0" w:rsidRPr="000D11F0" w:rsidRDefault="000D11F0" w:rsidP="00A45D38">
      <w:pPr>
        <w:spacing w:after="240" w:line="276" w:lineRule="auto"/>
        <w:rPr>
          <w:rFonts w:ascii="KievitPro-Regular" w:hAnsi="KievitPro-Regular"/>
          <w:smallCaps/>
          <w:spacing w:val="5"/>
          <w:sz w:val="28"/>
          <w:szCs w:val="36"/>
          <w:lang w:val="it-CH"/>
        </w:rPr>
      </w:pPr>
      <w:r w:rsidRPr="000D11F0">
        <w:rPr>
          <w:rFonts w:ascii="KievitPro-Regular" w:hAnsi="KievitPro-Regular"/>
          <w:lang w:val="it-CH"/>
        </w:rPr>
        <w:t>_______________________________     _______________________________________</w:t>
      </w:r>
      <w:r w:rsidRPr="000D11F0">
        <w:rPr>
          <w:rFonts w:ascii="KievitPro-Regular" w:hAnsi="KievitPro-Regular"/>
          <w:lang w:val="it-CH"/>
        </w:rPr>
        <w:br w:type="page"/>
      </w:r>
    </w:p>
    <w:p w14:paraId="5344E311" w14:textId="77777777" w:rsidR="000D11F0" w:rsidRPr="000E27FB" w:rsidRDefault="000D11F0" w:rsidP="00A45D38">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bookmarkStart w:id="21" w:name="_Toc126737253"/>
      <w:bookmarkEnd w:id="16"/>
      <w:bookmarkEnd w:id="17"/>
      <w:bookmarkEnd w:id="18"/>
      <w:bookmarkEnd w:id="19"/>
      <w:bookmarkEnd w:id="20"/>
      <w:r w:rsidRPr="000E27FB">
        <w:rPr>
          <w:rFonts w:ascii="Avenir LT Std 35 Light" w:hAnsi="Avenir LT Std 35 Light"/>
          <w:smallCaps/>
          <w:snapToGrid/>
          <w:spacing w:val="5"/>
          <w:kern w:val="0"/>
          <w:sz w:val="28"/>
          <w:szCs w:val="36"/>
          <w:lang w:val="it-CH" w:eastAsia="en-US"/>
        </w:rPr>
        <w:lastRenderedPageBreak/>
        <w:t>Organizzazione generale della società di revisione</w:t>
      </w:r>
      <w:bookmarkEnd w:id="21"/>
    </w:p>
    <w:p w14:paraId="14C7DAFF"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bookmarkStart w:id="22" w:name="_Toc126737254"/>
      <w:r w:rsidRPr="000E27FB">
        <w:rPr>
          <w:rFonts w:ascii="Avenir LT Std 35 Light" w:hAnsi="Avenir LT Std 35 Light"/>
          <w:smallCaps/>
          <w:snapToGrid/>
          <w:sz w:val="24"/>
          <w:szCs w:val="28"/>
          <w:lang w:val="it-CH" w:eastAsia="en-US"/>
        </w:rPr>
        <w:t>Requisiti legali e principi professionali</w:t>
      </w:r>
      <w:bookmarkEnd w:id="22"/>
    </w:p>
    <w:p w14:paraId="5229179E"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Principio</w:t>
      </w:r>
    </w:p>
    <w:p w14:paraId="0D7BDDF8" w14:textId="77777777" w:rsidR="000D11F0" w:rsidRPr="00186AEE" w:rsidRDefault="000D11F0" w:rsidP="00A45D38">
      <w:pPr>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Siamo una società di revisione abilitata quale </w:t>
      </w:r>
      <w:r w:rsidRPr="00186AEE">
        <w:rPr>
          <w:rFonts w:ascii="KievitPro-Regular" w:hAnsi="KievitPro-Regular"/>
          <w:sz w:val="22"/>
          <w:szCs w:val="22"/>
          <w:highlight w:val="yellow"/>
          <w:lang w:val="it-CH"/>
        </w:rPr>
        <w:t xml:space="preserve">revisore/perito revisore </w:t>
      </w:r>
      <w:r w:rsidRPr="00186AEE">
        <w:rPr>
          <w:rFonts w:ascii="KievitPro-Regular" w:hAnsi="KievitPro-Regular"/>
          <w:sz w:val="22"/>
          <w:szCs w:val="22"/>
          <w:lang w:val="it-CH"/>
        </w:rPr>
        <w:t xml:space="preserve">abilitato. In aggiunta siamo membri di </w:t>
      </w:r>
      <w:r w:rsidRPr="00186AEE">
        <w:rPr>
          <w:rFonts w:ascii="KievitPro-Regular" w:hAnsi="KievitPro-Regular"/>
          <w:sz w:val="22"/>
          <w:szCs w:val="22"/>
          <w:highlight w:val="yellow"/>
          <w:lang w:val="it-CH"/>
        </w:rPr>
        <w:t>TREUHAND|SUISSE e/o EXPERTsuisse</w:t>
      </w:r>
      <w:r w:rsidRPr="00186AEE">
        <w:rPr>
          <w:rFonts w:ascii="KievitPro-Regular" w:hAnsi="KievitPro-Regular"/>
          <w:sz w:val="22"/>
          <w:szCs w:val="22"/>
          <w:lang w:val="it-CH"/>
        </w:rPr>
        <w:t xml:space="preserve"> </w:t>
      </w:r>
      <w:bookmarkStart w:id="23" w:name="_Hlk30932299"/>
      <w:r w:rsidRPr="00186AEE">
        <w:rPr>
          <w:rFonts w:ascii="KievitPro-Regular" w:hAnsi="KievitPro-Regular"/>
          <w:sz w:val="22"/>
          <w:szCs w:val="22"/>
          <w:highlight w:val="yellow"/>
          <w:lang w:val="it-CH"/>
        </w:rPr>
        <w:t>(in alternativa elenca altre affiliazioni o elimina la frase</w:t>
      </w:r>
      <w:r w:rsidRPr="00186AEE">
        <w:rPr>
          <w:rFonts w:ascii="KievitPro-Regular" w:hAnsi="KievitPro-Regular"/>
          <w:sz w:val="22"/>
          <w:szCs w:val="22"/>
          <w:lang w:val="it-CH"/>
        </w:rPr>
        <w:t xml:space="preserve">). </w:t>
      </w:r>
      <w:bookmarkEnd w:id="23"/>
      <w:r w:rsidRPr="00186AEE">
        <w:rPr>
          <w:rFonts w:ascii="KievitPro-Regular" w:hAnsi="KievitPro-Regular"/>
          <w:sz w:val="22"/>
          <w:szCs w:val="22"/>
          <w:lang w:val="it-CH"/>
        </w:rPr>
        <w:t>Ci impegniamo a rispettare le disposizioni legali pertinenti, le rispettive ordinanze e dispense, così come anche i principi professionali.</w:t>
      </w:r>
    </w:p>
    <w:p w14:paraId="63FF3734"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Ci impegniamo a preservare l'indipendenza interna ed esterna dell'azienda e dei suoi professionisti quando i requisiti di condotta professionale lo richiedono. Il personale qualificato è soggetto al segreto professionale, in particolare alla segretezza (articolo 730 ter paragrafo 2 CO). Per fare ciò, l'infrastruttura IT interna dell'azienda e l'elaborazione elettronica dei dati sono gestite con cura.</w:t>
      </w:r>
    </w:p>
    <w:p w14:paraId="7AA1733B"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Garantiamo che il nostro personale di revisione abbia l'esperienza necessaria per adempiere ai propri obblighi legali con la dovuta diligenza. In tal modo, ci assicuriamo che la formazione del personale di revisione sia equilibrata e che sia anche adeguata alla complessità dei mandati di audit (revisione limitate </w:t>
      </w:r>
      <w:r w:rsidRPr="00186AEE">
        <w:rPr>
          <w:rFonts w:ascii="KievitPro-Regular" w:hAnsi="KievitPro-Regular"/>
          <w:sz w:val="22"/>
          <w:szCs w:val="22"/>
          <w:highlight w:val="red"/>
          <w:lang w:val="it-CH"/>
        </w:rPr>
        <w:t>e / o ordinarie</w:t>
      </w:r>
      <w:r w:rsidRPr="00186AEE">
        <w:rPr>
          <w:rFonts w:ascii="KievitPro-Regular" w:hAnsi="KievitPro-Regular"/>
          <w:sz w:val="22"/>
          <w:szCs w:val="22"/>
          <w:lang w:val="it-CH"/>
        </w:rPr>
        <w:t>, standard contabili applicabili, eccetera)</w:t>
      </w:r>
    </w:p>
    <w:p w14:paraId="76E24DF5"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bookmarkStart w:id="24" w:name="_Hlk30934440"/>
      <w:r w:rsidRPr="00186AEE">
        <w:rPr>
          <w:rFonts w:ascii="KievitPro-Regular" w:hAnsi="KievitPro-Regular"/>
          <w:sz w:val="22"/>
          <w:szCs w:val="22"/>
          <w:lang w:val="it-CH"/>
        </w:rPr>
        <w:t xml:space="preserve">Abbiamo un'organizzazione appropriata. Un organigramma corrispondente è parte integrante del sistema di assicurazione della qualità. La società si suddivide nei reparti </w:t>
      </w:r>
      <w:r w:rsidRPr="00186AEE">
        <w:rPr>
          <w:rFonts w:ascii="KievitPro-Regular" w:hAnsi="KievitPro-Regular"/>
          <w:sz w:val="22"/>
          <w:szCs w:val="22"/>
          <w:highlight w:val="yellow"/>
          <w:lang w:val="it-CH"/>
        </w:rPr>
        <w:t>revisione, immobiliare, contabilità/fiduciaria, consulenza fiscale, consulenza generale</w:t>
      </w:r>
      <w:r w:rsidRPr="00186AEE">
        <w:rPr>
          <w:rFonts w:ascii="KievitPro-Regular" w:hAnsi="KievitPro-Regular"/>
          <w:sz w:val="22"/>
          <w:szCs w:val="22"/>
          <w:lang w:val="it-CH"/>
        </w:rPr>
        <w:t xml:space="preserve">… (vedi organigramma in allegato). </w:t>
      </w:r>
    </w:p>
    <w:bookmarkEnd w:id="24"/>
    <w:p w14:paraId="62D5A723"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Provvedimenti</w:t>
      </w:r>
    </w:p>
    <w:p w14:paraId="3979E2BA"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highlight w:val="yellow"/>
          <w:lang w:val="it-CH"/>
        </w:rPr>
        <w:t>I nostri revisori responsabili</w:t>
      </w:r>
      <w:r w:rsidRPr="00186AEE">
        <w:rPr>
          <w:rFonts w:ascii="KievitPro-Regular" w:hAnsi="KievitPro-Regular"/>
          <w:sz w:val="22"/>
          <w:szCs w:val="22"/>
          <w:lang w:val="it-CH"/>
        </w:rPr>
        <w:t xml:space="preserve"> di mandato hanno ottenuto l’abilitazione come </w:t>
      </w:r>
      <w:r w:rsidRPr="00186AEE">
        <w:rPr>
          <w:rFonts w:ascii="KievitPro-Regular" w:hAnsi="KievitPro-Regular"/>
          <w:sz w:val="22"/>
          <w:szCs w:val="22"/>
          <w:highlight w:val="yellow"/>
          <w:lang w:val="it-CH"/>
        </w:rPr>
        <w:t>revisori/periti revisori</w:t>
      </w:r>
      <w:r w:rsidRPr="00186AEE">
        <w:rPr>
          <w:rFonts w:ascii="KievitPro-Regular" w:hAnsi="KievitPro-Regular"/>
          <w:sz w:val="22"/>
          <w:szCs w:val="22"/>
          <w:lang w:val="it-CH"/>
        </w:rPr>
        <w:t xml:space="preserve"> dall’autorità di sorveglianza dei revisori. Si impegnano personalmente a rispettare le disposizioni legali e i principi professionali, tra cui si contano in particolare le regole professionali e di diligenza, le direttive sull’indipendenza così come anche le direttive sugli aggiornamenti professionali.</w:t>
      </w:r>
    </w:p>
    <w:p w14:paraId="13FBBA76" w14:textId="77777777" w:rsidR="000D11F0" w:rsidRPr="00186AEE" w:rsidRDefault="000D11F0" w:rsidP="00A45D38">
      <w:pPr>
        <w:tabs>
          <w:tab w:val="right" w:pos="9405"/>
        </w:tabs>
        <w:spacing w:after="240" w:line="276" w:lineRule="auto"/>
        <w:rPr>
          <w:rFonts w:ascii="KievitPro-Regular" w:hAnsi="KievitPro-Regular"/>
          <w:bCs/>
          <w:i/>
          <w:iCs/>
          <w:sz w:val="22"/>
          <w:szCs w:val="22"/>
          <w:lang w:val="it-CH"/>
        </w:rPr>
      </w:pPr>
      <w:r w:rsidRPr="00186AEE">
        <w:rPr>
          <w:rFonts w:ascii="KievitPro-Regular" w:hAnsi="KievitPro-Regular"/>
          <w:bCs/>
          <w:i/>
          <w:iCs/>
          <w:sz w:val="22"/>
          <w:szCs w:val="22"/>
          <w:lang w:val="it-CH"/>
        </w:rPr>
        <w:t>Indipendenza</w:t>
      </w:r>
      <w:r w:rsidRPr="00186AEE">
        <w:rPr>
          <w:rStyle w:val="Funotenzeichen"/>
          <w:rFonts w:ascii="KievitPro-Regular" w:hAnsi="KievitPro-Regular"/>
          <w:bCs/>
          <w:i/>
          <w:iCs/>
          <w:sz w:val="22"/>
          <w:szCs w:val="22"/>
          <w:lang w:val="it-CH"/>
        </w:rPr>
        <w:footnoteReference w:id="4"/>
      </w:r>
    </w:p>
    <w:p w14:paraId="3B2CFFE2"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Tutti i dipendenti coinvolti nella revisione, nonché tutti i membri dell'organo superiore direttivo o amministrativo (ad es. i membri del consiglio di amministrazione) il consiglio di amministrazione (ad es. i Direttori) ecc., e i dipendenti con funzioni decisionali, devono firmare una dichiarazione annuale di indipendenza. La dichiarazione è accompagnata da un elenco degli attuali mandati di revisione. Inoltre, il rispetto delle regole di indipendenza viene regolarmente monitorato e documentato nel processo di accettazione e/o di continuazione del mandato per rilevare tempestivamente violazioni delle linee guida sull'indipendenza (vedere anche la sezione 2.2).</w:t>
      </w:r>
    </w:p>
    <w:p w14:paraId="486151B9"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p>
    <w:p w14:paraId="58891121" w14:textId="77777777" w:rsidR="000D11F0" w:rsidRPr="00186AEE" w:rsidRDefault="000D11F0" w:rsidP="00A45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lastRenderedPageBreak/>
        <w:t>I dipendenti che non sono coinvolti nella revisione contabile (ad es. Fiduciari senza funzione di gestione) devono inoltre presentare una dichiarazione scritta ogni anno che attesti che non sono membri del consiglio di amministrazione di alcun cliente di revisione contabile. Una conferma scritta può essere data in forma cartacea o elettronica.</w:t>
      </w:r>
    </w:p>
    <w:p w14:paraId="1D63008C" w14:textId="16AD0660"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Una seduta a tema indipendenza viene organizzata annualmente tra direzione della società e il responsabile del dipartimento revisione. Ogni anno i mandati saranno inoltre verificati in relazione a possibili problemi di indipendenza e, se necessario, le misure necessarie saranno prese.</w:t>
      </w:r>
    </w:p>
    <w:p w14:paraId="7A18C15D"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 responsabilità per i mandati viene suddivisa e documentata nella lista dei mandati. Viene fatta in particolare attenzione alla separazione del personale (nell’ambito della revisione limitata e della contabilità), che viene rispettata. Ulteriori provvedimenti a protezione della separazione organizzativa nell’ambito della revisione limitata sono contenuti nel capitolo 3.6.  </w:t>
      </w:r>
    </w:p>
    <w:p w14:paraId="22BF0A11"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Viene prestata particolare attenzione affinché il rapporto di confidenza tra il team di revisione e il cliente non sia così stretto da destare dubbi riguardo l’obiettività o l’imparzialità del revisore.</w:t>
      </w:r>
    </w:p>
    <w:p w14:paraId="15F1FCA1" w14:textId="77777777" w:rsidR="000D11F0" w:rsidRPr="00186AEE" w:rsidRDefault="000D11F0" w:rsidP="00A45D38">
      <w:pPr>
        <w:tabs>
          <w:tab w:val="right" w:pos="9405"/>
        </w:tabs>
        <w:spacing w:after="240" w:line="276" w:lineRule="auto"/>
        <w:rPr>
          <w:rFonts w:ascii="KievitPro-Regular" w:hAnsi="KievitPro-Regular"/>
          <w:bCs/>
          <w:i/>
          <w:iCs/>
          <w:sz w:val="22"/>
          <w:szCs w:val="22"/>
          <w:lang w:val="it-CH"/>
        </w:rPr>
      </w:pPr>
      <w:r w:rsidRPr="00186AEE">
        <w:rPr>
          <w:rFonts w:ascii="KievitPro-Regular" w:hAnsi="KievitPro-Regular"/>
          <w:bCs/>
          <w:i/>
          <w:iCs/>
          <w:sz w:val="22"/>
          <w:szCs w:val="22"/>
          <w:lang w:val="it-CH"/>
        </w:rPr>
        <w:t>Formazione continua</w:t>
      </w:r>
    </w:p>
    <w:p w14:paraId="7F7566C7"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Abbiamo in funzione un controllo interno della formazione continua. A prova del rispetto delle regole riguardanti la formazione, sono sufficienti delle copie del tool-online di rilevamento di </w:t>
      </w:r>
      <w:r w:rsidRPr="00186AEE">
        <w:rPr>
          <w:rFonts w:ascii="KievitPro-Regular" w:hAnsi="KievitPro-Regular"/>
          <w:sz w:val="22"/>
          <w:szCs w:val="22"/>
          <w:highlight w:val="yellow"/>
          <w:lang w:val="it-CH"/>
        </w:rPr>
        <w:t>TREUHAND|SUISSE o EXPERTsuisse</w:t>
      </w:r>
      <w:r w:rsidRPr="00186AEE">
        <w:rPr>
          <w:rFonts w:ascii="KievitPro-Regular" w:hAnsi="KievitPro-Regular"/>
          <w:sz w:val="22"/>
          <w:szCs w:val="22"/>
          <w:lang w:val="it-CH"/>
        </w:rPr>
        <w:t xml:space="preserve"> (</w:t>
      </w:r>
      <w:r w:rsidRPr="00186AEE">
        <w:rPr>
          <w:rFonts w:ascii="KievitPro-Regular" w:hAnsi="KievitPro-Regular"/>
          <w:i/>
          <w:sz w:val="22"/>
          <w:szCs w:val="22"/>
          <w:highlight w:val="yellow"/>
          <w:lang w:val="it-CH"/>
        </w:rPr>
        <w:t>consiglio: nel caso in cui non foste membri di alcuna associazione, è necessaria una prova equivalente</w:t>
      </w:r>
      <w:r w:rsidRPr="00186AEE">
        <w:rPr>
          <w:rStyle w:val="Funotenzeichen"/>
          <w:rFonts w:ascii="KievitPro-Regular" w:hAnsi="KievitPro-Regular"/>
          <w:i/>
          <w:sz w:val="22"/>
          <w:szCs w:val="22"/>
          <w:highlight w:val="yellow"/>
          <w:lang w:val="it-CH"/>
        </w:rPr>
        <w:footnoteReference w:id="5"/>
      </w:r>
      <w:r w:rsidRPr="00186AEE">
        <w:rPr>
          <w:rFonts w:ascii="KievitPro-Regular" w:hAnsi="KievitPro-Regular"/>
          <w:i/>
          <w:sz w:val="22"/>
          <w:szCs w:val="22"/>
          <w:highlight w:val="yellow"/>
          <w:lang w:val="it-CH"/>
        </w:rPr>
        <w:t>).</w:t>
      </w:r>
      <w:r w:rsidRPr="00186AEE">
        <w:rPr>
          <w:rFonts w:ascii="KievitPro-Regular" w:hAnsi="KievitPro-Regular"/>
          <w:i/>
          <w:sz w:val="22"/>
          <w:szCs w:val="22"/>
          <w:lang w:val="it-CH"/>
        </w:rPr>
        <w:t xml:space="preserve"> </w:t>
      </w:r>
      <w:r w:rsidRPr="00186AEE">
        <w:rPr>
          <w:rFonts w:ascii="KievitPro-Regular" w:hAnsi="KievitPro-Regular"/>
          <w:sz w:val="22"/>
          <w:szCs w:val="22"/>
          <w:lang w:val="it-CH"/>
        </w:rPr>
        <w:t>L’estratto dal portale online è verificato regolarmente (almeno una volta all’anno) dal responsabile del dipartimento revisione così come anche dalla direzione, secondo il “</w:t>
      </w:r>
      <w:r w:rsidRPr="00186AEE">
        <w:rPr>
          <w:rFonts w:ascii="KievitPro-Regular" w:hAnsi="KievitPro-Regular"/>
          <w:i/>
          <w:sz w:val="22"/>
          <w:szCs w:val="22"/>
          <w:lang w:val="it-CH"/>
        </w:rPr>
        <w:t>principio dei 4 occhi".</w:t>
      </w:r>
      <w:r w:rsidRPr="00186AEE">
        <w:rPr>
          <w:rFonts w:ascii="KievitPro-Regular" w:hAnsi="KievitPro-Regular"/>
          <w:sz w:val="22"/>
          <w:szCs w:val="22"/>
          <w:lang w:val="it-CH"/>
        </w:rPr>
        <w:t xml:space="preserve"> </w:t>
      </w:r>
      <w:bookmarkStart w:id="25" w:name="_Hlk66103216"/>
      <w:r w:rsidRPr="00186AEE">
        <w:rPr>
          <w:rFonts w:ascii="KievitPro-Regular" w:hAnsi="KievitPro-Regular"/>
          <w:sz w:val="22"/>
          <w:szCs w:val="22"/>
          <w:lang w:val="it-CH"/>
        </w:rPr>
        <w:t>Gli attestati di partecipazione vanno allegati alla lista dei corsi seguiti.</w:t>
      </w:r>
      <w:bookmarkEnd w:id="25"/>
      <w:r w:rsidRPr="00186AEE">
        <w:rPr>
          <w:rFonts w:ascii="KievitPro-Regular" w:hAnsi="KievitPro-Regular"/>
          <w:sz w:val="22"/>
          <w:szCs w:val="22"/>
          <w:lang w:val="it-CH"/>
        </w:rPr>
        <w:t xml:space="preserve"> La verifica degli aggiornamenti avviene di regola nell’ambito del colloquio dei collaboratori alla fine dell’anno o quando necessario. Il controllo della formazione continua deve essere fatto per iscritto</w:t>
      </w:r>
      <w:r w:rsidRPr="00186AEE">
        <w:rPr>
          <w:rStyle w:val="Funotenzeichen"/>
          <w:rFonts w:ascii="KievitPro-Regular" w:hAnsi="KievitPro-Regular"/>
          <w:sz w:val="22"/>
          <w:szCs w:val="22"/>
          <w:lang w:val="it-CH"/>
        </w:rPr>
        <w:footnoteReference w:id="6"/>
      </w:r>
      <w:r w:rsidRPr="00186AEE">
        <w:rPr>
          <w:rFonts w:ascii="KievitPro-Regular" w:hAnsi="KievitPro-Regular"/>
          <w:sz w:val="22"/>
          <w:szCs w:val="22"/>
          <w:lang w:val="it-CH"/>
        </w:rPr>
        <w:t xml:space="preserve">. </w:t>
      </w:r>
    </w:p>
    <w:p w14:paraId="3026E4EF" w14:textId="77777777" w:rsidR="000D11F0" w:rsidRPr="00186AEE" w:rsidRDefault="000D11F0" w:rsidP="00A45D38">
      <w:pPr>
        <w:tabs>
          <w:tab w:val="left" w:pos="1418"/>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5.2:</w:t>
      </w:r>
      <w:r w:rsidRPr="00186AEE">
        <w:rPr>
          <w:rFonts w:ascii="KievitPro-Regular" w:hAnsi="KievitPro-Regular"/>
          <w:i/>
          <w:sz w:val="22"/>
          <w:szCs w:val="22"/>
          <w:lang w:val="it-CH"/>
        </w:rPr>
        <w:tab/>
        <w:t>Conferma annuale del mantenimento dell’indipendenza</w:t>
      </w:r>
    </w:p>
    <w:p w14:paraId="5F2975BF" w14:textId="77777777" w:rsidR="000D11F0" w:rsidRPr="00186AEE" w:rsidRDefault="000D11F0" w:rsidP="00A45D38">
      <w:pPr>
        <w:tabs>
          <w:tab w:val="left" w:pos="1418"/>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5.3:</w:t>
      </w:r>
      <w:r w:rsidRPr="00186AEE">
        <w:rPr>
          <w:rFonts w:ascii="KievitPro-Regular" w:hAnsi="KievitPro-Regular"/>
          <w:i/>
          <w:sz w:val="22"/>
          <w:szCs w:val="22"/>
          <w:lang w:val="it-CH"/>
        </w:rPr>
        <w:tab/>
        <w:t xml:space="preserve">Checklist completezza della formazione continua e conferma di indipendenza </w:t>
      </w:r>
    </w:p>
    <w:p w14:paraId="549700D2" w14:textId="77777777" w:rsidR="000D11F0" w:rsidRPr="00186AEE" w:rsidRDefault="000D11F0" w:rsidP="00A45D38">
      <w:pPr>
        <w:tabs>
          <w:tab w:val="left" w:pos="1418"/>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5.4:</w:t>
      </w:r>
      <w:r w:rsidRPr="00186AEE">
        <w:rPr>
          <w:rFonts w:ascii="KievitPro-Regular" w:hAnsi="KievitPro-Regular"/>
          <w:i/>
          <w:sz w:val="22"/>
          <w:szCs w:val="22"/>
          <w:lang w:val="it-CH"/>
        </w:rPr>
        <w:tab/>
        <w:t xml:space="preserve">Organigramma </w:t>
      </w:r>
    </w:p>
    <w:p w14:paraId="08A70095" w14:textId="77777777" w:rsidR="000D11F0" w:rsidRPr="000D11F0" w:rsidRDefault="000D11F0" w:rsidP="00A45D38">
      <w:pPr>
        <w:spacing w:after="240" w:line="276" w:lineRule="auto"/>
        <w:rPr>
          <w:rFonts w:ascii="KievitPro-Regular" w:hAnsi="KievitPro-Regular"/>
          <w:lang w:val="it-CH"/>
        </w:rPr>
      </w:pPr>
      <w:r w:rsidRPr="000D11F0">
        <w:rPr>
          <w:rFonts w:ascii="KievitPro-Regular" w:hAnsi="KievitPro-Regular"/>
          <w:lang w:val="it-CH"/>
        </w:rPr>
        <w:br w:type="page"/>
      </w:r>
    </w:p>
    <w:p w14:paraId="09CDF686"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bookmarkStart w:id="26" w:name="_Toc126737255"/>
      <w:bookmarkStart w:id="27" w:name="_Toc331510677"/>
      <w:bookmarkStart w:id="28" w:name="_Toc359071930"/>
      <w:r w:rsidRPr="000E27FB">
        <w:rPr>
          <w:rFonts w:ascii="Avenir LT Std 35 Light" w:hAnsi="Avenir LT Std 35 Light"/>
          <w:smallCaps/>
          <w:snapToGrid/>
          <w:sz w:val="24"/>
          <w:szCs w:val="28"/>
          <w:lang w:val="it-CH" w:eastAsia="en-US"/>
        </w:rPr>
        <w:lastRenderedPageBreak/>
        <w:t>Accettazione/ continuazione/ conclusione del mandato</w:t>
      </w:r>
      <w:bookmarkEnd w:id="26"/>
      <w:r w:rsidRPr="000E27FB">
        <w:rPr>
          <w:rFonts w:ascii="Avenir LT Std 35 Light" w:hAnsi="Avenir LT Std 35 Light"/>
          <w:smallCaps/>
          <w:snapToGrid/>
          <w:sz w:val="24"/>
          <w:szCs w:val="28"/>
          <w:lang w:val="it-CH" w:eastAsia="en-US"/>
        </w:rPr>
        <w:t xml:space="preserve">  </w:t>
      </w:r>
      <w:bookmarkEnd w:id="27"/>
      <w:bookmarkEnd w:id="28"/>
    </w:p>
    <w:p w14:paraId="3D773478"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Principio</w:t>
      </w:r>
    </w:p>
    <w:p w14:paraId="2124A581"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L’accettazione, risp. la continuazione del mandato avviene solo quando abbiamo le necessarie competenze </w:t>
      </w:r>
      <w:r w:rsidRPr="000E27FB">
        <w:rPr>
          <w:rFonts w:ascii="Avenir LT Std 35 Light" w:hAnsi="Avenir LT Std 35 Light"/>
          <w:b/>
          <w:smallCaps/>
          <w:snapToGrid/>
          <w:sz w:val="24"/>
          <w:szCs w:val="28"/>
          <w:lang w:val="it-CH" w:eastAsia="en-US"/>
        </w:rPr>
        <w:t>per l’esecuzione del mandato, quando disponiamo anche delle necessarie facoltà, tra cui il tempo e le ri</w:t>
      </w:r>
      <w:r w:rsidRPr="00186AEE">
        <w:rPr>
          <w:rFonts w:ascii="KievitPro-Regular" w:hAnsi="KievitPro-Regular"/>
          <w:sz w:val="22"/>
          <w:szCs w:val="22"/>
          <w:lang w:val="it-CH"/>
        </w:rPr>
        <w:t>sorse, quando lo svolgimento regolare è possibile e i principi di indipendenza sono pienamente rispettati.</w:t>
      </w:r>
    </w:p>
    <w:p w14:paraId="15EE0B66"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In aggiunta, in relazione all’accettazione, risp. continuazione del mandato, il revisore deve valutare in maniera critica l’integrità del management. Accettiamo unicamente i mandati dopo che l’integrità del management è stata chiarita e valutata positivamente</w:t>
      </w:r>
    </w:p>
    <w:p w14:paraId="6838111C" w14:textId="77777777" w:rsidR="000D11F0" w:rsidRPr="00186AEE" w:rsidRDefault="000D11F0" w:rsidP="00A45D38">
      <w:pPr>
        <w:spacing w:before="480" w:after="240" w:line="276" w:lineRule="auto"/>
        <w:rPr>
          <w:rFonts w:ascii="KievitPro-Regular" w:hAnsi="KievitPro-Regular"/>
          <w:b/>
          <w:sz w:val="22"/>
          <w:szCs w:val="22"/>
          <w:lang w:val="it-CH"/>
        </w:rPr>
      </w:pPr>
      <w:r w:rsidRPr="00186AEE">
        <w:rPr>
          <w:rFonts w:ascii="KievitPro-Regular" w:hAnsi="KievitPro-Regular"/>
          <w:b/>
          <w:sz w:val="22"/>
          <w:szCs w:val="22"/>
          <w:lang w:val="it-CH"/>
        </w:rPr>
        <w:t>Provvedimenti</w:t>
      </w:r>
    </w:p>
    <w:p w14:paraId="49F53CD5"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 xml:space="preserve">Il responsabile per l’accettazione è il responsabile del dipartimento revisione. Quest’ultimo si consulta con il revisore responsabile del mandato o con il responsabile dei clienti. Il revisore responsabile del mandato o il responsabile dei clienti devono accertarsi che tutte le informazioni e i documenti necessari per la decisione siano disponibili, e devono assicurarsi che queste ultime siano documentate nella Checklist per la decisione di accettazione del mandato. </w:t>
      </w:r>
    </w:p>
    <w:p w14:paraId="602B932A"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La verifica dei presupposti riguardo una continuazione del mandato o una eventuale dimissione avviene annualmente, prima dell’elezione o rielezione da parte dell’assemblea generale del cliente. Le constatazioni e le conclusioni in questo senso sono da documentare adeguatamente (Vedi checklist in merito alla continuazione del mandato).</w:t>
      </w:r>
    </w:p>
    <w:p w14:paraId="02B99FA8" w14:textId="77777777" w:rsidR="000D11F0" w:rsidRPr="00186AEE" w:rsidRDefault="000D11F0" w:rsidP="00A45D38">
      <w:pPr>
        <w:tabs>
          <w:tab w:val="right" w:pos="9405"/>
        </w:tabs>
        <w:spacing w:after="240" w:line="276" w:lineRule="auto"/>
        <w:rPr>
          <w:rFonts w:ascii="KievitPro-Regular" w:hAnsi="KievitPro-Regular"/>
          <w:sz w:val="22"/>
          <w:szCs w:val="22"/>
          <w:lang w:val="it-CH"/>
        </w:rPr>
      </w:pPr>
      <w:r w:rsidRPr="00186AEE">
        <w:rPr>
          <w:rFonts w:ascii="KievitPro-Regular" w:hAnsi="KievitPro-Regular"/>
          <w:sz w:val="22"/>
          <w:szCs w:val="22"/>
          <w:lang w:val="it-CH"/>
        </w:rPr>
        <w:t>Le modifiche del mandato da parte del cliente sono in egual modo da documentare e verificare. Nel caso in cui vengano accettate le modifiche, occorre redigere una nuova conferma di accettazione del mandato prima dell’inizio della revisione.</w:t>
      </w:r>
    </w:p>
    <w:p w14:paraId="6762F6F7" w14:textId="77777777" w:rsidR="000D11F0" w:rsidRPr="00186AEE" w:rsidRDefault="000D11F0" w:rsidP="00A45D38">
      <w:pPr>
        <w:tabs>
          <w:tab w:val="right" w:pos="9405"/>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5.5: Checklist per la valutazione dell’accettazione del mandato</w:t>
      </w:r>
    </w:p>
    <w:p w14:paraId="5AA95C03" w14:textId="77777777" w:rsidR="000D11F0" w:rsidRPr="00186AEE" w:rsidRDefault="000D11F0" w:rsidP="00A45D38">
      <w:pPr>
        <w:tabs>
          <w:tab w:val="right" w:pos="9405"/>
        </w:tabs>
        <w:spacing w:after="240" w:line="276" w:lineRule="auto"/>
        <w:rPr>
          <w:rFonts w:ascii="KievitPro-Regular" w:hAnsi="KievitPro-Regular"/>
          <w:i/>
          <w:sz w:val="22"/>
          <w:szCs w:val="22"/>
          <w:lang w:val="it-CH"/>
        </w:rPr>
      </w:pPr>
      <w:r w:rsidRPr="00186AEE">
        <w:rPr>
          <w:rFonts w:ascii="KievitPro-Regular" w:hAnsi="KievitPro-Regular"/>
          <w:i/>
          <w:sz w:val="22"/>
          <w:szCs w:val="22"/>
          <w:lang w:val="it-CH"/>
        </w:rPr>
        <w:t>Allegato 5.6: Checklist in merito alla continuazione del mandato</w:t>
      </w:r>
    </w:p>
    <w:p w14:paraId="2E3BC9B7"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r w:rsidRPr="000E27FB">
        <w:rPr>
          <w:rFonts w:ascii="Avenir LT Std 35 Light" w:hAnsi="Avenir LT Std 35 Light"/>
          <w:smallCaps/>
          <w:snapToGrid/>
          <w:sz w:val="24"/>
          <w:szCs w:val="28"/>
          <w:lang w:val="it-CH" w:eastAsia="en-US"/>
        </w:rPr>
        <w:br w:type="page"/>
      </w:r>
      <w:bookmarkStart w:id="29" w:name="_Toc126737256"/>
      <w:bookmarkStart w:id="30" w:name="_Toc331510678"/>
      <w:bookmarkStart w:id="31" w:name="_Toc359071931"/>
      <w:r w:rsidRPr="000E27FB">
        <w:rPr>
          <w:rFonts w:ascii="Avenir LT Std 35 Light" w:hAnsi="Avenir LT Std 35 Light"/>
          <w:smallCaps/>
          <w:snapToGrid/>
          <w:sz w:val="24"/>
          <w:szCs w:val="28"/>
          <w:lang w:val="it-CH" w:eastAsia="en-US"/>
        </w:rPr>
        <w:lastRenderedPageBreak/>
        <w:t>Idoneità e formazione dei collaboratori</w:t>
      </w:r>
      <w:bookmarkEnd w:id="29"/>
      <w:r w:rsidRPr="000E27FB">
        <w:rPr>
          <w:rFonts w:ascii="Avenir LT Std 35 Light" w:hAnsi="Avenir LT Std 35 Light"/>
          <w:smallCaps/>
          <w:snapToGrid/>
          <w:sz w:val="24"/>
          <w:szCs w:val="28"/>
          <w:lang w:val="it-CH" w:eastAsia="en-US"/>
        </w:rPr>
        <w:t xml:space="preserve">  </w:t>
      </w:r>
      <w:bookmarkEnd w:id="30"/>
      <w:bookmarkEnd w:id="31"/>
    </w:p>
    <w:p w14:paraId="46B6372A"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w:t>
      </w:r>
    </w:p>
    <w:p w14:paraId="576F1D4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nostri collaboratori si distinguono per una formazione di alto livello. Promuoviamo aggiornamenti e formazione continua affinché i nostri collaboratori possano crescere professionalmente. Gli aggiornamenti e la formazione continua avvengono regolarmente e in maniera finalizzata a tutti i livelli di collaborazione. Ogni anno, nell’ambito delle valutazioni delle prestazioni, viene discussa la necessità di corsi di aggiornamento e formazione continua. Ci atteniamo per questo alle disposizioni sulla formazione continua e gli aggiornamenti delle associazioni professionali. </w:t>
      </w:r>
    </w:p>
    <w:p w14:paraId="5CC1F5A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Ci assicuriamo che i compiti e le responsabilità riguardo l’idoneità e le competenze siano trasmessi ai collaboratori. In particolare, che i mandati vengano eseguiti rispettando gli Standard professionali come anche i requisiti di legge e altre disposizioni legali, in modo da permettere al revisore responsabile del mandato di redigere una relazione di revisione adeguata alle circostanze. </w:t>
      </w:r>
    </w:p>
    <w:p w14:paraId="17FA7DA9"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7FB37C6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Assumiamo nell’ambito della revisione solo personale che dispone delle necessarie facoltà e competenze. I collaboratori vengono valutati almeno una volta l’anno nell’ambito delle valutazioni delle prestazioni dal loro superiore. Oltre ai fattori finanziari, la valutazione tiene conto anche dei fattori di qualità. Quest’ultimo, insieme al collaboratore in questione, fissa nuovi obiettivi e prende i necessari provvedimenti. In particolare, viene definito un piano di formazione continua e aggiornamento. </w:t>
      </w:r>
    </w:p>
    <w:p w14:paraId="23B79A1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collaboratori sono regolarmente informati, in funzione della loro responsabilità, circa i cambiamenti delle condizioni quadro, interne o esterne, grazie a corsi di formazione interni ed esterni alla società. I provvedimenti interni di mantenimento e sorveglianza del rispetto dei requisiti di formazione e aggiornamento sono elencati più nel dettaglio al capitolo 2.1. </w:t>
      </w:r>
    </w:p>
    <w:p w14:paraId="559F19C7" w14:textId="77777777" w:rsidR="000D11F0" w:rsidRPr="00A45D38" w:rsidRDefault="000D11F0" w:rsidP="00A45D38">
      <w:pPr>
        <w:tabs>
          <w:tab w:val="right" w:pos="9405"/>
        </w:tabs>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revisore responsabile del mandato ha l’autorizzazione a firmare, per questo è inserito nel registro di commercio. </w:t>
      </w:r>
    </w:p>
    <w:p w14:paraId="53ACD4B0" w14:textId="77777777" w:rsidR="000D11F0" w:rsidRPr="00A45D38" w:rsidRDefault="000D11F0" w:rsidP="00A45D38">
      <w:pPr>
        <w:tabs>
          <w:tab w:val="right" w:pos="9405"/>
        </w:tabs>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Le nostre relazioni di revisione sono firmate da almeno un membro della direzione. </w:t>
      </w:r>
    </w:p>
    <w:p w14:paraId="28684545" w14:textId="77777777" w:rsidR="000D11F0" w:rsidRPr="000D11F0" w:rsidRDefault="000D11F0" w:rsidP="00A45D38">
      <w:pPr>
        <w:spacing w:after="240" w:line="276" w:lineRule="auto"/>
        <w:rPr>
          <w:rFonts w:ascii="KievitPro-Regular" w:hAnsi="KievitPro-Regular"/>
          <w:lang w:val="it-CH"/>
        </w:rPr>
      </w:pPr>
    </w:p>
    <w:p w14:paraId="43364008" w14:textId="77777777" w:rsidR="000D11F0" w:rsidRPr="000D11F0" w:rsidRDefault="000D11F0" w:rsidP="00A45D38">
      <w:pPr>
        <w:spacing w:after="240" w:line="276" w:lineRule="auto"/>
        <w:rPr>
          <w:rFonts w:ascii="KievitPro-Regular" w:hAnsi="KievitPro-Regular"/>
          <w:lang w:val="it-CH"/>
        </w:rPr>
      </w:pPr>
      <w:r w:rsidRPr="000D11F0">
        <w:rPr>
          <w:rFonts w:ascii="KievitPro-Regular" w:hAnsi="KievitPro-Regular"/>
          <w:lang w:val="it-CH"/>
        </w:rPr>
        <w:br w:type="page"/>
      </w:r>
    </w:p>
    <w:p w14:paraId="13435630"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bookmarkStart w:id="32" w:name="_Toc331508578"/>
      <w:bookmarkStart w:id="33" w:name="_Toc331510679"/>
      <w:bookmarkStart w:id="34" w:name="_Toc359071932"/>
      <w:bookmarkStart w:id="35" w:name="_Toc126737257"/>
      <w:r w:rsidRPr="000E27FB">
        <w:rPr>
          <w:rFonts w:ascii="Avenir LT Std 35 Light" w:hAnsi="Avenir LT Std 35 Light"/>
          <w:smallCaps/>
          <w:snapToGrid/>
          <w:sz w:val="24"/>
          <w:szCs w:val="28"/>
          <w:lang w:val="it-CH" w:eastAsia="en-US"/>
        </w:rPr>
        <w:lastRenderedPageBreak/>
        <w:t>P</w:t>
      </w:r>
      <w:bookmarkEnd w:id="32"/>
      <w:bookmarkEnd w:id="33"/>
      <w:bookmarkEnd w:id="34"/>
      <w:r w:rsidRPr="000E27FB">
        <w:rPr>
          <w:rFonts w:ascii="Avenir LT Std 35 Light" w:hAnsi="Avenir LT Std 35 Light"/>
          <w:smallCaps/>
          <w:snapToGrid/>
          <w:sz w:val="24"/>
          <w:szCs w:val="28"/>
          <w:lang w:val="it-CH" w:eastAsia="en-US"/>
        </w:rPr>
        <w:t>ianificazione dei mandati</w:t>
      </w:r>
      <w:bookmarkEnd w:id="35"/>
    </w:p>
    <w:p w14:paraId="194E3CC4"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697DF00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Pianifichiamo e conduciamo i mandati in modo tale questi ultimi siano eseguiti regolarmente, nel pieno rispetto dei principi professionali e delle tempistiche concordate. In particolare, i mandati di revisione vengono monitorati affinché le scadenze siano rispettate.</w:t>
      </w:r>
    </w:p>
    <w:p w14:paraId="1F6F6CE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Durante la pianificazione dei mandati viene assegnata la funzione di revisore responsabile del mandato ad un collaboratore che dispone delle necessarie facoltà e competenze. I suoi obblighi sono ben definiti. Il responsabile per la sorveglianza del mandato ed i collaboratori chiave del management del mandante sono informati del ruolo e dell’identità del revisore responsabile di mandato.  </w:t>
      </w:r>
    </w:p>
    <w:p w14:paraId="10B0D021"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 xml:space="preserve">Provvedimenti </w:t>
      </w:r>
    </w:p>
    <w:p w14:paraId="6A2D340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Teniamo un elenco dei mandati di revisione che include le seguenti informazioni: la categoria di rischio, il revisore responsabile, la data di chiusura, il tipo di revisione, informazioni su perdite di capitale esistenti o sovraindebitamenti, il requisito di assicurazione della qualità a supporto del mandato</w:t>
      </w:r>
      <w:r w:rsidRPr="00A45D38">
        <w:rPr>
          <w:rFonts w:ascii="KievitPro-Regular" w:hAnsi="KievitPro-Regular"/>
          <w:sz w:val="22"/>
          <w:szCs w:val="22"/>
          <w:highlight w:val="red"/>
          <w:lang w:val="it-CH"/>
        </w:rPr>
        <w:t>, informazioni relative all’obbligo di rotazione in caso di revisione ordinaria</w:t>
      </w:r>
      <w:bookmarkStart w:id="36" w:name="_Hlk66103300"/>
      <w:r w:rsidRPr="00A45D38">
        <w:rPr>
          <w:rFonts w:ascii="KievitPro-Regular" w:hAnsi="KievitPro-Regular"/>
          <w:sz w:val="22"/>
          <w:szCs w:val="22"/>
          <w:highlight w:val="red"/>
          <w:lang w:val="it-CH"/>
        </w:rPr>
        <w:t xml:space="preserve"> </w:t>
      </w:r>
      <w:r w:rsidRPr="00A45D38">
        <w:rPr>
          <w:rStyle w:val="Funotenzeichen"/>
          <w:rFonts w:ascii="KievitPro-Regular" w:hAnsi="KievitPro-Regular"/>
          <w:sz w:val="22"/>
          <w:szCs w:val="22"/>
          <w:highlight w:val="red"/>
          <w:lang w:val="it-CH"/>
        </w:rPr>
        <w:footnoteReference w:id="7"/>
      </w:r>
      <w:r w:rsidRPr="00A45D38">
        <w:rPr>
          <w:rFonts w:ascii="KievitPro-Regular" w:hAnsi="KievitPro-Regular"/>
          <w:sz w:val="22"/>
          <w:szCs w:val="22"/>
          <w:lang w:val="it-CH"/>
        </w:rPr>
        <w:t xml:space="preserve"> </w:t>
      </w:r>
      <w:bookmarkEnd w:id="36"/>
      <w:r w:rsidRPr="00A45D38">
        <w:rPr>
          <w:rFonts w:ascii="KievitPro-Regular" w:hAnsi="KievitPro-Regular"/>
          <w:sz w:val="22"/>
          <w:szCs w:val="22"/>
          <w:lang w:val="it-CH"/>
        </w:rPr>
        <w:t xml:space="preserve">ecc. Questo elenco viene costantemente aggiornato e completato se necessario. A livello operativo, la persona responsabile del mandato ha la responsabilità di garantire il rispetto delle scadenze e di adottare misure adeguate in caso di ritardi. </w:t>
      </w:r>
    </w:p>
    <w:p w14:paraId="63324A5C"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Per garantire che, all'inizio della stagione di revisione, tutti i mandati siano stati adeguatamente pianificati e le risorse messe a disposizione, l'elenco dei mandati è controllato e approvato dal revisore responsabile. </w:t>
      </w:r>
    </w:p>
    <w:p w14:paraId="213F4B13"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 xml:space="preserve">Allegato 5.7: Lista di controllo dei mandati di revisione </w:t>
      </w:r>
    </w:p>
    <w:p w14:paraId="142FD9D8" w14:textId="77777777" w:rsidR="000D11F0" w:rsidRPr="000E27FB" w:rsidRDefault="000D11F0" w:rsidP="000E27FB">
      <w:pPr>
        <w:pStyle w:val="berschrift2"/>
        <w:keepNext w:val="0"/>
        <w:numPr>
          <w:ilvl w:val="1"/>
          <w:numId w:val="18"/>
        </w:numPr>
        <w:spacing w:before="200" w:after="240" w:line="268" w:lineRule="auto"/>
        <w:ind w:left="426" w:hanging="426"/>
        <w:jc w:val="left"/>
        <w:rPr>
          <w:rFonts w:ascii="Avenir LT Std 35 Light" w:hAnsi="Avenir LT Std 35 Light"/>
          <w:smallCaps/>
          <w:snapToGrid/>
          <w:sz w:val="24"/>
          <w:szCs w:val="28"/>
          <w:lang w:val="it-CH" w:eastAsia="en-US"/>
        </w:rPr>
      </w:pPr>
      <w:r w:rsidRPr="000E27FB">
        <w:rPr>
          <w:rFonts w:ascii="Avenir LT Std 35 Light" w:hAnsi="Avenir LT Std 35 Light"/>
          <w:smallCaps/>
          <w:snapToGrid/>
          <w:sz w:val="24"/>
          <w:szCs w:val="28"/>
          <w:lang w:val="it-CH" w:eastAsia="en-US"/>
        </w:rPr>
        <w:br w:type="page"/>
      </w:r>
      <w:bookmarkStart w:id="37" w:name="_Toc331510680"/>
      <w:bookmarkStart w:id="38" w:name="_Toc359071933"/>
      <w:bookmarkStart w:id="39" w:name="_Toc126737258"/>
      <w:r w:rsidRPr="000E27FB">
        <w:rPr>
          <w:rFonts w:ascii="Avenir LT Std 35 Light" w:hAnsi="Avenir LT Std 35 Light"/>
          <w:smallCaps/>
          <w:snapToGrid/>
          <w:sz w:val="24"/>
          <w:szCs w:val="28"/>
          <w:lang w:val="it-CH" w:eastAsia="en-US"/>
        </w:rPr>
        <w:lastRenderedPageBreak/>
        <w:t xml:space="preserve">Istruzioni professionali/organizzative </w:t>
      </w:r>
      <w:bookmarkEnd w:id="37"/>
      <w:bookmarkEnd w:id="38"/>
      <w:r w:rsidRPr="000E27FB">
        <w:rPr>
          <w:rFonts w:ascii="Avenir LT Std 35 Light" w:hAnsi="Avenir LT Std 35 Light"/>
          <w:smallCaps/>
          <w:snapToGrid/>
          <w:sz w:val="24"/>
          <w:szCs w:val="28"/>
          <w:lang w:val="it-CH" w:eastAsia="en-US"/>
        </w:rPr>
        <w:t>e strumenti d’aiuto</w:t>
      </w:r>
      <w:bookmarkEnd w:id="39"/>
    </w:p>
    <w:p w14:paraId="0AC4E0F4"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3DF6ADE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Ci assicuriamo che i nostri collaboratori seguano le istruzioni professionali e organizzative, e conoscano gli strumenti d’aiuto, che utilizzano quando necessario. Le informazioni riguardo questi strumenti di assicurazione della qualità sono infatti chiare e accessibili a tutti i collaboratori, i quali ne riconoscono l’importanza e l’obbligatorietà. Nell’ambito dei servizi di revisione in collaborazione con un terzo (partenariato), i requisiti per questa collaborazione sono messi per iscritto ed il rispetto di tale documento scritto viene regolarmente verificato.</w:t>
      </w:r>
    </w:p>
    <w:p w14:paraId="3B7B73A1"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0A0FBE1C"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responsabile del dipartimento revisione redige una lista dei documenti rilevanti per il sistema di assicurazione della qualità, e si assicura che questa sia costantemente aggiornata. Informa i collaborati di qualsiasi cambiamento. </w:t>
      </w:r>
    </w:p>
    <w:p w14:paraId="18FCEAC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L’applicazione e l’importanza di questi strumenti viene comunicata dalla direzione, e deve essere in seguito rispettata durante lo svolgimento del lavoro. </w:t>
      </w:r>
    </w:p>
    <w:p w14:paraId="39C6928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Inoltre, mettiamo a disposizione dei collaboratori fonti di informazione esterne (leggi, direttive, ecc..) come ulteriori standard di riferimento. Grazie all’appartenenza ad associazioni di settore, è garantito un continuo aggiornamento riguardo prassi, novità, ecc.., e viene anche data indicazione di quali fonti d’informazione provenienti da internet sono attendibili. </w:t>
      </w:r>
    </w:p>
    <w:p w14:paraId="11F02986" w14:textId="77777777" w:rsidR="000D11F0" w:rsidRPr="00A45D38" w:rsidRDefault="000D11F0" w:rsidP="00A45D38">
      <w:pPr>
        <w:spacing w:after="240" w:line="276" w:lineRule="auto"/>
        <w:rPr>
          <w:rFonts w:ascii="KievitPro-Regular" w:hAnsi="KievitPro-Regular"/>
          <w:sz w:val="22"/>
          <w:szCs w:val="22"/>
          <w:lang w:val="it-CH"/>
        </w:rPr>
      </w:pPr>
    </w:p>
    <w:p w14:paraId="4575C369"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Allegato 5.8: Lista dei documenti del sistema di assicurazione della qualità</w:t>
      </w:r>
    </w:p>
    <w:p w14:paraId="51D662CB"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Allegato 5.9: Lista delle fonti di informazione</w:t>
      </w:r>
    </w:p>
    <w:p w14:paraId="2898E2CF" w14:textId="77777777" w:rsidR="000D11F0" w:rsidRPr="000E27FB" w:rsidRDefault="000D11F0" w:rsidP="00A45D38">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r w:rsidRPr="000D11F0">
        <w:rPr>
          <w:rFonts w:ascii="KievitPro-Regular" w:hAnsi="KievitPro-Regular"/>
          <w:lang w:val="it-CH"/>
        </w:rPr>
        <w:br w:type="page"/>
      </w:r>
      <w:bookmarkStart w:id="40" w:name="_Toc126737259"/>
      <w:bookmarkStart w:id="41" w:name="_Toc331493577"/>
      <w:bookmarkStart w:id="42" w:name="_Toc331493993"/>
      <w:bookmarkStart w:id="43" w:name="_Toc331495025"/>
      <w:bookmarkStart w:id="44" w:name="_Toc331495817"/>
      <w:bookmarkStart w:id="45" w:name="_Toc331510681"/>
      <w:r w:rsidRPr="000E27FB">
        <w:rPr>
          <w:rFonts w:ascii="Avenir LT Std 35 Light" w:hAnsi="Avenir LT Std 35 Light"/>
          <w:smallCaps/>
          <w:snapToGrid/>
          <w:spacing w:val="5"/>
          <w:kern w:val="0"/>
          <w:sz w:val="28"/>
          <w:szCs w:val="36"/>
          <w:lang w:val="it-CH" w:eastAsia="en-US"/>
        </w:rPr>
        <w:lastRenderedPageBreak/>
        <w:t>Svolgimento dei singoli mandati di revisione</w:t>
      </w:r>
      <w:bookmarkEnd w:id="40"/>
      <w:r w:rsidRPr="000E27FB">
        <w:rPr>
          <w:rFonts w:ascii="Avenir LT Std 35 Light" w:hAnsi="Avenir LT Std 35 Light"/>
          <w:smallCaps/>
          <w:snapToGrid/>
          <w:spacing w:val="5"/>
          <w:kern w:val="0"/>
          <w:sz w:val="28"/>
          <w:szCs w:val="36"/>
          <w:lang w:val="it-CH" w:eastAsia="en-US"/>
        </w:rPr>
        <w:t xml:space="preserve"> </w:t>
      </w:r>
      <w:bookmarkEnd w:id="41"/>
      <w:bookmarkEnd w:id="42"/>
      <w:bookmarkEnd w:id="43"/>
      <w:bookmarkEnd w:id="44"/>
      <w:bookmarkEnd w:id="45"/>
    </w:p>
    <w:p w14:paraId="0C41E99B"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46" w:name="_Toc126737260"/>
      <w:r w:rsidRPr="000E27FB">
        <w:rPr>
          <w:rFonts w:ascii="Avenir LT Std 35 Light" w:hAnsi="Avenir LT Std 35 Light"/>
          <w:smallCaps/>
          <w:snapToGrid/>
          <w:sz w:val="24"/>
          <w:szCs w:val="28"/>
          <w:lang w:val="it-CH" w:eastAsia="en-US"/>
        </w:rPr>
        <w:t>Introduzione</w:t>
      </w:r>
      <w:bookmarkEnd w:id="46"/>
    </w:p>
    <w:p w14:paraId="57ABA0F2"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6E4A423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La verifica avviene secondo lo Standard per la revisione limitata e –</w:t>
      </w:r>
      <w:bookmarkStart w:id="47" w:name="_Hlk10262246"/>
      <w:r w:rsidRPr="00A45D38">
        <w:rPr>
          <w:rFonts w:ascii="KievitPro-Regular" w:hAnsi="KievitPro-Regular"/>
          <w:sz w:val="22"/>
          <w:szCs w:val="22"/>
          <w:highlight w:val="red"/>
          <w:lang w:val="it-CH"/>
        </w:rPr>
        <w:t>per la revisione ordinaria</w:t>
      </w:r>
      <w:r w:rsidRPr="00A45D38">
        <w:rPr>
          <w:rFonts w:ascii="KievitPro-Regular" w:hAnsi="KievitPro-Regular"/>
          <w:sz w:val="22"/>
          <w:szCs w:val="22"/>
          <w:lang w:val="it-CH"/>
        </w:rPr>
        <w:t xml:space="preserve"> e le verifiche speciali </w:t>
      </w:r>
      <w:bookmarkEnd w:id="47"/>
      <w:r w:rsidRPr="00A45D38">
        <w:rPr>
          <w:rFonts w:ascii="KievitPro-Regular" w:hAnsi="KievitPro-Regular"/>
          <w:sz w:val="22"/>
          <w:szCs w:val="22"/>
          <w:lang w:val="it-CH"/>
        </w:rPr>
        <w:t xml:space="preserve">– secondo gli standard svizzeri di revisione (SSR/PS) di EXPERTsuisse. Viene inoltre prestata attenzione ad eventuali leggi speciali (p. es. LPP) </w:t>
      </w:r>
      <w:bookmarkStart w:id="48" w:name="_Hlk10262275"/>
      <w:r w:rsidRPr="00A45D38">
        <w:rPr>
          <w:rFonts w:ascii="KievitPro-Regular" w:hAnsi="KievitPro-Regular"/>
          <w:sz w:val="22"/>
          <w:szCs w:val="22"/>
          <w:lang w:val="it-CH"/>
        </w:rPr>
        <w:t>così come a standard proposti dal cliente</w:t>
      </w:r>
      <w:bookmarkEnd w:id="48"/>
      <w:r w:rsidRPr="00A45D38">
        <w:rPr>
          <w:rFonts w:ascii="KievitPro-Regular" w:hAnsi="KievitPro-Regular"/>
          <w:sz w:val="22"/>
          <w:szCs w:val="22"/>
          <w:lang w:val="it-CH"/>
        </w:rPr>
        <w:t>.</w:t>
      </w:r>
      <w:r w:rsidRPr="00A45D38">
        <w:rPr>
          <w:rFonts w:ascii="KievitPro-Regular" w:hAnsi="KievitPro-Regular"/>
          <w:sz w:val="22"/>
          <w:szCs w:val="22"/>
          <w:lang w:val="it-CH"/>
        </w:rPr>
        <w:br/>
      </w:r>
      <w:r w:rsidRPr="00A45D38">
        <w:rPr>
          <w:rFonts w:ascii="KievitPro-Regular" w:hAnsi="KievitPro-Regular"/>
          <w:sz w:val="22"/>
          <w:szCs w:val="22"/>
          <w:lang w:val="it-CH"/>
        </w:rPr>
        <w:br/>
        <w:t xml:space="preserve">A tale scopo, le quattro fasi della revisione sono documentate di conseguenza. Inoltre, l'assicurazione di qualità che accompagna il mandato è attuata durante tutto il processo di ispezione, se richiesto dalla normativa (cfr. capitolo 3.7 Riesame della qualità del mandato). </w:t>
      </w:r>
    </w:p>
    <w:p w14:paraId="31DC5F07"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 xml:space="preserve">Provvedimenti </w:t>
      </w:r>
    </w:p>
    <w:p w14:paraId="6E3657F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Le verifiche vengono svolte come segue:</w:t>
      </w:r>
    </w:p>
    <w:p w14:paraId="35DAC447" w14:textId="77777777" w:rsidR="000D11F0" w:rsidRPr="00A45D38" w:rsidRDefault="000D11F0" w:rsidP="00A45D38">
      <w:pPr>
        <w:spacing w:after="240" w:line="276" w:lineRule="auto"/>
        <w:jc w:val="left"/>
        <w:rPr>
          <w:rFonts w:ascii="KievitPro-Regular" w:hAnsi="KievitPro-Regular"/>
          <w:sz w:val="22"/>
          <w:szCs w:val="22"/>
          <w:lang w:val="it-CH"/>
        </w:rPr>
      </w:pPr>
      <w:r w:rsidRPr="00A45D38">
        <w:rPr>
          <w:rFonts w:ascii="KievitPro-Regular" w:hAnsi="KievitPro-Regular"/>
          <w:sz w:val="22"/>
          <w:szCs w:val="22"/>
          <w:lang w:val="it-CH"/>
        </w:rPr>
        <w:t>1. Fase: Valutazione del rischio e determinazione della significatività</w:t>
      </w:r>
      <w:r w:rsidRPr="00A45D38">
        <w:rPr>
          <w:rFonts w:ascii="KievitPro-Regular" w:hAnsi="KievitPro-Regular"/>
          <w:color w:val="ED7D31" w:themeColor="accent2"/>
          <w:sz w:val="22"/>
          <w:szCs w:val="22"/>
          <w:lang w:val="it-CH"/>
        </w:rPr>
        <w:t xml:space="preserve"> </w:t>
      </w:r>
      <w:r w:rsidRPr="00A45D38">
        <w:rPr>
          <w:rFonts w:ascii="KievitPro-Regular" w:hAnsi="KievitPro-Regular"/>
          <w:sz w:val="22"/>
          <w:szCs w:val="22"/>
          <w:lang w:val="it-CH"/>
        </w:rPr>
        <w:t xml:space="preserve"> </w:t>
      </w:r>
      <w:r w:rsidRPr="00A45D38">
        <w:rPr>
          <w:rFonts w:ascii="KievitPro-Regular" w:hAnsi="KievitPro-Regular"/>
          <w:sz w:val="22"/>
          <w:szCs w:val="22"/>
          <w:lang w:val="it-CH"/>
        </w:rPr>
        <w:br/>
        <w:t>2. Fase: Pianificazione della revisione</w:t>
      </w:r>
      <w:r w:rsidRPr="00A45D38">
        <w:rPr>
          <w:rFonts w:ascii="KievitPro-Regular" w:hAnsi="KievitPro-Regular"/>
          <w:sz w:val="22"/>
          <w:szCs w:val="22"/>
          <w:lang w:val="it-CH"/>
        </w:rPr>
        <w:br/>
        <w:t xml:space="preserve">3. Fase: Atti di verifica e documentazione </w:t>
      </w:r>
      <w:r w:rsidRPr="00A45D38">
        <w:rPr>
          <w:rFonts w:ascii="KievitPro-Regular" w:hAnsi="KievitPro-Regular"/>
          <w:sz w:val="22"/>
          <w:szCs w:val="22"/>
          <w:lang w:val="it-CH"/>
        </w:rPr>
        <w:br/>
        <w:t>4. Fase: Redazione della relazione di revisione</w:t>
      </w:r>
    </w:p>
    <w:p w14:paraId="24A8AE56"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In caso di delegazione dei lavori a collaboratori specializzati, vengono redatti un piano ed un programma di verifica, e i collaboratori specializzati sono informati circa gli obiettivi della verifica in relazione alle loro conoscenze specialistiche/esperienze nel corso di un colloquio iniziale con il Team. La pianificazione della revisione si riferisce non solo alla valutazione del rischio, ma anche all’analisi del conto annuale, alla determinazione della significatività, all’influsso che può avere la quantità dei dati, la definizione dei campi di verifica chiave e la determinazione della strategia di verifica. Il piano di verifica viene redatto dal revisore responsabile di mandato all’inizio della revisione. Inoltre, ad ogni mandato viene attribuita una categoria di rischio e viene determinato se un’assicurazione della qualità a supporto del mandato è necessaria o meno.</w:t>
      </w:r>
    </w:p>
    <w:p w14:paraId="7634EB36" w14:textId="77777777" w:rsidR="000D11F0" w:rsidRPr="00A45D38" w:rsidRDefault="000D11F0" w:rsidP="00A45D38">
      <w:pPr>
        <w:spacing w:after="240" w:line="276" w:lineRule="auto"/>
        <w:rPr>
          <w:rFonts w:ascii="KievitPro-Regular" w:hAnsi="KievitPro-Regular"/>
          <w:sz w:val="22"/>
          <w:szCs w:val="22"/>
          <w:lang w:val="it-CH"/>
        </w:rPr>
      </w:pPr>
      <w:bookmarkStart w:id="49" w:name="_Hlk10264023"/>
      <w:r w:rsidRPr="00A45D38">
        <w:rPr>
          <w:rFonts w:ascii="KievitPro-Regular" w:hAnsi="KievitPro-Regular"/>
          <w:sz w:val="22"/>
          <w:szCs w:val="22"/>
          <w:lang w:val="it-CH"/>
        </w:rPr>
        <w:t xml:space="preserve">Sono state stabilite delle misure e delle regole chiare per i mandati che richiedono un riesame della qualità a supporto del mandato. </w:t>
      </w:r>
      <w:bookmarkEnd w:id="49"/>
      <w:r w:rsidRPr="00A45D38">
        <w:rPr>
          <w:rFonts w:ascii="KievitPro-Regular" w:hAnsi="KievitPro-Regular"/>
          <w:sz w:val="22"/>
          <w:szCs w:val="22"/>
          <w:lang w:val="it-CH"/>
        </w:rPr>
        <w:t xml:space="preserve">Nel caso di mandati ad alto rischio, i rapporti con limitazioni, osservazioni e aggiunte sono sempre consegnati al responsabile del sistema di assicurazione della qualità prima della redazione della relazione di revisione, il quale effettua una review e la firma. </w:t>
      </w:r>
    </w:p>
    <w:p w14:paraId="67306BE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Utilizziamo il</w:t>
      </w:r>
      <w:r w:rsidRPr="00A45D38">
        <w:rPr>
          <w:rFonts w:ascii="KievitPro-Regular" w:hAnsi="KievitPro-Regular"/>
          <w:sz w:val="22"/>
          <w:szCs w:val="22"/>
          <w:highlight w:val="yellow"/>
          <w:lang w:val="it-CH"/>
        </w:rPr>
        <w:t xml:space="preserve"> software di revisione „SWISS QUALITY AUDIT“ (SQA)</w:t>
      </w:r>
      <w:r w:rsidRPr="00A45D38">
        <w:rPr>
          <w:rStyle w:val="Funotenzeichen"/>
          <w:rFonts w:ascii="KievitPro-Regular" w:hAnsi="KievitPro-Regular"/>
          <w:sz w:val="22"/>
          <w:szCs w:val="22"/>
          <w:highlight w:val="yellow"/>
          <w:lang w:val="it-CH"/>
        </w:rPr>
        <w:footnoteReference w:id="8"/>
      </w:r>
      <w:r w:rsidRPr="00A45D38">
        <w:rPr>
          <w:rFonts w:ascii="KievitPro-Regular" w:hAnsi="KievitPro-Regular"/>
          <w:sz w:val="22"/>
          <w:szCs w:val="22"/>
          <w:highlight w:val="yellow"/>
          <w:lang w:val="it-CH"/>
        </w:rPr>
        <w:t xml:space="preserve"> o un altro sistema</w:t>
      </w:r>
      <w:r w:rsidRPr="00A45D38">
        <w:rPr>
          <w:rFonts w:ascii="KievitPro-Regular" w:hAnsi="KievitPro-Regular"/>
          <w:sz w:val="22"/>
          <w:szCs w:val="22"/>
          <w:lang w:val="it-CH"/>
        </w:rPr>
        <w:t xml:space="preserve"> per documentare il nostro audit. Per quanto riguarda esempi di liste di controllo e documenti di lavoro per le rispettive fasi dell’esame, ci riferiamo direttamente al </w:t>
      </w:r>
      <w:r w:rsidRPr="00A45D38">
        <w:rPr>
          <w:rFonts w:ascii="KievitPro-Regular" w:hAnsi="KievitPro-Regular"/>
          <w:sz w:val="22"/>
          <w:szCs w:val="22"/>
          <w:highlight w:val="yellow"/>
          <w:lang w:val="it-CH"/>
        </w:rPr>
        <w:t>software di revisione</w:t>
      </w:r>
      <w:r w:rsidRPr="00A45D38">
        <w:rPr>
          <w:rFonts w:ascii="KievitPro-Regular" w:hAnsi="KievitPro-Regular"/>
          <w:sz w:val="22"/>
          <w:szCs w:val="22"/>
          <w:lang w:val="it-CH"/>
        </w:rPr>
        <w:t xml:space="preserve">. </w:t>
      </w:r>
    </w:p>
    <w:p w14:paraId="47A77AEB" w14:textId="77777777" w:rsidR="000D11F0" w:rsidRPr="000D11F0" w:rsidRDefault="000D11F0" w:rsidP="00A45D38">
      <w:pPr>
        <w:spacing w:after="240" w:line="276" w:lineRule="auto"/>
        <w:rPr>
          <w:rFonts w:ascii="KievitPro-Regular" w:hAnsi="KievitPro-Regular"/>
          <w:lang w:val="it-CH"/>
        </w:rPr>
      </w:pPr>
      <w:r w:rsidRPr="00A45D38">
        <w:rPr>
          <w:rFonts w:ascii="KievitPro-Regular" w:hAnsi="KievitPro-Regular"/>
          <w:sz w:val="22"/>
          <w:szCs w:val="22"/>
          <w:lang w:val="it-CH"/>
        </w:rPr>
        <w:t>Grazie a queste misure e all’utilizzo di questo manuale, è garantito un livello di qualità uniforme nell’esecuzione dei mandati</w:t>
      </w:r>
      <w:r w:rsidRPr="000D11F0">
        <w:rPr>
          <w:rFonts w:ascii="KievitPro-Regular" w:hAnsi="KievitPro-Regular"/>
          <w:lang w:val="it-CH"/>
        </w:rPr>
        <w:t>.</w:t>
      </w:r>
      <w:r w:rsidRPr="000D11F0">
        <w:rPr>
          <w:rFonts w:ascii="KievitPro-Regular" w:hAnsi="KievitPro-Regular"/>
          <w:lang w:val="it-CH"/>
        </w:rPr>
        <w:br w:type="page"/>
      </w:r>
    </w:p>
    <w:p w14:paraId="7F235D96"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50" w:name="_Toc331510683"/>
      <w:bookmarkStart w:id="51" w:name="_Toc359071936"/>
      <w:bookmarkStart w:id="52" w:name="_Toc126737261"/>
      <w:r w:rsidRPr="000E27FB">
        <w:rPr>
          <w:rFonts w:ascii="Avenir LT Std 35 Light" w:hAnsi="Avenir LT Std 35 Light"/>
          <w:smallCaps/>
          <w:snapToGrid/>
          <w:sz w:val="24"/>
          <w:szCs w:val="28"/>
          <w:lang w:val="it-CH" w:eastAsia="en-US"/>
        </w:rPr>
        <w:lastRenderedPageBreak/>
        <w:t xml:space="preserve">Sorveglianza e </w:t>
      </w:r>
      <w:bookmarkEnd w:id="50"/>
      <w:bookmarkEnd w:id="51"/>
      <w:r w:rsidRPr="000E27FB">
        <w:rPr>
          <w:rFonts w:ascii="Avenir LT Std 35 Light" w:hAnsi="Avenir LT Std 35 Light"/>
          <w:smallCaps/>
          <w:snapToGrid/>
          <w:sz w:val="24"/>
          <w:szCs w:val="28"/>
          <w:lang w:val="it-CH" w:eastAsia="en-US"/>
        </w:rPr>
        <w:t>controllo</w:t>
      </w:r>
      <w:bookmarkEnd w:id="52"/>
    </w:p>
    <w:p w14:paraId="0ACA49FE" w14:textId="77777777" w:rsidR="000D11F0" w:rsidRPr="00A45D38" w:rsidRDefault="000D11F0" w:rsidP="00A45D38">
      <w:pPr>
        <w:spacing w:before="12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0D854A8D"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lavori di verifica sono costantemente sorvegliati, in modo da poter incorporare direttamente nei lavori le nuove nozioni. </w:t>
      </w:r>
    </w:p>
    <w:p w14:paraId="4D89BC5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Un atteggiamento critico da parte del revisore nello svolgimento della revisione influisce su tutti gli atti di verifica e di conseguenza sulla qualità della revisione. Atteggiamento critico significa analizzare la situazione criticamente, mantenere alta l’attenzione al fine di scoprire eventuali irregolarità e valutare criticamente gli elementi di supporto documentale. </w:t>
      </w:r>
    </w:p>
    <w:p w14:paraId="380A590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Un riesame finale dei documenti di lavoro da parte del revisore responsabile del mandato garantisce il rispetto e l’applicazione corretta del piano di revisione. È importante che il lavoro dei revisori con meno esperienza sia verificato dai revisori con più esperienza. La base per il rapporto è data dalle considerazioni tratte dalla verifica effettuata. </w:t>
      </w:r>
    </w:p>
    <w:p w14:paraId="00052C39" w14:textId="77777777" w:rsidR="000D11F0" w:rsidRPr="00A45D38" w:rsidRDefault="000D11F0" w:rsidP="00A45D38">
      <w:pPr>
        <w:spacing w:before="12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617E244D"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Il revisore responsabile sorveglia i lavori di revisione costantemente e prende i provvedimenti necessari. L’esame dei seguenti punti (cfr. ISA-CH 220.17) da parte del revisore responsabile consente di chiarire tempestivamente le questioni significative prima di emettere il rapporto di revisione:</w:t>
      </w:r>
    </w:p>
    <w:p w14:paraId="3F439483" w14:textId="2690A9C9" w:rsidR="000D11F0" w:rsidRPr="00A45D38" w:rsidRDefault="000D11F0" w:rsidP="00BC7C5B">
      <w:pPr>
        <w:spacing w:line="276" w:lineRule="auto"/>
        <w:ind w:left="142" w:hanging="142"/>
        <w:rPr>
          <w:rFonts w:ascii="KievitPro-Regular" w:hAnsi="KievitPro-Regular"/>
          <w:sz w:val="22"/>
          <w:szCs w:val="22"/>
          <w:lang w:val="it-CH"/>
        </w:rPr>
      </w:pPr>
      <w:r w:rsidRPr="00A45D38">
        <w:rPr>
          <w:rFonts w:ascii="KievitPro-Regular" w:hAnsi="KievitPro-Regular"/>
          <w:sz w:val="22"/>
          <w:szCs w:val="22"/>
          <w:lang w:val="it-CH"/>
        </w:rPr>
        <w:t xml:space="preserve">- posizioni del conto annuale considerate critiche per le quali il revisore deve utilizzare il proprio </w:t>
      </w:r>
      <w:r w:rsidR="00BC7C5B">
        <w:rPr>
          <w:rFonts w:ascii="KievitPro-Regular" w:hAnsi="KievitPro-Regular"/>
          <w:sz w:val="22"/>
          <w:szCs w:val="22"/>
          <w:lang w:val="it-CH"/>
        </w:rPr>
        <w:t>“</w:t>
      </w:r>
      <w:r w:rsidRPr="00A45D38">
        <w:rPr>
          <w:rFonts w:ascii="KievitPro-Regular" w:hAnsi="KievitPro-Regular"/>
          <w:sz w:val="22"/>
          <w:szCs w:val="22"/>
          <w:lang w:val="it-CH"/>
        </w:rPr>
        <w:t>professional judgement</w:t>
      </w:r>
      <w:r w:rsidR="00BC7C5B">
        <w:rPr>
          <w:rFonts w:ascii="KievitPro-Regular" w:hAnsi="KievitPro-Regular"/>
          <w:sz w:val="22"/>
          <w:szCs w:val="22"/>
          <w:lang w:val="it-CH"/>
        </w:rPr>
        <w:t>”</w:t>
      </w:r>
      <w:r w:rsidRPr="00A45D38">
        <w:rPr>
          <w:rFonts w:ascii="KievitPro-Regular" w:hAnsi="KievitPro-Regular"/>
          <w:sz w:val="22"/>
          <w:szCs w:val="22"/>
          <w:lang w:val="it-CH"/>
        </w:rPr>
        <w:t>,</w:t>
      </w:r>
    </w:p>
    <w:p w14:paraId="1EA53491" w14:textId="77777777" w:rsidR="000D11F0" w:rsidRPr="00A45D38" w:rsidRDefault="000D11F0" w:rsidP="00BC7C5B">
      <w:pPr>
        <w:spacing w:line="276" w:lineRule="auto"/>
        <w:rPr>
          <w:rFonts w:ascii="KievitPro-Regular" w:hAnsi="KievitPro-Regular"/>
          <w:sz w:val="22"/>
          <w:szCs w:val="22"/>
          <w:lang w:val="it-CH"/>
        </w:rPr>
      </w:pPr>
      <w:r w:rsidRPr="00A45D38">
        <w:rPr>
          <w:rFonts w:ascii="KievitPro-Regular" w:hAnsi="KievitPro-Regular"/>
          <w:sz w:val="22"/>
          <w:szCs w:val="22"/>
          <w:lang w:val="it-CH"/>
        </w:rPr>
        <w:t>- rischi significativi e</w:t>
      </w:r>
    </w:p>
    <w:p w14:paraId="42DE6363"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altre aree che la persona responsabile del mandato considera importanti.</w:t>
      </w:r>
    </w:p>
    <w:p w14:paraId="68979618"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 documenti di lavoro devono essere controllati e valutati dal revisore responsabile. Non è necessario rivedere tutta la documentazione di audit, ma il revisore responsabile può decidere di farlo. L'ambito e i tempi della revisione devono essere documentati. La completezza della documentazione è garantita.</w:t>
      </w:r>
    </w:p>
    <w:p w14:paraId="1A65FB5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Prima di emettere il rapporto di revisione, tutte le costatazioni significative devono essere valutate dal revisore responsabile. Deve essere convinto che siano state raccolte prove sufficienti a sostegno delle conclusioni tratte e del testo del rapporto di revisione. Riassume le sue ultime riflessioni per iscritto nel Memo riassuntivo e lo firma.</w:t>
      </w:r>
    </w:p>
    <w:p w14:paraId="55685CFF" w14:textId="77777777" w:rsidR="000D11F0" w:rsidRPr="00A45D38" w:rsidRDefault="000D11F0" w:rsidP="00A45D38">
      <w:pPr>
        <w:tabs>
          <w:tab w:val="right" w:pos="9405"/>
        </w:tabs>
        <w:spacing w:after="240" w:line="276" w:lineRule="auto"/>
        <w:rPr>
          <w:rFonts w:ascii="KievitPro-Regular" w:hAnsi="KievitPro-Regular"/>
          <w:sz w:val="22"/>
          <w:szCs w:val="22"/>
          <w:lang w:val="it-CH"/>
        </w:rPr>
      </w:pPr>
      <w:r w:rsidRPr="00A45D38">
        <w:rPr>
          <w:rFonts w:ascii="KievitPro-Regular" w:hAnsi="KievitPro-Regular"/>
          <w:sz w:val="22"/>
          <w:szCs w:val="22"/>
          <w:lang w:val="it-CH"/>
        </w:rPr>
        <w:t>Grazie al lavoro di squadra i membri del team con meno esperienza vengono sostenuti nella comprensione e nel raggiungimento degli obiettivi lavorativi prefissati. Il revisore responsabile è responsabile di fornire istruzioni adeguate al personale addetto alla revisione e di garantire la supervisione dei lavori.</w:t>
      </w:r>
    </w:p>
    <w:p w14:paraId="1FC49069" w14:textId="77777777" w:rsidR="000D11F0" w:rsidRPr="00A45D38" w:rsidRDefault="000D11F0" w:rsidP="00A45D38">
      <w:pPr>
        <w:spacing w:after="240" w:line="276" w:lineRule="auto"/>
        <w:rPr>
          <w:rFonts w:ascii="KievitPro-Regular" w:hAnsi="KievitPro-Regular"/>
          <w:sz w:val="22"/>
          <w:szCs w:val="22"/>
          <w:lang w:val="it-CH"/>
        </w:rPr>
      </w:pPr>
    </w:p>
    <w:p w14:paraId="52E4C397"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Allegato 5.10: Memo riassuntivo</w:t>
      </w:r>
    </w:p>
    <w:p w14:paraId="2D306195"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r w:rsidRPr="000D11F0">
        <w:rPr>
          <w:rFonts w:ascii="KievitPro-Regular" w:hAnsi="KievitPro-Regular"/>
          <w:lang w:val="it-CH"/>
        </w:rPr>
        <w:br w:type="page"/>
      </w:r>
      <w:r w:rsidRPr="000E27FB">
        <w:rPr>
          <w:rFonts w:ascii="Avenir LT Std 35 Light" w:hAnsi="Avenir LT Std 35 Light"/>
          <w:smallCaps/>
          <w:snapToGrid/>
          <w:sz w:val="24"/>
          <w:szCs w:val="28"/>
          <w:lang w:val="it-CH" w:eastAsia="en-US"/>
        </w:rPr>
        <w:lastRenderedPageBreak/>
        <w:t xml:space="preserve"> </w:t>
      </w:r>
      <w:bookmarkStart w:id="53" w:name="_Toc126737262"/>
      <w:r w:rsidRPr="000E27FB">
        <w:rPr>
          <w:rFonts w:ascii="Avenir LT Std 35 Light" w:hAnsi="Avenir LT Std 35 Light"/>
          <w:smallCaps/>
          <w:snapToGrid/>
          <w:sz w:val="24"/>
          <w:szCs w:val="28"/>
          <w:lang w:val="it-CH" w:eastAsia="en-US"/>
        </w:rPr>
        <w:t>Consultazione</w:t>
      </w:r>
      <w:bookmarkEnd w:id="53"/>
    </w:p>
    <w:p w14:paraId="341C4FEB"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3D32CC7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Se nel corso dell’accettazione del mandato, della pianificazione della revisione o durante l’esecuzione il revisore responsabile o un membro del team di revisione dovesse riscontrare delle fattispecie complesse o controverse, si rende necessario effettuare un’adeguata consultazione, che dovrà anche essere sufficientemente documentata. I risultati della consultazione saranno in seguito implementati. </w:t>
      </w:r>
    </w:p>
    <w:p w14:paraId="60DA4F1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Questo scambio di opinioni contribuisce ad offrire un servizio di qualità e permette di esprimere un giudizio con maggiore cognizione di causa.</w:t>
      </w:r>
    </w:p>
    <w:p w14:paraId="3217F93F"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5CC1B6F5" w14:textId="77777777" w:rsidR="000D11F0" w:rsidRPr="00A45D38" w:rsidRDefault="000D11F0" w:rsidP="00A45D38">
      <w:pPr>
        <w:spacing w:after="240" w:line="276" w:lineRule="auto"/>
        <w:rPr>
          <w:rFonts w:ascii="KievitPro-Regular" w:hAnsi="KievitPro-Regular"/>
          <w:sz w:val="22"/>
          <w:szCs w:val="22"/>
          <w:lang w:val="it-CH"/>
        </w:rPr>
      </w:pPr>
      <w:bookmarkStart w:id="54" w:name="_Hlk66103414"/>
      <w:r w:rsidRPr="00A45D38">
        <w:rPr>
          <w:rFonts w:ascii="KievitPro-Regular" w:hAnsi="KievitPro-Regular"/>
          <w:sz w:val="22"/>
          <w:szCs w:val="22"/>
          <w:lang w:val="it-CH"/>
        </w:rPr>
        <w:t>In caso di fattispecie controverse o complesse in fase di accettazione di mandato, di pianificazione o di esecuzione della verifica, una consultazione diventa necessaria. Il revisore responsabile deve dunque ricorrere alle risorse adeguate e all’esperienza di esperti all’interno della società.</w:t>
      </w:r>
      <w:bookmarkEnd w:id="54"/>
      <w:r w:rsidRPr="00A45D38">
        <w:rPr>
          <w:rFonts w:ascii="KievitPro-Regular" w:hAnsi="KievitPro-Regular"/>
          <w:sz w:val="22"/>
          <w:szCs w:val="22"/>
          <w:lang w:val="it-CH"/>
        </w:rPr>
        <w:t xml:space="preserve"> Lo scambio di opinioni di natura materiale con persone esterne che dispongono delle conoscenze necessarie è altrettanto importante. Questo scambio può però risultare utile solo se le persone esterne sono adeguatamente istruite sulla fattispecie che si presenta.</w:t>
      </w:r>
    </w:p>
    <w:p w14:paraId="0E94C360"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di divergenze di opinioni tra il team di revisione che sta lavorando al mandato in questione e le persone consultate occorre ricorrere a delle misure specifiche volte al chiarimento della situazione. Queste misure possono essere il ricorrere ai servizi di consultazione di altre società, di associazioni professionali, di autorità di sorveglianza o altre entità che offrono servizi di assicurazione della qualità. </w:t>
      </w:r>
    </w:p>
    <w:p w14:paraId="7C1802B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L’intero processo, comprese le conclusioni finali, deve essere dettagliatamente documentato. Una documentazione adeguata ha lo scopo di permettere al collaboratore di revisione di poter ricostruire e comprendere il risultato delle consultazioni, anche in un secondo momento.</w:t>
      </w:r>
    </w:p>
    <w:p w14:paraId="402CA28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w:t>
      </w:r>
      <w:r w:rsidRPr="00A45D38">
        <w:rPr>
          <w:rFonts w:ascii="KievitPro-Regular" w:hAnsi="KievitPro-Regular"/>
          <w:sz w:val="22"/>
          <w:szCs w:val="22"/>
          <w:highlight w:val="yellow"/>
          <w:lang w:val="it-CH"/>
        </w:rPr>
        <w:t>revisore / perito revisore</w:t>
      </w:r>
      <w:r w:rsidRPr="00A45D38">
        <w:rPr>
          <w:rFonts w:ascii="KievitPro-Regular" w:hAnsi="KievitPro-Regular"/>
          <w:sz w:val="22"/>
          <w:szCs w:val="22"/>
          <w:lang w:val="it-CH"/>
        </w:rPr>
        <w:t xml:space="preserve"> decide sulla base del suo “professionale jugement” se è necessario ingaggiare un esperto esterno.</w:t>
      </w:r>
    </w:p>
    <w:p w14:paraId="0B633D75" w14:textId="77777777" w:rsidR="000D11F0" w:rsidRPr="000D11F0" w:rsidRDefault="000D11F0" w:rsidP="00A45D38">
      <w:pPr>
        <w:spacing w:after="240" w:line="276" w:lineRule="auto"/>
        <w:rPr>
          <w:rFonts w:ascii="KievitPro-Regular" w:hAnsi="KievitPro-Regular"/>
          <w:smallCaps/>
          <w:sz w:val="24"/>
          <w:szCs w:val="28"/>
          <w:lang w:val="it-CH"/>
        </w:rPr>
      </w:pPr>
      <w:r w:rsidRPr="000D11F0">
        <w:rPr>
          <w:rFonts w:ascii="KievitPro-Regular" w:hAnsi="KievitPro-Regular"/>
          <w:lang w:val="it-CH"/>
        </w:rPr>
        <w:br w:type="page"/>
      </w:r>
    </w:p>
    <w:p w14:paraId="79395804"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55" w:name="_Toc126737263"/>
      <w:r w:rsidRPr="000E27FB">
        <w:rPr>
          <w:rFonts w:ascii="Avenir LT Std 35 Light" w:hAnsi="Avenir LT Std 35 Light"/>
          <w:smallCaps/>
          <w:snapToGrid/>
          <w:sz w:val="24"/>
          <w:szCs w:val="28"/>
          <w:lang w:val="it-CH" w:eastAsia="en-US"/>
        </w:rPr>
        <w:lastRenderedPageBreak/>
        <w:t>Divergenza d’opinioni</w:t>
      </w:r>
      <w:bookmarkEnd w:id="55"/>
    </w:p>
    <w:p w14:paraId="27F2793B"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1C2195F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Sono stabilite delle regole interne al fine di chiarire e regolare i casi in cui si riscontrano delle divergenze di opinioni all’interno del Team, con la persona consultata oppure – dove è il caso – tra il responsabile del mandato e la persona che si occupa del riesame della qualità del mandato.</w:t>
      </w:r>
    </w:p>
    <w:p w14:paraId="4F81F94B"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48459BAC"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di divergenze di opinioni tra membri del team di revisione, con il consulente esterno o tra responsabile del mandato e la persona che si occupa </w:t>
      </w:r>
      <w:bookmarkStart w:id="56" w:name="_Hlk10264460"/>
      <w:r w:rsidRPr="00A45D38">
        <w:rPr>
          <w:rFonts w:ascii="KievitPro-Regular" w:hAnsi="KievitPro-Regular"/>
          <w:sz w:val="22"/>
          <w:szCs w:val="22"/>
          <w:lang w:val="it-CH"/>
        </w:rPr>
        <w:t>del riesame della qualità del mandato</w:t>
      </w:r>
      <w:bookmarkEnd w:id="56"/>
      <w:r w:rsidRPr="00A45D38">
        <w:rPr>
          <w:rFonts w:ascii="KievitPro-Regular" w:hAnsi="KievitPro-Regular"/>
          <w:sz w:val="22"/>
          <w:szCs w:val="22"/>
          <w:lang w:val="it-CH"/>
        </w:rPr>
        <w:t>, è necessario consultare in primo luogo il responsabile del reparto revisione o la direzione della società.</w:t>
      </w:r>
    </w:p>
    <w:p w14:paraId="3171DEC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Le conclusioni devono essere documentate e implementate.</w:t>
      </w:r>
    </w:p>
    <w:p w14:paraId="787BD16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 lavori di revisione sono considerati completati solo dopo il chiarimento della situazione.</w:t>
      </w:r>
    </w:p>
    <w:p w14:paraId="411D5235" w14:textId="0D66EEE6" w:rsidR="00BC7C5B" w:rsidRDefault="00BC7C5B">
      <w:pPr>
        <w:jc w:val="left"/>
        <w:rPr>
          <w:rFonts w:ascii="KievitPro-Regular" w:hAnsi="KievitPro-Regular"/>
          <w:lang w:val="it-CH"/>
        </w:rPr>
      </w:pPr>
      <w:r>
        <w:rPr>
          <w:rFonts w:ascii="KievitPro-Regular" w:hAnsi="KievitPro-Regular"/>
          <w:lang w:val="it-CH"/>
        </w:rPr>
        <w:br w:type="page"/>
      </w:r>
    </w:p>
    <w:p w14:paraId="78A929E9"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57" w:name="_Toc126737264"/>
      <w:r w:rsidRPr="000E27FB">
        <w:rPr>
          <w:rFonts w:ascii="Avenir LT Std 35 Light" w:hAnsi="Avenir LT Std 35 Light"/>
          <w:smallCaps/>
          <w:snapToGrid/>
          <w:sz w:val="24"/>
          <w:szCs w:val="28"/>
          <w:lang w:val="it-CH" w:eastAsia="en-US"/>
        </w:rPr>
        <w:lastRenderedPageBreak/>
        <w:t>Documentazione del mandato</w:t>
      </w:r>
      <w:bookmarkEnd w:id="57"/>
    </w:p>
    <w:p w14:paraId="0CB9B686"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4B9BF54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Per poter garantire la rintracciabilità di tutti gli atti di verifica, i lavori di revisione devono essere documentati in maniera sistematica e completa.</w:t>
      </w:r>
    </w:p>
    <w:p w14:paraId="391E041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Dopo avere effettuato e documentato le ultime verifiche, il team di revisione deve finalizzare la documentazione dei lavori di revisione entro tempi ragionevoli.</w:t>
      </w:r>
    </w:p>
    <w:p w14:paraId="4F8F583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È garantita la custodia degli atti per un periodo, sancito nella legge, di 10 anni, al termine del quale verranno correttamente smaltiti. Durante il periodo di custodia è possibile accedere alla documentazione del mandato e consultarla. Questo principio è particolarmente importante per quanto riguarda l’evoluzione delle tecnologie: quando necessario, queste devono essere aggiornate al fine di garantire sempre la possibilità di consultare la documentazione.</w:t>
      </w:r>
    </w:p>
    <w:p w14:paraId="4937435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 Se non altrimenti specificato nella legge o in altre disposizioni legali, la documentazione del mandato è di proprietà della società di revisione. Quest’ultima è libera di decidere se rendere disponibili estratti o parte della documentazione al mandante, a condizione che l’indipendenza della società da revisionare risp. del personale specializzato non ne risulti limitata.</w:t>
      </w:r>
    </w:p>
    <w:p w14:paraId="681F3DE4"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1196332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Tutte le revisioni devono essere svolte con il </w:t>
      </w:r>
      <w:r w:rsidRPr="00A45D38">
        <w:rPr>
          <w:rFonts w:ascii="KievitPro-Regular" w:hAnsi="KievitPro-Regular"/>
          <w:sz w:val="22"/>
          <w:szCs w:val="22"/>
          <w:highlight w:val="yellow"/>
          <w:lang w:val="it-CH"/>
        </w:rPr>
        <w:t>software SWISS QUALITY AUDIT (SQA) (o con un altro sistema)</w:t>
      </w:r>
      <w:r w:rsidRPr="00A45D38">
        <w:rPr>
          <w:rFonts w:ascii="KievitPro-Regular" w:hAnsi="KievitPro-Regular"/>
          <w:sz w:val="22"/>
          <w:szCs w:val="22"/>
          <w:lang w:val="it-CH"/>
        </w:rPr>
        <w:t>. L’entità della revisione dipende dalle caratteristiche specifiche del mandato. La relazione di revisione può essere consegnata solo quando non c’è più alcuna questione in sospeso e i documenti originali (conto annuale firmato e validato, dichiarazione di completezza e specchietto riassuntivo in merito alle riserve latenti e se del caso, la lista delle correzioni fatte) sono stati restituiti dal cliente. Di regola i documenti firmati portano la stessa data del rapporto di revisione e devono essere in possesso dell’ufficio di revisione prima della consegna (vedi Standard revisione limitata 2015).</w:t>
      </w:r>
    </w:p>
    <w:p w14:paraId="4A34A15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modelli di documenti per i nuovi clienti (accettazione del mandato, relazioni di revisione, Standard, ecc..) si trovano nel software di revisione o eventualmente nella mappa salvata </w:t>
      </w:r>
      <w:r w:rsidRPr="00A45D38">
        <w:rPr>
          <w:rFonts w:ascii="KievitPro-Regular" w:hAnsi="KievitPro-Regular"/>
          <w:sz w:val="22"/>
          <w:szCs w:val="22"/>
          <w:highlight w:val="yellow"/>
          <w:lang w:val="it-CH"/>
        </w:rPr>
        <w:t>sul disco duro X.</w:t>
      </w:r>
      <w:r w:rsidRPr="00A45D38">
        <w:rPr>
          <w:rFonts w:ascii="KievitPro-Regular" w:hAnsi="KievitPro-Regular"/>
          <w:sz w:val="22"/>
          <w:szCs w:val="22"/>
          <w:lang w:val="it-CH"/>
        </w:rPr>
        <w:t xml:space="preserve">  </w:t>
      </w:r>
    </w:p>
    <w:p w14:paraId="601ED92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Nel caso in cui la legge o altre disposizioni legali non prescrivessero un termine entro il quale devono essere riassunti e riordinati gli atti del mandato, il termine, nel caso p. es. di una verifica di chiusura, è di 60 giorni dopo la data della relazione di revisione. Nel caso di due o più relazioni di revisione per la stessa fattispecie (p. es. Nel caso di un consolidamento a livello di gruppo, ogni relazione viene considerata singolarmente.</w:t>
      </w:r>
    </w:p>
    <w:p w14:paraId="1A7D96BF"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In relazione alla sicurezza e alla protezione dei dati, i collaboratori sono tenuti a rispettare la confidenzialità delle informazioni contenute nella documentazione del mandato, salvo autorizzazione, in forma scritta, del mandante stesso o un obbligo legale o professionale. Tutti i collaboratori ne devono essere informati.</w:t>
      </w:r>
    </w:p>
    <w:p w14:paraId="5F0CCE3D" w14:textId="77777777" w:rsidR="000D11F0" w:rsidRPr="00A45D38" w:rsidRDefault="000D11F0" w:rsidP="00A45D38">
      <w:pPr>
        <w:spacing w:after="240" w:line="276" w:lineRule="auto"/>
        <w:rPr>
          <w:rFonts w:ascii="KievitPro-Regular" w:hAnsi="KievitPro-Regular"/>
          <w:sz w:val="22"/>
          <w:szCs w:val="22"/>
          <w:lang w:val="it-CH"/>
        </w:rPr>
      </w:pPr>
      <w:bookmarkStart w:id="58" w:name="_Hlk10264700"/>
      <w:r w:rsidRPr="00A45D38">
        <w:rPr>
          <w:rFonts w:ascii="KievitPro-Regular" w:hAnsi="KievitPro-Regular"/>
          <w:sz w:val="22"/>
          <w:szCs w:val="22"/>
          <w:highlight w:val="yellow"/>
          <w:lang w:val="it-CH"/>
        </w:rPr>
        <w:t>Tutti i documenti di lavoro devono essere salvati in PDF in una cartella del disco duro X. Le carte di lavoro possono altresì essere stampate e poste in un raccoglitore.</w:t>
      </w:r>
      <w:r w:rsidRPr="00A45D38">
        <w:rPr>
          <w:rFonts w:ascii="KievitPro-Regular" w:hAnsi="KievitPro-Regular"/>
          <w:sz w:val="22"/>
          <w:szCs w:val="22"/>
          <w:lang w:val="it-CH"/>
        </w:rPr>
        <w:t xml:space="preserve">  </w:t>
      </w:r>
    </w:p>
    <w:p w14:paraId="0950E47D" w14:textId="77777777" w:rsidR="000D11F0" w:rsidRPr="00A45D38" w:rsidRDefault="000D11F0" w:rsidP="00A45D38">
      <w:pPr>
        <w:spacing w:after="240" w:line="276" w:lineRule="auto"/>
        <w:rPr>
          <w:rFonts w:ascii="KievitPro-Regular" w:hAnsi="KievitPro-Regular"/>
          <w:sz w:val="22"/>
          <w:szCs w:val="22"/>
          <w:lang w:val="it-CH"/>
        </w:rPr>
      </w:pPr>
      <w:bookmarkStart w:id="59" w:name="_Hlk10264767"/>
      <w:bookmarkEnd w:id="58"/>
      <w:r w:rsidRPr="00A45D38">
        <w:rPr>
          <w:rFonts w:ascii="KievitPro-Regular" w:hAnsi="KievitPro-Regular"/>
          <w:sz w:val="22"/>
          <w:szCs w:val="22"/>
          <w:lang w:val="it-CH"/>
        </w:rPr>
        <w:lastRenderedPageBreak/>
        <w:t xml:space="preserve">Per quanto concerne le revisioni speciali, i documenti importanti sono firmati, </w:t>
      </w:r>
      <w:r w:rsidRPr="00A45D38">
        <w:rPr>
          <w:rFonts w:ascii="KievitPro-Regular" w:hAnsi="KievitPro-Regular"/>
          <w:sz w:val="22"/>
          <w:szCs w:val="22"/>
          <w:highlight w:val="yellow"/>
          <w:lang w:val="it-CH"/>
        </w:rPr>
        <w:t>scannerizzati e salvati in formato PDF dal responsabile / riposti in un raccoglitore</w:t>
      </w:r>
      <w:r w:rsidRPr="00A45D38">
        <w:rPr>
          <w:rFonts w:ascii="KievitPro-Regular" w:hAnsi="KievitPro-Regular"/>
          <w:sz w:val="22"/>
          <w:szCs w:val="22"/>
          <w:lang w:val="it-CH"/>
        </w:rPr>
        <w:t xml:space="preserve">. Questo permette di mantenere i dati invariati, come prescritto dalla legge. </w:t>
      </w:r>
    </w:p>
    <w:bookmarkEnd w:id="59"/>
    <w:p w14:paraId="7F5A3937"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Inoltre, la direzione dovrebbe garantire che l'accesso ai fascicoli di revisione sia limitato al personale della revisione in questione e che le copie di riserva siano fatte regolarmente.</w:t>
      </w:r>
    </w:p>
    <w:p w14:paraId="435200D2"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dati vengono custoditi per 10 anni. È necessario però verificare se non ci siano leggi locali o altre disposizioni legali riguardo il tempo di custodia di alcuni tipi specifici di mandato. </w:t>
      </w:r>
    </w:p>
    <w:p w14:paraId="3BF64C49"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r w:rsidRPr="000D11F0">
        <w:rPr>
          <w:rFonts w:ascii="KievitPro-Regular" w:hAnsi="KievitPro-Regular"/>
          <w:color w:val="FF0000"/>
          <w:lang w:val="it-CH"/>
        </w:rPr>
        <w:br w:type="page"/>
      </w:r>
      <w:bookmarkStart w:id="60" w:name="_Toc126737265"/>
      <w:bookmarkStart w:id="61" w:name="_Toc331510685"/>
      <w:bookmarkStart w:id="62" w:name="_Toc359071939"/>
      <w:r w:rsidRPr="000E27FB">
        <w:rPr>
          <w:rFonts w:ascii="Avenir LT Std 35 Light" w:hAnsi="Avenir LT Std 35 Light"/>
          <w:smallCaps/>
          <w:snapToGrid/>
          <w:sz w:val="24"/>
          <w:szCs w:val="28"/>
          <w:lang w:val="it-CH" w:eastAsia="en-US"/>
        </w:rPr>
        <w:lastRenderedPageBreak/>
        <w:t>Separazione organizzativa tra revisione e contabilità (mandati doppi) e la fornitura di altri servizi</w:t>
      </w:r>
      <w:bookmarkEnd w:id="60"/>
      <w:r w:rsidRPr="000E27FB">
        <w:rPr>
          <w:rFonts w:ascii="Avenir LT Std 35 Light" w:hAnsi="Avenir LT Std 35 Light"/>
          <w:smallCaps/>
          <w:snapToGrid/>
          <w:sz w:val="24"/>
          <w:szCs w:val="28"/>
          <w:lang w:val="it-CH" w:eastAsia="en-US"/>
        </w:rPr>
        <w:t xml:space="preserve">  </w:t>
      </w:r>
      <w:bookmarkEnd w:id="61"/>
      <w:bookmarkEnd w:id="62"/>
    </w:p>
    <w:p w14:paraId="72D957BF"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Principio</w:t>
      </w:r>
    </w:p>
    <w:p w14:paraId="1708225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 legge regola l’indipendenza della società di revisione, nel caso delle revisioni limitate, nell’art. 729 CO: </w:t>
      </w:r>
    </w:p>
    <w:p w14:paraId="2E192E8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“1 L’ufficio di revisione deve essere indipendente e deve formare il suo giudizio di verifica in maniera obiettiva. L’indipendenza non deve essere compromessa né di fatto né in apparenza. </w:t>
      </w:r>
    </w:p>
    <w:p w14:paraId="1719E3B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2 L’ufficio di revisione può partecipare all’attività contabile e fornire altri servizi per la società da verificare. Se vi è il rischio di dover verificare propri lavori, esso adotta misure a livello organizzativo e personale che garantiscono una verifica affidabile.”</w:t>
      </w:r>
    </w:p>
    <w:p w14:paraId="574240BE"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 seguenti provvedimenti sono parte delle misure organizzative volte ad assicurare una verifica affidabile per tutti i mandati di revisione per i quali vi è una partecipazione alla contabilità e la fornitura di altri servizi. </w:t>
      </w:r>
    </w:p>
    <w:p w14:paraId="23BAA1A0"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49D7407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 suddivisione nei rispettivi dipartimenti sulla base delle competenze professionali assicura la separazione organizzativa nell’organigramma per le revisioni limitate. </w:t>
      </w:r>
    </w:p>
    <w:p w14:paraId="61D181D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Vigono inoltre le seguenti direttive sull’indipendenza dalle istruzioni tra differenti dipartimenti:</w:t>
      </w:r>
    </w:p>
    <w:p w14:paraId="3D6F79DD" w14:textId="77777777" w:rsidR="000D11F0" w:rsidRPr="00A45D38" w:rsidRDefault="000D11F0" w:rsidP="00A45D38">
      <w:pPr>
        <w:pStyle w:val="Listenabsatz"/>
        <w:numPr>
          <w:ilvl w:val="0"/>
          <w:numId w:val="19"/>
        </w:numPr>
        <w:spacing w:before="200" w:after="240" w:line="276" w:lineRule="auto"/>
        <w:ind w:left="714" w:hanging="357"/>
        <w:contextualSpacing/>
        <w:rPr>
          <w:rFonts w:ascii="KievitPro-Regular" w:hAnsi="KievitPro-Regular"/>
          <w:sz w:val="22"/>
          <w:szCs w:val="22"/>
          <w:lang w:val="it-CH"/>
        </w:rPr>
      </w:pPr>
      <w:r w:rsidRPr="00A45D38">
        <w:rPr>
          <w:rFonts w:ascii="KievitPro-Regular" w:hAnsi="KievitPro-Regular"/>
          <w:sz w:val="22"/>
          <w:szCs w:val="22"/>
          <w:lang w:val="it-CH"/>
        </w:rPr>
        <w:t xml:space="preserve">Nelle loro decisioni e valutazioni concernenti i loro compiti come ufficio di revisione, il direttore del dipartimento Revisione e tutte le persone che partecipano ai lavori di revisione non sono vincolati dalle istruzioni del direttore e di tutti gli altri collaboratori del dipartimento contabilità. </w:t>
      </w:r>
    </w:p>
    <w:p w14:paraId="78A2DBD0" w14:textId="77777777" w:rsidR="000D11F0" w:rsidRPr="00A45D38" w:rsidRDefault="000D11F0" w:rsidP="00A45D38">
      <w:pPr>
        <w:pStyle w:val="Listenabsatz"/>
        <w:numPr>
          <w:ilvl w:val="0"/>
          <w:numId w:val="19"/>
        </w:numPr>
        <w:spacing w:before="200" w:after="240" w:line="276" w:lineRule="auto"/>
        <w:ind w:left="714" w:hanging="357"/>
        <w:contextualSpacing/>
        <w:rPr>
          <w:rFonts w:ascii="KievitPro-Regular" w:hAnsi="KievitPro-Regular"/>
          <w:sz w:val="22"/>
          <w:szCs w:val="22"/>
          <w:lang w:val="it-CH"/>
        </w:rPr>
      </w:pPr>
      <w:r w:rsidRPr="00A45D38">
        <w:rPr>
          <w:rFonts w:ascii="KievitPro-Regular" w:hAnsi="KievitPro-Regular"/>
          <w:sz w:val="22"/>
          <w:szCs w:val="22"/>
          <w:lang w:val="it-CH"/>
        </w:rPr>
        <w:t>Nelle loro decisioni concernenti la contabilità, il direttore del dipartimento Contabilità e tutti gli altri collaboratori di tale dipartimento non sono vincolati dalle istruzioni del direttore del dipartimento Revisione e di tutti gli altri revisori responsabili. Sono vincolati soltanto dalle istruzioni del cliente e quindi dall’autore e artefice del conto annuale.</w:t>
      </w:r>
    </w:p>
    <w:p w14:paraId="1AD7B42C" w14:textId="77777777" w:rsidR="000D11F0" w:rsidRPr="00A45D38" w:rsidRDefault="000D11F0" w:rsidP="00A45D38">
      <w:pPr>
        <w:spacing w:before="200" w:after="240" w:line="276" w:lineRule="auto"/>
        <w:rPr>
          <w:rFonts w:ascii="KievitPro-Regular" w:hAnsi="KievitPro-Regular"/>
          <w:sz w:val="22"/>
          <w:szCs w:val="22"/>
          <w:lang w:val="it-CH"/>
        </w:rPr>
      </w:pPr>
      <w:r w:rsidRPr="00A45D38">
        <w:rPr>
          <w:rFonts w:ascii="KievitPro-Regular" w:hAnsi="KievitPro-Regular"/>
          <w:sz w:val="22"/>
          <w:szCs w:val="22"/>
          <w:lang w:val="it-CH"/>
        </w:rPr>
        <w:t>In questo contesto è necessario redigere un regolamento sull’indipendenza tra i dipartimenti, il quale deve essere approvato dai rispettivi responsabili.</w:t>
      </w:r>
    </w:p>
    <w:p w14:paraId="6027CE5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In aggiunta la direzione della società organizza annualmente un colloquio con il responsabile del dipartimento revisione contabile, durante il quale viene valutata l’indipendenza dei singoli mandati e viene ribadita nuovamente anche l’indipendenza del dipartimento revisioni.  </w:t>
      </w:r>
    </w:p>
    <w:p w14:paraId="72235E41"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dei mandati doppi, occorre assicurare che la chiusura provvisoria avvenga senza la partecipazione della revisione. La chiusura provvisoria può essere consegnata all’ufficio di revisione solo dopo essere stata approvata dal CdA. </w:t>
      </w:r>
    </w:p>
    <w:p w14:paraId="51E3D97A"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colloquio finale con il cliente della revisione avviene di regola senza la partecipazione di chi ha collaborato alla contabilità. Grazie all’utilizzo del protocollo per il colloquio finale, si vuole assicurare che le decisioni critiche di valutazione del CdA siano documentate. È consigliato lasciare al cliente una copia del protocollo del colloquio.  </w:t>
      </w:r>
    </w:p>
    <w:p w14:paraId="2D1AEC85" w14:textId="77777777" w:rsidR="000D11F0" w:rsidRPr="00A45D38" w:rsidRDefault="000D11F0" w:rsidP="00A45D38">
      <w:pPr>
        <w:spacing w:after="240" w:line="276" w:lineRule="auto"/>
        <w:rPr>
          <w:rFonts w:ascii="KievitPro-Regular" w:hAnsi="KievitPro-Regular"/>
          <w:sz w:val="22"/>
          <w:szCs w:val="22"/>
          <w:lang w:val="it-CH"/>
        </w:rPr>
      </w:pPr>
    </w:p>
    <w:p w14:paraId="7CF083ED"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Nel caso di mandati doppi, i documenti utilizzati sono salvati una seconda volta sotto „revisione“, insieme agli eventuali appunti. I documenti di revisione sono sempre da tenere separati da quelli della contabilità.</w:t>
      </w:r>
    </w:p>
    <w:p w14:paraId="32022498"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Si rimanda per ulteriori dettagli al regolamento di collaborazione 5.11</w:t>
      </w:r>
    </w:p>
    <w:p w14:paraId="7134FFA4" w14:textId="020CCDE3" w:rsidR="000D11F0" w:rsidRPr="000D11F0" w:rsidRDefault="000D11F0" w:rsidP="00A45D38">
      <w:pPr>
        <w:spacing w:after="240" w:line="276" w:lineRule="auto"/>
        <w:rPr>
          <w:rFonts w:ascii="KievitPro-Regular" w:hAnsi="KievitPro-Regular"/>
          <w:i/>
          <w:lang w:val="it-CH"/>
        </w:rPr>
      </w:pPr>
      <w:bookmarkStart w:id="63" w:name="_Toc331510686"/>
      <w:r w:rsidRPr="000D11F0">
        <w:rPr>
          <w:rFonts w:ascii="KievitPro-Regular" w:hAnsi="KievitPro-Regular"/>
          <w:i/>
          <w:lang w:val="it-CH"/>
        </w:rPr>
        <w:t>Al</w:t>
      </w:r>
      <w:r w:rsidR="00BC7C5B">
        <w:rPr>
          <w:rFonts w:ascii="KievitPro-Regular" w:hAnsi="KievitPro-Regular"/>
          <w:i/>
          <w:lang w:val="it-CH"/>
        </w:rPr>
        <w:t>l</w:t>
      </w:r>
      <w:r w:rsidRPr="000D11F0">
        <w:rPr>
          <w:rFonts w:ascii="KievitPro-Regular" w:hAnsi="KievitPro-Regular"/>
          <w:i/>
          <w:lang w:val="it-CH"/>
        </w:rPr>
        <w:t>egato 5.11: Regolamento di collaborazione</w:t>
      </w:r>
    </w:p>
    <w:p w14:paraId="4E5D3598" w14:textId="693B8480" w:rsidR="00BC7C5B" w:rsidRDefault="00BC7C5B">
      <w:pPr>
        <w:jc w:val="left"/>
        <w:rPr>
          <w:rFonts w:ascii="KievitPro-Regular" w:hAnsi="KievitPro-Regular"/>
          <w:lang w:val="it-CH"/>
        </w:rPr>
      </w:pPr>
      <w:r>
        <w:rPr>
          <w:rFonts w:ascii="KievitPro-Regular" w:hAnsi="KievitPro-Regular"/>
          <w:lang w:val="it-CH"/>
        </w:rPr>
        <w:br w:type="page"/>
      </w:r>
    </w:p>
    <w:p w14:paraId="68DDE6ED"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64" w:name="_Toc126737266"/>
      <w:r w:rsidRPr="000E27FB">
        <w:rPr>
          <w:rFonts w:ascii="Avenir LT Std 35 Light" w:hAnsi="Avenir LT Std 35 Light"/>
          <w:smallCaps/>
          <w:snapToGrid/>
          <w:sz w:val="24"/>
          <w:szCs w:val="28"/>
          <w:lang w:val="it-CH" w:eastAsia="en-US"/>
        </w:rPr>
        <w:lastRenderedPageBreak/>
        <w:t>Riesame della qualità del mandato</w:t>
      </w:r>
      <w:bookmarkEnd w:id="64"/>
    </w:p>
    <w:p w14:paraId="23F102B8" w14:textId="77777777" w:rsidR="000D11F0" w:rsidRPr="00A45D38" w:rsidRDefault="000D11F0" w:rsidP="00A45D38">
      <w:pPr>
        <w:spacing w:before="480" w:after="240" w:line="276" w:lineRule="auto"/>
        <w:rPr>
          <w:rFonts w:ascii="KievitPro-Regular" w:hAnsi="KievitPro-Regular"/>
          <w:b/>
          <w:sz w:val="22"/>
          <w:szCs w:val="22"/>
          <w:lang w:val="it-CH"/>
        </w:rPr>
      </w:pPr>
      <w:bookmarkStart w:id="65" w:name="_Hlk10262627"/>
      <w:r w:rsidRPr="00A45D38">
        <w:rPr>
          <w:rFonts w:ascii="KievitPro-Regular" w:hAnsi="KievitPro-Regular"/>
          <w:b/>
          <w:sz w:val="22"/>
          <w:szCs w:val="22"/>
          <w:lang w:val="it-CH"/>
        </w:rPr>
        <w:t>Principio</w:t>
      </w:r>
    </w:p>
    <w:p w14:paraId="7002008B"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In alcuni casi è necessario effettuare un riesame della qualità del mandato alfine di assicurarsi che i rischi legati ad un mandato sono stati riconosciuti in modo corretto. Solo una tale rianalisi permette altresì di fare in modo che all’interno della società vengano intavolate le misure corrette. Nel caso di un riesame della qualità del mandato si procede ad una lettura dei risultati in merito ai lavori effettuati, delle conclusioni in merito al caso concreto così come del rapporto. </w:t>
      </w:r>
    </w:p>
    <w:p w14:paraId="17DBBB13"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La persona responsabile per il riesame della qualità del mandato deve disporre di sufficienti conoscenze tecniche e deve avere la dovuta esperienza e la rispettiva abilitazione. Deve inoltre avere la competenza di ordinare delle misure legate all’espletazione del mandato. Il responsabile per il riesame della qualità deve essere a disposizione del responsabile del mandato in caso sia necessario effettuare una consultazione. Allo stesso tempo egli dev’essere in grado di operare in modo obiettivo. In più, non deve avere partecipato alla revisione, né al controllo (capitolo 4) altrimenti si tratterebbe di un controllo di sé stesso.</w:t>
      </w:r>
    </w:p>
    <w:p w14:paraId="63A49500" w14:textId="77777777" w:rsidR="000D11F0" w:rsidRPr="00A45D38" w:rsidRDefault="000D11F0" w:rsidP="00A45D38">
      <w:pPr>
        <w:spacing w:before="480" w:after="240" w:line="276" w:lineRule="auto"/>
        <w:rPr>
          <w:rFonts w:ascii="KievitPro-Regular" w:hAnsi="KievitPro-Regular"/>
          <w:b/>
          <w:sz w:val="22"/>
          <w:szCs w:val="22"/>
          <w:lang w:val="it-CH"/>
        </w:rPr>
      </w:pPr>
      <w:r w:rsidRPr="00A45D38">
        <w:rPr>
          <w:rFonts w:ascii="KievitPro-Regular" w:hAnsi="KievitPro-Regular"/>
          <w:b/>
          <w:sz w:val="22"/>
          <w:szCs w:val="22"/>
          <w:lang w:val="it-CH"/>
        </w:rPr>
        <w:t>Provvedimenti</w:t>
      </w:r>
    </w:p>
    <w:p w14:paraId="3BF51DAE"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Sulla base della “</w:t>
      </w:r>
      <w:r w:rsidRPr="00A45D38">
        <w:rPr>
          <w:rFonts w:ascii="KievitPro-Regular" w:hAnsi="KievitPro-Regular"/>
          <w:i/>
          <w:sz w:val="22"/>
          <w:szCs w:val="22"/>
          <w:lang w:val="it-CH"/>
        </w:rPr>
        <w:t>Checklist in merito al riesame della qualità del mandato</w:t>
      </w:r>
      <w:r w:rsidRPr="00A45D38">
        <w:rPr>
          <w:rFonts w:ascii="KievitPro-Regular" w:hAnsi="KievitPro-Regular"/>
          <w:sz w:val="22"/>
          <w:szCs w:val="22"/>
          <w:lang w:val="it-CH"/>
        </w:rPr>
        <w:t xml:space="preserve">” viene deciso se è necessario effettuare un riesame della qualità del mandato. </w:t>
      </w:r>
    </w:p>
    <w:p w14:paraId="45807FA4"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La documentazione inerente al riesame della qualità del mandato dev’essere completa e comprensibile. Dalla documentazione dev’essere – come minimo - evinto che</w:t>
      </w:r>
    </w:p>
    <w:p w14:paraId="6DAD91D7" w14:textId="77777777" w:rsidR="000D11F0" w:rsidRPr="00A45D38" w:rsidRDefault="000D11F0" w:rsidP="00A45D38">
      <w:pPr>
        <w:pStyle w:val="Listenabsatz"/>
        <w:numPr>
          <w:ilvl w:val="0"/>
          <w:numId w:val="20"/>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sono state intraprese tutte le misure necessarie alfine di garantire un riesame della qualità del mandato;</w:t>
      </w:r>
    </w:p>
    <w:p w14:paraId="36C0C816" w14:textId="77777777" w:rsidR="000D11F0" w:rsidRPr="00A45D38" w:rsidRDefault="000D11F0" w:rsidP="00A45D38">
      <w:pPr>
        <w:pStyle w:val="Listenabsatz"/>
        <w:numPr>
          <w:ilvl w:val="0"/>
          <w:numId w:val="20"/>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 xml:space="preserve">il riesame della qualità del mandato è stato concluso; e </w:t>
      </w:r>
    </w:p>
    <w:p w14:paraId="1CC8CBE3" w14:textId="77777777" w:rsidR="000D11F0" w:rsidRPr="00A45D38" w:rsidRDefault="000D11F0" w:rsidP="00A45D38">
      <w:pPr>
        <w:pStyle w:val="Listenabsatz"/>
        <w:numPr>
          <w:ilvl w:val="0"/>
          <w:numId w:val="20"/>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 xml:space="preserve">al responsabile per il riesame della qualità non dispone d’informazioni che non gli permettono di confermare che le attività espletate dal team di revisione sono state effettuate in modo appropriato. </w:t>
      </w:r>
    </w:p>
    <w:p w14:paraId="5E427969"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Nel caso in cui l’obiettività del responsabile del riesame della qualità fosse compromessa o fosse in pericolo, la direzione nominerà un sostituto. Nel caso in cui non sia data la possibilità di nominare un responsabile nuovo, bisognerà chiedere l’intervento di un professionista esterno. </w:t>
      </w:r>
    </w:p>
    <w:p w14:paraId="3738A8F5"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Il riesame della qualità del mandato dev’essere effettuato prima della consegna del rapporto. Di base, il responsabile della garanzia della qualità deve garantire che il riesame della qualità del mandato venga effettuato. A dipendenza della situazione anche un’altra persona abilitata può svolgere questo compito, ad eccezione delle persone coinvolte nel mandato di revisione dal perito revisore. Il contenuto del riesame della qualità del mandato dipende dalla complessità del mandato e dalla domanda, se il rapporto – sulla base della situazione che si presenta - è adeguato o meno. </w:t>
      </w:r>
    </w:p>
    <w:p w14:paraId="13B6837E"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Il riesame della qualità del mandato include i seguenti compiti (vedi Standard Qualità ISQC-CH 1.37):</w:t>
      </w:r>
    </w:p>
    <w:p w14:paraId="5BDF2CFF"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Discussione di questioni significative con il revisore responsabile,</w:t>
      </w:r>
    </w:p>
    <w:p w14:paraId="1BCE23A2"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Review dei rendiconti finanziari o di altre informazioni sull'oggetto del mandato e la proposta di rapporto di revisione,</w:t>
      </w:r>
    </w:p>
    <w:p w14:paraId="4E39AE08"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lastRenderedPageBreak/>
        <w:t>Review della documentazione relativa a delle posizioni con necessità di valutazioni importanti da parte del team di revisione e alle conclusioni alle quali è arrivato il team, nonché</w:t>
      </w:r>
    </w:p>
    <w:p w14:paraId="15D63AE1" w14:textId="77777777" w:rsidR="000D11F0" w:rsidRPr="00A45D38"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A45D38">
        <w:rPr>
          <w:rFonts w:ascii="KievitPro-Regular" w:hAnsi="KievitPro-Regular"/>
          <w:sz w:val="22"/>
          <w:szCs w:val="22"/>
          <w:lang w:val="it-CH"/>
        </w:rPr>
        <w:t>Valutazione delle conclusioni tratte durante la stesura del rapporto di revisione e valutazione del testo del rapporto</w:t>
      </w:r>
    </w:p>
    <w:p w14:paraId="569D98A3" w14:textId="77777777" w:rsidR="000D11F0" w:rsidRPr="00A45D38" w:rsidRDefault="000D11F0" w:rsidP="00A45D38">
      <w:pPr>
        <w:spacing w:after="240" w:line="276" w:lineRule="auto"/>
        <w:rPr>
          <w:rFonts w:ascii="KievitPro-Regular" w:hAnsi="KievitPro-Regular"/>
          <w:sz w:val="22"/>
          <w:szCs w:val="22"/>
          <w:lang w:val="it-CH"/>
        </w:rPr>
      </w:pPr>
      <w:r w:rsidRPr="00A45D38">
        <w:rPr>
          <w:rFonts w:ascii="KievitPro-Regular" w:hAnsi="KievitPro-Regular"/>
          <w:sz w:val="22"/>
          <w:szCs w:val="22"/>
          <w:lang w:val="it-CH"/>
        </w:rPr>
        <w:t xml:space="preserve">La responsabilità del revisore responsabile rimane immutata anche nel caso del riesame della qualità del mandato. </w:t>
      </w:r>
    </w:p>
    <w:p w14:paraId="76F58951" w14:textId="77777777" w:rsidR="000D11F0" w:rsidRPr="00A45D38" w:rsidRDefault="000D11F0" w:rsidP="00A45D38">
      <w:pPr>
        <w:spacing w:after="240" w:line="276" w:lineRule="auto"/>
        <w:rPr>
          <w:rFonts w:ascii="KievitPro-Regular" w:hAnsi="KievitPro-Regular"/>
          <w:sz w:val="22"/>
          <w:szCs w:val="22"/>
          <w:lang w:val="it-CH"/>
        </w:rPr>
      </w:pPr>
    </w:p>
    <w:p w14:paraId="44A1DC0A" w14:textId="77777777" w:rsidR="000D11F0" w:rsidRPr="00A45D38" w:rsidRDefault="000D11F0" w:rsidP="00A45D38">
      <w:pPr>
        <w:spacing w:after="240" w:line="276" w:lineRule="auto"/>
        <w:rPr>
          <w:rFonts w:ascii="KievitPro-Regular" w:hAnsi="KievitPro-Regular"/>
          <w:i/>
          <w:sz w:val="22"/>
          <w:szCs w:val="22"/>
          <w:lang w:val="it-CH"/>
        </w:rPr>
      </w:pPr>
      <w:r w:rsidRPr="00A45D38">
        <w:rPr>
          <w:rFonts w:ascii="KievitPro-Regular" w:hAnsi="KievitPro-Regular"/>
          <w:i/>
          <w:sz w:val="22"/>
          <w:szCs w:val="22"/>
          <w:lang w:val="it-CH"/>
        </w:rPr>
        <w:t>Allegato 5.12: Checklist in merito al riesame della qualità del mandato</w:t>
      </w:r>
    </w:p>
    <w:bookmarkEnd w:id="65"/>
    <w:p w14:paraId="10834FF7" w14:textId="2405F8EB" w:rsidR="00BC7C5B" w:rsidRDefault="00BC7C5B">
      <w:pPr>
        <w:jc w:val="left"/>
        <w:rPr>
          <w:rFonts w:ascii="KievitPro-Regular" w:hAnsi="KievitPro-Regular"/>
          <w:lang w:val="it-CH"/>
        </w:rPr>
      </w:pPr>
      <w:r>
        <w:rPr>
          <w:rFonts w:ascii="KievitPro-Regular" w:hAnsi="KievitPro-Regular"/>
          <w:lang w:val="it-CH"/>
        </w:rPr>
        <w:br w:type="page"/>
      </w:r>
    </w:p>
    <w:p w14:paraId="37F95692"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66" w:name="_Toc126737267"/>
      <w:r w:rsidRPr="000E27FB">
        <w:rPr>
          <w:rFonts w:ascii="Avenir LT Std 35 Light" w:hAnsi="Avenir LT Std 35 Light"/>
          <w:smallCaps/>
          <w:snapToGrid/>
          <w:sz w:val="24"/>
          <w:szCs w:val="28"/>
          <w:lang w:val="it-CH" w:eastAsia="en-US"/>
        </w:rPr>
        <w:lastRenderedPageBreak/>
        <w:t>Accettazione di ulteriori mandati da parte dei clienti</w:t>
      </w:r>
      <w:bookmarkEnd w:id="66"/>
      <w:r w:rsidRPr="000E27FB">
        <w:rPr>
          <w:rFonts w:ascii="Avenir LT Std 35 Light" w:hAnsi="Avenir LT Std 35 Light"/>
          <w:smallCaps/>
          <w:snapToGrid/>
          <w:sz w:val="24"/>
          <w:szCs w:val="28"/>
          <w:lang w:val="it-CH" w:eastAsia="en-US"/>
        </w:rPr>
        <w:t xml:space="preserve"> </w:t>
      </w:r>
    </w:p>
    <w:p w14:paraId="737AFB59" w14:textId="77777777" w:rsidR="000D11F0" w:rsidRPr="00CA1829" w:rsidRDefault="000D11F0" w:rsidP="00A45D38">
      <w:pPr>
        <w:spacing w:before="480" w:after="240" w:line="276" w:lineRule="auto"/>
        <w:rPr>
          <w:rFonts w:ascii="KievitPro-Regular" w:hAnsi="KievitPro-Regular"/>
          <w:b/>
          <w:sz w:val="22"/>
          <w:szCs w:val="22"/>
          <w:lang w:val="it-CH"/>
        </w:rPr>
      </w:pPr>
      <w:r w:rsidRPr="00CA1829">
        <w:rPr>
          <w:rFonts w:ascii="KievitPro-Regular" w:hAnsi="KievitPro-Regular"/>
          <w:b/>
          <w:sz w:val="22"/>
          <w:szCs w:val="22"/>
          <w:lang w:val="it-CH"/>
        </w:rPr>
        <w:t>Principio</w:t>
      </w:r>
    </w:p>
    <w:p w14:paraId="50097D24"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Prima di accettare degli ulteriori mandati da parte dei clienti, deve essere eseguita una valutazione dei possibili rischi in relazione alle disposizioni sull’indipendenza.</w:t>
      </w:r>
    </w:p>
    <w:p w14:paraId="1712B901"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Le necessarie precauzioni devono essere individuate, documentate e implementate.</w:t>
      </w:r>
    </w:p>
    <w:p w14:paraId="4450168F"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Solo quando il revisore responsabile del mandato da l’autorizzazione, è possibile cominciare con gli ulteriori servizi richiesti dal cliente.</w:t>
      </w:r>
    </w:p>
    <w:p w14:paraId="4F7E3275" w14:textId="77777777" w:rsidR="000D11F0" w:rsidRPr="00CA1829" w:rsidRDefault="000D11F0" w:rsidP="00A45D38">
      <w:pPr>
        <w:spacing w:before="480" w:after="240" w:line="276" w:lineRule="auto"/>
        <w:rPr>
          <w:rFonts w:ascii="KievitPro-Regular" w:hAnsi="KievitPro-Regular"/>
          <w:b/>
          <w:sz w:val="22"/>
          <w:szCs w:val="22"/>
          <w:lang w:val="it-CH"/>
        </w:rPr>
      </w:pPr>
      <w:r w:rsidRPr="00CA1829">
        <w:rPr>
          <w:rFonts w:ascii="KievitPro-Regular" w:hAnsi="KievitPro-Regular"/>
          <w:b/>
          <w:sz w:val="22"/>
          <w:szCs w:val="22"/>
          <w:lang w:val="it-CH"/>
        </w:rPr>
        <w:t>Provvedimenti</w:t>
      </w:r>
    </w:p>
    <w:p w14:paraId="3762896C"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La natura e l’entità die servizi sono documentate nei documenti di lavoro.</w:t>
      </w:r>
    </w:p>
    <w:p w14:paraId="5A3EC2AF" w14:textId="77777777" w:rsidR="000D11F0" w:rsidRPr="000D11F0" w:rsidRDefault="000D11F0" w:rsidP="00A45D38">
      <w:pPr>
        <w:spacing w:after="240" w:line="276" w:lineRule="auto"/>
        <w:rPr>
          <w:rFonts w:ascii="KievitPro-Regular" w:hAnsi="KievitPro-Regular"/>
          <w:smallCaps/>
          <w:sz w:val="24"/>
          <w:szCs w:val="28"/>
          <w:lang w:val="it-CH"/>
        </w:rPr>
      </w:pPr>
    </w:p>
    <w:bookmarkEnd w:id="63"/>
    <w:p w14:paraId="34BF943C" w14:textId="77777777" w:rsidR="000D11F0" w:rsidRPr="000E27FB" w:rsidRDefault="000D11F0" w:rsidP="000E27FB">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r w:rsidRPr="000D11F0">
        <w:rPr>
          <w:rFonts w:ascii="KievitPro-Regular" w:hAnsi="KievitPro-Regular"/>
          <w:lang w:val="it-CH"/>
        </w:rPr>
        <w:br w:type="page"/>
      </w:r>
      <w:bookmarkStart w:id="67" w:name="_Toc331493578"/>
      <w:bookmarkStart w:id="68" w:name="_Toc331493994"/>
      <w:bookmarkStart w:id="69" w:name="_Toc331495026"/>
      <w:bookmarkStart w:id="70" w:name="_Toc331495818"/>
      <w:bookmarkStart w:id="71" w:name="_Toc331510687"/>
      <w:r w:rsidRPr="000E27FB">
        <w:rPr>
          <w:rFonts w:ascii="Avenir LT Std 35 Light" w:hAnsi="Avenir LT Std 35 Light"/>
          <w:smallCaps/>
          <w:snapToGrid/>
          <w:spacing w:val="5"/>
          <w:kern w:val="0"/>
          <w:sz w:val="28"/>
          <w:szCs w:val="36"/>
          <w:lang w:val="it-CH" w:eastAsia="en-US"/>
        </w:rPr>
        <w:lastRenderedPageBreak/>
        <w:t xml:space="preserve"> </w:t>
      </w:r>
      <w:bookmarkStart w:id="72" w:name="_Toc126737268"/>
      <w:bookmarkEnd w:id="67"/>
      <w:bookmarkEnd w:id="68"/>
      <w:bookmarkEnd w:id="69"/>
      <w:bookmarkEnd w:id="70"/>
      <w:bookmarkEnd w:id="71"/>
      <w:r w:rsidRPr="000E27FB">
        <w:rPr>
          <w:rFonts w:ascii="Avenir LT Std 35 Light" w:hAnsi="Avenir LT Std 35 Light"/>
          <w:smallCaps/>
          <w:snapToGrid/>
          <w:spacing w:val="5"/>
          <w:kern w:val="0"/>
          <w:sz w:val="28"/>
          <w:szCs w:val="36"/>
          <w:lang w:val="it-CH" w:eastAsia="en-US"/>
        </w:rPr>
        <w:t>Controllo e documentazione del sistema di assicurazione della qualità</w:t>
      </w:r>
      <w:bookmarkEnd w:id="72"/>
      <w:r w:rsidRPr="000E27FB">
        <w:rPr>
          <w:rFonts w:ascii="Avenir LT Std 35 Light" w:hAnsi="Avenir LT Std 35 Light"/>
          <w:smallCaps/>
          <w:snapToGrid/>
          <w:spacing w:val="5"/>
          <w:kern w:val="0"/>
          <w:sz w:val="28"/>
          <w:szCs w:val="36"/>
          <w:lang w:val="it-CH" w:eastAsia="en-US"/>
        </w:rPr>
        <w:t xml:space="preserve"> </w:t>
      </w:r>
    </w:p>
    <w:p w14:paraId="34A68169"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73" w:name="_Toc126737269"/>
      <w:r w:rsidRPr="000E27FB">
        <w:rPr>
          <w:rFonts w:ascii="Avenir LT Std 35 Light" w:hAnsi="Avenir LT Std 35 Light"/>
          <w:smallCaps/>
          <w:snapToGrid/>
          <w:sz w:val="24"/>
          <w:szCs w:val="28"/>
          <w:lang w:val="it-CH" w:eastAsia="en-US"/>
        </w:rPr>
        <w:t>Controllo</w:t>
      </w:r>
      <w:bookmarkEnd w:id="73"/>
      <w:r w:rsidRPr="000E27FB">
        <w:rPr>
          <w:rFonts w:ascii="Avenir LT Std 35 Light" w:hAnsi="Avenir LT Std 35 Light"/>
          <w:smallCaps/>
          <w:snapToGrid/>
          <w:sz w:val="24"/>
          <w:szCs w:val="28"/>
          <w:lang w:val="it-CH" w:eastAsia="en-US"/>
        </w:rPr>
        <w:t xml:space="preserve"> </w:t>
      </w:r>
    </w:p>
    <w:p w14:paraId="72BF7B26" w14:textId="77777777" w:rsidR="000D11F0" w:rsidRPr="00CA1829" w:rsidRDefault="000D11F0" w:rsidP="00A45D38">
      <w:pPr>
        <w:spacing w:after="240" w:line="276" w:lineRule="auto"/>
        <w:rPr>
          <w:rFonts w:ascii="KievitPro-Regular" w:hAnsi="KievitPro-Regular"/>
          <w:b/>
          <w:sz w:val="22"/>
          <w:szCs w:val="22"/>
          <w:lang w:val="it-CH"/>
        </w:rPr>
      </w:pPr>
      <w:r w:rsidRPr="00CA1829">
        <w:rPr>
          <w:rFonts w:ascii="KievitPro-Regular" w:hAnsi="KievitPro-Regular"/>
          <w:b/>
          <w:sz w:val="22"/>
          <w:szCs w:val="22"/>
          <w:lang w:val="it-CH"/>
        </w:rPr>
        <w:t>Principio</w:t>
      </w:r>
    </w:p>
    <w:p w14:paraId="36E45120" w14:textId="77777777" w:rsidR="000D11F0" w:rsidRPr="00CA1829" w:rsidRDefault="000D11F0" w:rsidP="00A45D38">
      <w:pPr>
        <w:spacing w:after="240" w:line="276" w:lineRule="auto"/>
        <w:rPr>
          <w:rFonts w:ascii="KievitPro-Regular" w:hAnsi="KievitPro-Regular"/>
          <w:sz w:val="22"/>
          <w:szCs w:val="22"/>
          <w:lang w:val="it-CH"/>
        </w:rPr>
      </w:pPr>
      <w:bookmarkStart w:id="74" w:name="_Hlk10265268"/>
      <w:r w:rsidRPr="00CA1829">
        <w:rPr>
          <w:rFonts w:ascii="KievitPro-Regular" w:hAnsi="KievitPro-Regular"/>
          <w:sz w:val="22"/>
          <w:szCs w:val="22"/>
          <w:lang w:val="it-CH"/>
        </w:rPr>
        <w:t xml:space="preserve">Il sistema di assicurazione della qualità è costantemente controllato. </w:t>
      </w:r>
      <w:bookmarkEnd w:id="74"/>
      <w:r w:rsidRPr="00CA1829">
        <w:rPr>
          <w:rFonts w:ascii="KievitPro-Regular" w:hAnsi="KievitPro-Regular"/>
          <w:sz w:val="22"/>
          <w:szCs w:val="22"/>
          <w:lang w:val="it-CH"/>
        </w:rPr>
        <w:t>Questo serve a fare in modo che gli Standard professionali, così come anche i requisiti legali o di altro tipo siano soddisfatti. Inoltre, vengono verificate anche l’attinenza, l’adeguatezza e l’efficacia del sistema. Questo procedimento, che serve a controllare le proprie garanzie di qualità, viene definito controllo.</w:t>
      </w:r>
    </w:p>
    <w:p w14:paraId="7008F6E3" w14:textId="77777777" w:rsidR="000D11F0" w:rsidRPr="00CA1829" w:rsidRDefault="000D11F0" w:rsidP="00A45D38">
      <w:pPr>
        <w:spacing w:after="240" w:line="276" w:lineRule="auto"/>
        <w:rPr>
          <w:rFonts w:ascii="KievitPro-Regular" w:hAnsi="KievitPro-Regular"/>
          <w:sz w:val="22"/>
          <w:szCs w:val="22"/>
          <w:lang w:val="it-CH"/>
        </w:rPr>
      </w:pPr>
      <w:bookmarkStart w:id="75" w:name="_Hlk66103600"/>
      <w:r w:rsidRPr="00CA1829">
        <w:rPr>
          <w:rFonts w:ascii="KievitPro-Regular" w:hAnsi="KievitPro-Regular"/>
          <w:sz w:val="22"/>
          <w:szCs w:val="22"/>
          <w:lang w:val="it-CH"/>
        </w:rPr>
        <w:t xml:space="preserve">Il controllo interno dato in outsourcing (OSIN) deve essere svolto regolarmente (almeno una volta all’anno) da parte di un reviewer esterno qualificato e con la dovuta abilitazione. Il controllo interno annuale comprende la verifica del sistema di garanzia della qualità a livello aziendale (Firm Review) e a livello di mandato (File Review). </w:t>
      </w:r>
      <w:bookmarkEnd w:id="75"/>
      <w:r w:rsidRPr="00CA1829">
        <w:rPr>
          <w:rFonts w:ascii="KievitPro-Regular" w:hAnsi="KievitPro-Regular"/>
          <w:sz w:val="22"/>
          <w:szCs w:val="22"/>
          <w:lang w:val="it-CH"/>
        </w:rPr>
        <w:t>Il controllo a livello di mandato comprende almeno un mandato di revisione (</w:t>
      </w:r>
      <w:r w:rsidRPr="00CA1829">
        <w:rPr>
          <w:rFonts w:ascii="KievitPro-Regular" w:hAnsi="KievitPro-Regular"/>
          <w:sz w:val="22"/>
          <w:szCs w:val="22"/>
          <w:highlight w:val="red"/>
          <w:lang w:val="it-CH"/>
        </w:rPr>
        <w:t>revisione ordinaria,</w:t>
      </w:r>
      <w:r w:rsidRPr="00CA1829">
        <w:rPr>
          <w:rFonts w:ascii="KievitPro-Regular" w:hAnsi="KievitPro-Regular"/>
          <w:sz w:val="22"/>
          <w:szCs w:val="22"/>
          <w:lang w:val="it-CH"/>
        </w:rPr>
        <w:t xml:space="preserve"> revisione limitata, altre verifiche) per ogni revisore responsabile. Se diversi revisori responsabili sono attivi nella società di revisione, il responsabile della qualità deve assicurarsi che ogni revisore responsabile venga considerato nel processo di verifica al più tardi ogni 3 anni</w:t>
      </w:r>
      <w:r w:rsidRPr="00CA1829">
        <w:rPr>
          <w:rStyle w:val="Funotenzeichen"/>
          <w:rFonts w:ascii="KievitPro-Regular" w:hAnsi="KievitPro-Regular"/>
          <w:sz w:val="22"/>
          <w:szCs w:val="22"/>
          <w:lang w:val="it-CH"/>
        </w:rPr>
        <w:footnoteReference w:id="9"/>
      </w:r>
      <w:r w:rsidRPr="00CA1829">
        <w:rPr>
          <w:rFonts w:ascii="KievitPro-Regular" w:hAnsi="KievitPro-Regular"/>
          <w:sz w:val="22"/>
          <w:szCs w:val="22"/>
          <w:lang w:val="it-CH"/>
        </w:rPr>
        <w:t>. .Il processo di controllo interno prevede che alcuni mandati vengano scelti senza avvisare anticipatamente il team di revisione.</w:t>
      </w:r>
    </w:p>
    <w:p w14:paraId="22F4607F"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La scelta viene fatta considerando:</w:t>
      </w:r>
    </w:p>
    <w:p w14:paraId="1426AFB2" w14:textId="77777777" w:rsidR="000D11F0" w:rsidRPr="00CA1829" w:rsidRDefault="000D11F0" w:rsidP="00A45D38">
      <w:pPr>
        <w:pStyle w:val="Listenabsatz"/>
        <w:numPr>
          <w:ilvl w:val="0"/>
          <w:numId w:val="22"/>
        </w:numPr>
        <w:spacing w:after="240" w:line="276" w:lineRule="auto"/>
        <w:contextualSpacing/>
        <w:jc w:val="left"/>
        <w:rPr>
          <w:rFonts w:ascii="KievitPro-Regular" w:hAnsi="KievitPro-Regular"/>
          <w:sz w:val="22"/>
          <w:szCs w:val="22"/>
          <w:lang w:val="it-CH"/>
        </w:rPr>
      </w:pPr>
      <w:r w:rsidRPr="00CA1829">
        <w:rPr>
          <w:rFonts w:ascii="KievitPro-Regular" w:hAnsi="KievitPro-Regular"/>
          <w:sz w:val="22"/>
          <w:szCs w:val="22"/>
          <w:highlight w:val="red"/>
          <w:lang w:val="it-CH"/>
        </w:rPr>
        <w:t>Revisione ordinaria piuttosto che</w:t>
      </w:r>
      <w:r w:rsidRPr="00CA1829">
        <w:rPr>
          <w:rFonts w:ascii="KievitPro-Regular" w:hAnsi="KievitPro-Regular"/>
          <w:sz w:val="22"/>
          <w:szCs w:val="22"/>
          <w:lang w:val="it-CH"/>
        </w:rPr>
        <w:t xml:space="preserve"> revisione limitata piuttosto che altre verifiche.</w:t>
      </w:r>
    </w:p>
    <w:p w14:paraId="2B2F050D" w14:textId="77777777" w:rsidR="000D11F0" w:rsidRPr="00CA1829" w:rsidRDefault="000D11F0" w:rsidP="00A45D38">
      <w:pPr>
        <w:pStyle w:val="Listenabsatz"/>
        <w:numPr>
          <w:ilvl w:val="0"/>
          <w:numId w:val="22"/>
        </w:numPr>
        <w:spacing w:after="240" w:line="276" w:lineRule="auto"/>
        <w:contextualSpacing/>
        <w:jc w:val="left"/>
        <w:rPr>
          <w:rFonts w:ascii="KievitPro-Regular" w:hAnsi="KievitPro-Regular"/>
          <w:sz w:val="22"/>
          <w:szCs w:val="22"/>
          <w:lang w:val="it-CH"/>
        </w:rPr>
      </w:pPr>
      <w:r w:rsidRPr="00CA1829">
        <w:rPr>
          <w:rFonts w:ascii="KievitPro-Regular" w:hAnsi="KievitPro-Regular"/>
          <w:sz w:val="22"/>
          <w:szCs w:val="22"/>
          <w:lang w:val="it-CH"/>
        </w:rPr>
        <w:t>Mandati a rischio piuttosto che mandati senza rischi particolari</w:t>
      </w:r>
    </w:p>
    <w:p w14:paraId="45E17ED7" w14:textId="25609B76"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Tutto ciò che viene constatato durante il controllo viene registrato almeno una volta all’anno nel rapporto di revisione e gli errori e le lacune identificati sono dettagliatamente documentati. Oltre a ciò, il controllo contiene anche consigli e suggerimenti per il miglioramento del sistema, in particolare quando vengono individuate delle debolezze oppure in caso di cambiamenti o aggiornamenti degli standard professionali o della prassi.</w:t>
      </w:r>
    </w:p>
    <w:p w14:paraId="0638C3EE" w14:textId="134F89E8" w:rsidR="00BC7C5B" w:rsidRDefault="00BC7C5B">
      <w:pPr>
        <w:jc w:val="left"/>
        <w:rPr>
          <w:rFonts w:ascii="KievitPro-Regular" w:hAnsi="KievitPro-Regular"/>
          <w:lang w:val="it-CH"/>
        </w:rPr>
      </w:pPr>
      <w:r>
        <w:rPr>
          <w:rFonts w:ascii="KievitPro-Regular" w:hAnsi="KievitPro-Regular"/>
          <w:lang w:val="it-CH"/>
        </w:rPr>
        <w:br w:type="page"/>
      </w:r>
    </w:p>
    <w:p w14:paraId="76CBE401"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lastRenderedPageBreak/>
        <w:t>La persona che effettua il controllo interno deve soddisfare almeno le esigenze seguenti:</w:t>
      </w:r>
      <w:bookmarkStart w:id="76" w:name="_Hlk7388700"/>
    </w:p>
    <w:p w14:paraId="06F6FBC5" w14:textId="77777777" w:rsidR="000D11F0" w:rsidRPr="00CA1829"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CA1829">
        <w:rPr>
          <w:rFonts w:ascii="KievitPro-Regular" w:hAnsi="KievitPro-Regular"/>
          <w:sz w:val="22"/>
          <w:szCs w:val="22"/>
          <w:lang w:val="it-CH"/>
        </w:rPr>
        <w:t>non avere partecipato ai lavori di revisione o al riesame della qualità del mandato</w:t>
      </w:r>
    </w:p>
    <w:p w14:paraId="4C255C5A" w14:textId="117B36A1" w:rsidR="000D11F0" w:rsidRPr="00CA1829"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CA1829">
        <w:rPr>
          <w:rFonts w:ascii="KievitPro-Regular" w:hAnsi="KievitPro-Regular"/>
          <w:sz w:val="22"/>
          <w:szCs w:val="22"/>
          <w:lang w:val="it-CH"/>
        </w:rPr>
        <w:t>avere almeno ricevuto l’abilitazione di revisore</w:t>
      </w:r>
      <w:r w:rsidR="00BC7C5B" w:rsidRPr="00CA1829">
        <w:rPr>
          <w:rStyle w:val="Funotenzeichen"/>
          <w:rFonts w:ascii="KievitPro-Regular" w:hAnsi="KievitPro-Regular"/>
          <w:sz w:val="22"/>
          <w:szCs w:val="22"/>
          <w:lang w:val="it-CH"/>
        </w:rPr>
        <w:footnoteReference w:id="10"/>
      </w:r>
      <w:r w:rsidRPr="00CA1829">
        <w:rPr>
          <w:rFonts w:ascii="KievitPro-Regular" w:hAnsi="KievitPro-Regular"/>
          <w:sz w:val="22"/>
          <w:szCs w:val="22"/>
          <w:lang w:val="it-CH"/>
        </w:rPr>
        <w:t xml:space="preserve">      </w:t>
      </w:r>
      <w:r w:rsidRPr="00CA1829">
        <w:rPr>
          <w:rFonts w:ascii="KievitPro-Regular" w:hAnsi="KievitPro-Regular"/>
          <w:color w:val="FFFFFF" w:themeColor="background1"/>
          <w:sz w:val="22"/>
          <w:szCs w:val="22"/>
          <w:lang w:val="it-CH"/>
        </w:rPr>
        <w:footnoteReference w:id="11"/>
      </w:r>
    </w:p>
    <w:p w14:paraId="5054D3D8" w14:textId="77777777" w:rsidR="000D11F0" w:rsidRPr="00CA1829" w:rsidRDefault="000D11F0" w:rsidP="00A45D38">
      <w:pPr>
        <w:pStyle w:val="Listenabsatz"/>
        <w:numPr>
          <w:ilvl w:val="0"/>
          <w:numId w:val="21"/>
        </w:numPr>
        <w:spacing w:after="240" w:line="276" w:lineRule="auto"/>
        <w:contextualSpacing/>
        <w:rPr>
          <w:rFonts w:ascii="KievitPro-Regular" w:hAnsi="KievitPro-Regular"/>
          <w:sz w:val="22"/>
          <w:szCs w:val="22"/>
          <w:lang w:val="it-CH"/>
        </w:rPr>
      </w:pPr>
      <w:r w:rsidRPr="00CA1829">
        <w:rPr>
          <w:rFonts w:ascii="KievitPro-Regular" w:hAnsi="KievitPro-Regular"/>
          <w:sz w:val="22"/>
          <w:szCs w:val="22"/>
          <w:lang w:val="it-CH"/>
        </w:rPr>
        <w:t>avere l’esperienza (anzianità) e le competenze necessarie</w:t>
      </w:r>
      <w:bookmarkEnd w:id="76"/>
    </w:p>
    <w:p w14:paraId="4EC0FC2F"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A seconda della grandezza della società di revisione, può rendersi utile un accordo di condivisione delle risorse con altre organizzazioni adatte, al fine di facilitare il riesame. </w:t>
      </w:r>
    </w:p>
    <w:p w14:paraId="5C976F1D" w14:textId="77777777" w:rsidR="000D11F0" w:rsidRPr="00CA1829" w:rsidRDefault="000D11F0" w:rsidP="00A45D38">
      <w:pPr>
        <w:spacing w:after="240" w:line="276" w:lineRule="auto"/>
        <w:rPr>
          <w:rFonts w:ascii="KievitPro-Regular" w:hAnsi="KievitPro-Regular"/>
          <w:b/>
          <w:sz w:val="22"/>
          <w:szCs w:val="22"/>
          <w:lang w:val="it-CH"/>
        </w:rPr>
      </w:pPr>
      <w:r w:rsidRPr="00CA1829">
        <w:rPr>
          <w:rFonts w:ascii="KievitPro-Regular" w:hAnsi="KievitPro-Regular"/>
          <w:b/>
          <w:sz w:val="22"/>
          <w:szCs w:val="22"/>
          <w:lang w:val="it-CH"/>
        </w:rPr>
        <w:t>Provvedimenti</w:t>
      </w:r>
    </w:p>
    <w:p w14:paraId="388E95C9"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Il responsabile per il sistema di assicurazione della qualità è il relativo responsabile del dipartimento. La sua identità è conosciuta a tutti i collaboratori e ai superiori. </w:t>
      </w:r>
    </w:p>
    <w:p w14:paraId="51150939"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Il responsabile del sistema di assicurazione della qualità è responsabile affinché il sistema di assicurazione della qualità sia costantemente valutato, in particolare si assicura che:   </w:t>
      </w:r>
    </w:p>
    <w:p w14:paraId="2F0FBB4E"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La documentazione necessaria sia disponibile (Rilascio di modelli);</w:t>
      </w:r>
    </w:p>
    <w:p w14:paraId="099172E2"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 xml:space="preserve">I collaboratori siano informati riguardo il sistema di SQ. </w:t>
      </w:r>
    </w:p>
    <w:p w14:paraId="2BF10FE2"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Siano analizzati i nuovi sviluppi nell’ambito degli standard professionali, dei requisiti legali e di altre disposizioni legali e – dove necessario – che questi siano incorporati nei regolamenti e nei provvedimenti della società di revisione;</w:t>
      </w:r>
    </w:p>
    <w:p w14:paraId="59FB2B64"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Siano analizzate le conferme scritte al fine di accertarsi che i regolamenti e i provvedimenti in relazione alle disposizioni sull’indipendenza siano rispettati;</w:t>
      </w:r>
    </w:p>
    <w:p w14:paraId="13BC7073"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 effettuata una verifica delle decisioni circa l’accettazione e la continuazione dei mandati.</w:t>
      </w:r>
    </w:p>
    <w:p w14:paraId="3F32AC71"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 controllato il rispetto delle varie disposizioni (p.es. in relazione alla formazione continua e gli aggiornamenti);</w:t>
      </w:r>
    </w:p>
    <w:p w14:paraId="160E3B87"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 xml:space="preserve">Siano elaborate le necessarie misure di correzione e constatate le possibilità di miglioramento del sistema SQ. </w:t>
      </w:r>
    </w:p>
    <w:p w14:paraId="3B0E60AB" w14:textId="77777777" w:rsidR="000D11F0" w:rsidRPr="00CA1829" w:rsidRDefault="000D11F0" w:rsidP="00A45D38">
      <w:pPr>
        <w:numPr>
          <w:ilvl w:val="0"/>
          <w:numId w:val="23"/>
        </w:numPr>
        <w:spacing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Siano comunicate al personale specializzato della società di revisione le debolezze o le lacune constatate del sistema.;</w:t>
      </w:r>
    </w:p>
    <w:p w14:paraId="319F438F" w14:textId="77777777" w:rsidR="000D11F0" w:rsidRPr="00CA1829" w:rsidRDefault="000D11F0" w:rsidP="00A45D38">
      <w:pPr>
        <w:numPr>
          <w:ilvl w:val="0"/>
          <w:numId w:val="23"/>
        </w:numPr>
        <w:spacing w:after="240" w:line="276" w:lineRule="auto"/>
        <w:ind w:left="426" w:hanging="426"/>
        <w:jc w:val="left"/>
        <w:rPr>
          <w:rFonts w:ascii="KievitPro-Regular" w:hAnsi="KievitPro-Regular"/>
          <w:sz w:val="22"/>
          <w:szCs w:val="22"/>
          <w:lang w:val="it-CH"/>
        </w:rPr>
      </w:pPr>
      <w:r w:rsidRPr="00CA1829">
        <w:rPr>
          <w:rFonts w:ascii="KievitPro-Regular" w:hAnsi="KievitPro-Regular"/>
          <w:sz w:val="22"/>
          <w:szCs w:val="22"/>
          <w:lang w:val="it-CH"/>
        </w:rPr>
        <w:t>Si discuta nel dettaglio con i collaboratori specializzati, così che le necessarie modifiche ai regolamenti e ai provvedimenti di assicurazione della qualità possano essere applicate subito.</w:t>
      </w:r>
    </w:p>
    <w:p w14:paraId="11A91FB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Nel caso in cui fossero constatate delle lacune nel sistema SQ durante il controllo annuale dello stesso (sia a livello aziendale (Firm Review) che a livello di mandato (File Review) occorre valutare se si tratta di casi sporadici o di lacune o errori sistematici e/o rilevanti, e che necessitano quindi subito di misure di correzione. La società deve comunicare in un rapporto le lacune rilevate durante il controllo, così come anche eventuali consigli di miglioramento e misure di rimedio ai rispettivi responsabili di mandato e al resto del personale specializzato. La comunicazione trasparente dei risultati del controllo interno del sistema di qualità serve a migliorare la qualità delle revisioni.</w:t>
      </w:r>
    </w:p>
    <w:p w14:paraId="203280C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lastRenderedPageBreak/>
        <w:t xml:space="preserve">Nel caso in cui fossero riscontrate delle inadempienze che potrebbero avere delle conseguenze per la società (p. es. Inadempienza dei requisiti di indipendenza o di idoneità), occorre subito comunicarle alla direzione, la quale provvede a prendere le dovute misure. </w:t>
      </w:r>
    </w:p>
    <w:p w14:paraId="4C832F34"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Al più tardi durante il colloquio finale con il cliente, il revisore responsabile del mandato deve informarsi riguardo alla soddisfazione del cliente. Ogni dichiarazione del cliente, che potrebbe avere delle conseguenze sul futuro del mandato, risp. del cliente in questione, sono da comunicare immediatamente alla direzione.  </w:t>
      </w:r>
    </w:p>
    <w:p w14:paraId="5FB6C0B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La direzione, in collaborazione con il responsabile del dipartimento revisione, eseguono regolarmente (almeno una volta all’anno) i seguenti lavori: </w:t>
      </w:r>
    </w:p>
    <w:p w14:paraId="010C4317"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Rielaborazione dell’analisi del rischio;</w:t>
      </w:r>
    </w:p>
    <w:p w14:paraId="4E768094"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Decisione di accettazione/ continuazione del mandato (revisore responsabile del mandato, risp. del responsabile del dipartimento revisione);</w:t>
      </w:r>
    </w:p>
    <w:p w14:paraId="332F8296"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Aggiornamento del registro dei mandati incl. mandati con rischi elevati (in continuo, responsabile del dipartimento revisione);</w:t>
      </w:r>
    </w:p>
    <w:p w14:paraId="40B18B1C"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Pianificazione dei lavori e dell’impiego dei collaboratori (revisori responsabili, assistenti);</w:t>
      </w:r>
    </w:p>
    <w:p w14:paraId="76328A1C" w14:textId="77777777" w:rsidR="000D11F0" w:rsidRPr="00CA1829" w:rsidRDefault="000D11F0" w:rsidP="00A45D38">
      <w:pPr>
        <w:numPr>
          <w:ilvl w:val="0"/>
          <w:numId w:val="24"/>
        </w:numPr>
        <w:spacing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Comunicazione dei risultati della sorveglianza del sistema di SQ al personale specializzato e alle altre persone competenti all’interno della società.</w:t>
      </w:r>
    </w:p>
    <w:p w14:paraId="0BE94551" w14:textId="77777777" w:rsidR="000D11F0" w:rsidRPr="00CA1829" w:rsidRDefault="000D11F0" w:rsidP="00A45D38">
      <w:pPr>
        <w:numPr>
          <w:ilvl w:val="0"/>
          <w:numId w:val="24"/>
        </w:numPr>
        <w:spacing w:after="240" w:line="276" w:lineRule="auto"/>
        <w:ind w:hanging="567"/>
        <w:jc w:val="left"/>
        <w:rPr>
          <w:rFonts w:ascii="KievitPro-Regular" w:hAnsi="KievitPro-Regular"/>
          <w:sz w:val="22"/>
          <w:szCs w:val="22"/>
          <w:lang w:val="it-CH"/>
        </w:rPr>
      </w:pPr>
      <w:r w:rsidRPr="00CA1829">
        <w:rPr>
          <w:rFonts w:ascii="KievitPro-Regular" w:hAnsi="KievitPro-Regular"/>
          <w:sz w:val="22"/>
          <w:szCs w:val="22"/>
          <w:lang w:val="it-CH"/>
        </w:rPr>
        <w:t xml:space="preserve">Decisione riguardo provvedimenti/miglioramenti nell’ambito del sistema SQ </w:t>
      </w:r>
    </w:p>
    <w:p w14:paraId="0F14F2B2"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I risultati delle verifiche di sopra sono da riassumere e inserire in un rapporto di controllo che deve essere consegnato ai responsabili. Tra questi ultimi si contano il revisore responsabile di mandato, il CdA e la direzione. Nel rapporto deve essere spiegato cosa è stato verificato, cosa è stato constatato e quali misure sono consigliate.   </w:t>
      </w:r>
    </w:p>
    <w:p w14:paraId="31AF47F8" w14:textId="77777777" w:rsidR="000D11F0" w:rsidRPr="00CA1829" w:rsidRDefault="000D11F0" w:rsidP="00A45D38">
      <w:pPr>
        <w:spacing w:after="240" w:line="276" w:lineRule="auto"/>
        <w:rPr>
          <w:rFonts w:ascii="KievitPro-Regular" w:hAnsi="KievitPro-Regular"/>
          <w:sz w:val="22"/>
          <w:szCs w:val="22"/>
          <w:lang w:val="it-CH"/>
        </w:rPr>
      </w:pPr>
      <w:r w:rsidRPr="00CA1829">
        <w:rPr>
          <w:rFonts w:ascii="KievitPro-Regular" w:hAnsi="KievitPro-Regular"/>
          <w:sz w:val="22"/>
          <w:szCs w:val="22"/>
          <w:lang w:val="it-CH"/>
        </w:rPr>
        <w:t xml:space="preserve">Nel caso in cui una società faccia parte di un gruppo, e abbia implementato alcuni processi di sorveglianza del sistema SQ sulla base della corporate identity, occorre definire delle misure e dei regolamenti che permettano al gruppo almeno una volta all’anno di comunicare alle rispettive persone competenti delle società affigliate la natura, l’estensione e i risultati del processo di sorveglianza, così come anche le lacune che sono state constatate nel sistema di SQ, così che le necessarie misure possano essere prese. </w:t>
      </w:r>
    </w:p>
    <w:p w14:paraId="2C68BC80" w14:textId="2261F0D8" w:rsidR="00BC7C5B" w:rsidRDefault="00BC7C5B">
      <w:pPr>
        <w:jc w:val="left"/>
        <w:rPr>
          <w:rFonts w:ascii="KievitPro-Regular" w:hAnsi="KievitPro-Regular"/>
          <w:lang w:val="it-CH"/>
        </w:rPr>
      </w:pPr>
      <w:r>
        <w:rPr>
          <w:rFonts w:ascii="KievitPro-Regular" w:hAnsi="KievitPro-Regular"/>
          <w:lang w:val="it-CH"/>
        </w:rPr>
        <w:br w:type="page"/>
      </w:r>
    </w:p>
    <w:p w14:paraId="4914584F" w14:textId="77777777" w:rsidR="000D11F0" w:rsidRPr="000E27FB" w:rsidRDefault="000D11F0" w:rsidP="000E27FB">
      <w:pPr>
        <w:pStyle w:val="berschrift2"/>
        <w:keepNext w:val="0"/>
        <w:numPr>
          <w:ilvl w:val="1"/>
          <w:numId w:val="17"/>
        </w:numPr>
        <w:spacing w:before="200" w:after="240" w:line="268" w:lineRule="auto"/>
        <w:ind w:left="426" w:hanging="426"/>
        <w:jc w:val="left"/>
        <w:rPr>
          <w:rFonts w:ascii="Avenir LT Std 35 Light" w:hAnsi="Avenir LT Std 35 Light"/>
          <w:smallCaps/>
          <w:snapToGrid/>
          <w:sz w:val="24"/>
          <w:szCs w:val="28"/>
          <w:lang w:val="it-CH" w:eastAsia="en-US"/>
        </w:rPr>
      </w:pPr>
      <w:bookmarkStart w:id="77" w:name="gototop"/>
      <w:bookmarkStart w:id="78" w:name="Transactions"/>
      <w:bookmarkStart w:id="79" w:name="_Toc126737270"/>
      <w:bookmarkEnd w:id="77"/>
      <w:bookmarkEnd w:id="78"/>
      <w:r w:rsidRPr="000E27FB">
        <w:rPr>
          <w:rFonts w:ascii="Avenir LT Std 35 Light" w:hAnsi="Avenir LT Std 35 Light"/>
          <w:smallCaps/>
          <w:snapToGrid/>
          <w:sz w:val="24"/>
          <w:szCs w:val="28"/>
          <w:lang w:val="it-CH" w:eastAsia="en-US"/>
        </w:rPr>
        <w:lastRenderedPageBreak/>
        <w:t>Documentazione del sistema di assicurazione della qualità</w:t>
      </w:r>
      <w:bookmarkEnd w:id="79"/>
      <w:r w:rsidRPr="000E27FB">
        <w:rPr>
          <w:rFonts w:ascii="Avenir LT Std 35 Light" w:hAnsi="Avenir LT Std 35 Light"/>
          <w:smallCaps/>
          <w:snapToGrid/>
          <w:sz w:val="24"/>
          <w:szCs w:val="28"/>
          <w:lang w:val="it-CH" w:eastAsia="en-US"/>
        </w:rPr>
        <w:t xml:space="preserve"> </w:t>
      </w:r>
    </w:p>
    <w:p w14:paraId="2C8CB86D" w14:textId="77777777" w:rsidR="000D11F0" w:rsidRPr="00ED4133" w:rsidRDefault="000D11F0" w:rsidP="00A45D38">
      <w:pPr>
        <w:spacing w:before="480" w:after="240" w:line="276" w:lineRule="auto"/>
        <w:rPr>
          <w:rFonts w:ascii="KievitPro-Regular" w:hAnsi="KievitPro-Regular"/>
          <w:b/>
          <w:sz w:val="22"/>
          <w:szCs w:val="22"/>
          <w:lang w:val="it-CH"/>
        </w:rPr>
      </w:pPr>
      <w:r w:rsidRPr="00ED4133">
        <w:rPr>
          <w:rFonts w:ascii="KievitPro-Regular" w:hAnsi="KievitPro-Regular"/>
          <w:b/>
          <w:sz w:val="22"/>
          <w:szCs w:val="22"/>
          <w:lang w:val="it-CH"/>
        </w:rPr>
        <w:t>Principio</w:t>
      </w:r>
    </w:p>
    <w:p w14:paraId="2D8BEC64"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Il sistema di assicurazione della qualità è documentato adeguatamente. La forma e il contenuto della documentazione dipendono dal libero apprezzamento, il quale deve tenere conto della grandezza della società, del numero di sedi, della natura e del grado di complessità delle attività aziendali.</w:t>
      </w:r>
    </w:p>
    <w:p w14:paraId="6BF8740B" w14:textId="77777777" w:rsidR="000D11F0" w:rsidRPr="00ED4133" w:rsidRDefault="000D11F0" w:rsidP="00A45D38">
      <w:pPr>
        <w:spacing w:before="480" w:after="240" w:line="276" w:lineRule="auto"/>
        <w:rPr>
          <w:rFonts w:ascii="KievitPro-Regular" w:hAnsi="KievitPro-Regular"/>
          <w:b/>
          <w:sz w:val="22"/>
          <w:szCs w:val="22"/>
          <w:lang w:val="it-CH"/>
        </w:rPr>
      </w:pPr>
      <w:r w:rsidRPr="00ED4133">
        <w:rPr>
          <w:rFonts w:ascii="KievitPro-Regular" w:hAnsi="KievitPro-Regular"/>
          <w:b/>
          <w:sz w:val="22"/>
          <w:szCs w:val="22"/>
          <w:lang w:val="it-CH"/>
        </w:rPr>
        <w:t>Provvedimenti</w:t>
      </w:r>
    </w:p>
    <w:p w14:paraId="3588C148"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Sono in vigore delle regole e delle misure che richiedono una documentazione adeguata al fine di garantire che ogni elemento del sistema di assicurazione della qualità all’interno della società sia funzionante.</w:t>
      </w:r>
    </w:p>
    <w:p w14:paraId="5A6BC796"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 xml:space="preserve">In aggiunta, sono in vigore anche delle regole e delle misure che regolano i termini di custodia della documentazione, compresa la documentazione di ricorsi, critiche e delle reazioni a queste ultime.  </w:t>
      </w:r>
    </w:p>
    <w:p w14:paraId="73D4BCED" w14:textId="77777777" w:rsidR="000D11F0" w:rsidRPr="00ED4133" w:rsidRDefault="000D11F0" w:rsidP="00A45D38">
      <w:pPr>
        <w:spacing w:after="240" w:line="276" w:lineRule="auto"/>
        <w:rPr>
          <w:rFonts w:ascii="KievitPro-Regular" w:hAnsi="KievitPro-Regular"/>
          <w:sz w:val="22"/>
          <w:szCs w:val="22"/>
          <w:lang w:val="it-CH"/>
        </w:rPr>
      </w:pPr>
      <w:r w:rsidRPr="00ED4133">
        <w:rPr>
          <w:rFonts w:ascii="KievitPro-Regular" w:hAnsi="KievitPro-Regular"/>
          <w:sz w:val="22"/>
          <w:szCs w:val="22"/>
          <w:lang w:val="it-CH"/>
        </w:rPr>
        <w:t xml:space="preserve">Come prova del funzionamento del sistema di assicurazione della qualità, occorre custodire i necessari documenti per un periodo di tempo sufficiente. Per esempio, devono essere custoditi i documenti del procedimento di controllo come anche i documenti della sicurezza e qualità che va a supporto dei lavori di revisione. Sono anche da documentare le critiche e i ricorsi contro la società di revisione. </w:t>
      </w:r>
    </w:p>
    <w:p w14:paraId="4360BE78" w14:textId="7028AC91" w:rsidR="00BC7C5B" w:rsidRDefault="00BC7C5B">
      <w:pPr>
        <w:jc w:val="left"/>
        <w:rPr>
          <w:rFonts w:ascii="KievitPro-Regular" w:hAnsi="KievitPro-Regular" w:cs="Arial"/>
          <w:b/>
          <w:lang w:val="it-CH"/>
        </w:rPr>
      </w:pPr>
      <w:r>
        <w:rPr>
          <w:rFonts w:ascii="KievitPro-Regular" w:hAnsi="KievitPro-Regular" w:cs="Arial"/>
          <w:b/>
          <w:lang w:val="it-CH"/>
        </w:rPr>
        <w:br w:type="page"/>
      </w:r>
    </w:p>
    <w:p w14:paraId="17E78FD2" w14:textId="77777777" w:rsidR="00BC7C5B" w:rsidRPr="000E27FB" w:rsidRDefault="00BC7C5B" w:rsidP="00BC7C5B">
      <w:pPr>
        <w:pStyle w:val="berschrift1"/>
        <w:keepNext w:val="0"/>
        <w:numPr>
          <w:ilvl w:val="0"/>
          <w:numId w:val="17"/>
        </w:numPr>
        <w:spacing w:before="480" w:after="240" w:line="276" w:lineRule="auto"/>
        <w:ind w:left="426" w:hanging="426"/>
        <w:contextualSpacing/>
        <w:jc w:val="left"/>
        <w:rPr>
          <w:rFonts w:ascii="Avenir LT Std 35 Light" w:hAnsi="Avenir LT Std 35 Light"/>
          <w:smallCaps/>
          <w:snapToGrid/>
          <w:spacing w:val="5"/>
          <w:kern w:val="0"/>
          <w:sz w:val="28"/>
          <w:szCs w:val="36"/>
          <w:lang w:val="it-CH" w:eastAsia="en-US"/>
        </w:rPr>
      </w:pPr>
      <w:bookmarkStart w:id="80" w:name="_Toc126737271"/>
      <w:r w:rsidRPr="000E27FB">
        <w:rPr>
          <w:rFonts w:ascii="Avenir LT Std 35 Light" w:hAnsi="Avenir LT Std 35 Light"/>
          <w:smallCaps/>
          <w:snapToGrid/>
          <w:spacing w:val="5"/>
          <w:kern w:val="0"/>
          <w:sz w:val="28"/>
          <w:szCs w:val="36"/>
          <w:lang w:val="it-CH" w:eastAsia="en-US"/>
        </w:rPr>
        <w:lastRenderedPageBreak/>
        <w:t>Allegati del manuale di assicurazione della qualità</w:t>
      </w:r>
      <w:bookmarkEnd w:id="80"/>
      <w:r w:rsidRPr="000E27FB">
        <w:rPr>
          <w:rFonts w:ascii="Avenir LT Std 35 Light" w:hAnsi="Avenir LT Std 35 Light"/>
          <w:smallCaps/>
          <w:snapToGrid/>
          <w:spacing w:val="5"/>
          <w:kern w:val="0"/>
          <w:sz w:val="28"/>
          <w:szCs w:val="36"/>
          <w:lang w:val="it-CH" w:eastAsia="en-US"/>
        </w:rPr>
        <w:t xml:space="preserve">  </w:t>
      </w:r>
    </w:p>
    <w:p w14:paraId="29853804" w14:textId="77777777" w:rsidR="00BC7C5B" w:rsidRPr="002858E4" w:rsidRDefault="00BC7C5B" w:rsidP="00BC7C5B">
      <w:pPr>
        <w:rPr>
          <w:rFonts w:ascii="Avenir LT Std 35 Light" w:hAnsi="Avenir LT Std 35 Light"/>
          <w:lang w:val="it-CH"/>
        </w:rPr>
      </w:pPr>
    </w:p>
    <w:p w14:paraId="76C2CB4A" w14:textId="77777777" w:rsidR="00BC7C5B" w:rsidRPr="002858E4" w:rsidRDefault="00BC7C5B" w:rsidP="00BC7C5B">
      <w:pPr>
        <w:rPr>
          <w:rFonts w:ascii="Avenir LT Std 35 Light" w:hAnsi="Avenir LT Std 35 Light"/>
          <w:lang w:val="it-CH"/>
        </w:rPr>
      </w:pPr>
    </w:p>
    <w:p w14:paraId="29FDCDEB" w14:textId="77777777" w:rsidR="00BC7C5B" w:rsidRPr="002858E4" w:rsidRDefault="00BC7C5B" w:rsidP="00BC7C5B">
      <w:pPr>
        <w:rPr>
          <w:rFonts w:ascii="Avenir LT Std 35 Light" w:hAnsi="Avenir LT Std 35 Light"/>
          <w:lang w:val="it-CH"/>
        </w:rPr>
      </w:pPr>
    </w:p>
    <w:p w14:paraId="08D189EA" w14:textId="77777777" w:rsidR="00BC7C5B" w:rsidRPr="002858E4" w:rsidRDefault="00BC7C5B" w:rsidP="00BC7C5B">
      <w:pPr>
        <w:rPr>
          <w:rFonts w:ascii="Avenir LT Std 35 Light" w:hAnsi="Avenir LT Std 35 Light"/>
          <w:lang w:val="it-CH"/>
        </w:rPr>
      </w:pPr>
    </w:p>
    <w:p w14:paraId="69A48BCE" w14:textId="77777777" w:rsidR="00BC7C5B" w:rsidRPr="002858E4" w:rsidRDefault="00BC7C5B" w:rsidP="00BC7C5B">
      <w:pPr>
        <w:rPr>
          <w:rFonts w:ascii="Avenir LT Std 35 Light" w:hAnsi="Avenir LT Std 35 Light"/>
          <w:lang w:val="it-CH"/>
        </w:rPr>
      </w:pPr>
    </w:p>
    <w:p w14:paraId="689447B5" w14:textId="77777777" w:rsidR="00BC7C5B" w:rsidRPr="002858E4" w:rsidRDefault="00BC7C5B" w:rsidP="00BC7C5B">
      <w:pPr>
        <w:rPr>
          <w:rFonts w:ascii="Avenir LT Std 35 Light" w:hAnsi="Avenir LT Std 35 Light"/>
          <w:lang w:val="it-CH"/>
        </w:rPr>
      </w:pPr>
    </w:p>
    <w:p w14:paraId="1B8FDDD9" w14:textId="77777777" w:rsidR="00BC7C5B" w:rsidRPr="002858E4" w:rsidRDefault="00BC7C5B" w:rsidP="00BC7C5B">
      <w:pPr>
        <w:rPr>
          <w:rFonts w:ascii="Avenir LT Std 35 Light" w:hAnsi="Avenir LT Std 35 Light"/>
          <w:lang w:val="it-CH"/>
        </w:rPr>
      </w:pPr>
    </w:p>
    <w:p w14:paraId="793E814E"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 xml:space="preserve">Allegati </w:t>
      </w:r>
    </w:p>
    <w:p w14:paraId="6DF3855E"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 xml:space="preserve">del manuale  </w:t>
      </w:r>
    </w:p>
    <w:p w14:paraId="3250670D"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di assicurazione della qualità</w:t>
      </w:r>
    </w:p>
    <w:p w14:paraId="58525CD8" w14:textId="77777777" w:rsidR="00BC7C5B" w:rsidRPr="00BC7C5B" w:rsidRDefault="00BC7C5B" w:rsidP="00BC7C5B">
      <w:pPr>
        <w:spacing w:after="480"/>
        <w:jc w:val="center"/>
        <w:rPr>
          <w:rFonts w:ascii="KievitPro-Regular" w:hAnsi="KievitPro-Regular"/>
          <w:sz w:val="56"/>
          <w:szCs w:val="56"/>
          <w:lang w:val="it-CH"/>
        </w:rPr>
      </w:pPr>
      <w:r w:rsidRPr="00BC7C5B">
        <w:rPr>
          <w:rFonts w:ascii="KievitPro-Regular" w:hAnsi="KievitPro-Regular"/>
          <w:sz w:val="56"/>
          <w:szCs w:val="56"/>
          <w:lang w:val="it-CH"/>
        </w:rPr>
        <w:t>(Revisione)</w:t>
      </w:r>
    </w:p>
    <w:p w14:paraId="789AFDB6" w14:textId="77777777" w:rsidR="00517ECA" w:rsidRDefault="00BC7C5B" w:rsidP="00A45D38">
      <w:pPr>
        <w:pStyle w:val="Textkrper-Zeileneinzug"/>
        <w:tabs>
          <w:tab w:val="left" w:pos="1276"/>
          <w:tab w:val="left" w:pos="4111"/>
        </w:tabs>
        <w:spacing w:before="60" w:after="240" w:line="276" w:lineRule="auto"/>
        <w:ind w:left="0"/>
        <w:rPr>
          <w:rFonts w:ascii="KievitPro-Regular" w:hAnsi="KievitPro-Regular" w:cs="Arial"/>
          <w:b/>
          <w:lang w:val="it-CH"/>
        </w:rPr>
        <w:sectPr w:rsidR="00517ECA" w:rsidSect="00F57730">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titlePg/>
          <w:docGrid w:linePitch="272"/>
        </w:sectPr>
      </w:pPr>
      <w:r>
        <w:rPr>
          <w:rFonts w:ascii="KievitPro-Regular" w:hAnsi="KievitPro-Regular" w:cs="Arial"/>
          <w:b/>
          <w:lang w:val="it-CH"/>
        </w:rPr>
        <w:br w:type="page"/>
      </w:r>
    </w:p>
    <w:p w14:paraId="56DF4739" w14:textId="77777777"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81" w:name="_Toc331508836"/>
      <w:bookmarkStart w:id="82" w:name="_Toc331510689"/>
      <w:bookmarkStart w:id="83" w:name="_Toc353376095"/>
      <w:bookmarkStart w:id="84" w:name="_Toc126737272"/>
      <w:r w:rsidRPr="000E27FB">
        <w:rPr>
          <w:rFonts w:ascii="Avenir LT Std 35 Light" w:hAnsi="Avenir LT Std 35 Light"/>
          <w:smallCaps/>
          <w:snapToGrid/>
          <w:sz w:val="24"/>
          <w:szCs w:val="28"/>
          <w:lang w:val="it-CH" w:eastAsia="en-US"/>
        </w:rPr>
        <w:lastRenderedPageBreak/>
        <w:t>5.1</w:t>
      </w:r>
      <w:r w:rsidRPr="000E27FB">
        <w:rPr>
          <w:rFonts w:ascii="Avenir LT Std 35 Light" w:hAnsi="Avenir LT Std 35 Light"/>
          <w:smallCaps/>
          <w:snapToGrid/>
          <w:sz w:val="24"/>
          <w:szCs w:val="28"/>
          <w:lang w:val="it-CH" w:eastAsia="en-US"/>
        </w:rPr>
        <w:tab/>
      </w:r>
      <w:bookmarkEnd w:id="81"/>
      <w:bookmarkEnd w:id="82"/>
      <w:bookmarkEnd w:id="83"/>
      <w:r w:rsidRPr="000E27FB">
        <w:rPr>
          <w:rFonts w:ascii="Avenir LT Std 35 Light" w:hAnsi="Avenir LT Std 35 Light"/>
          <w:smallCaps/>
          <w:snapToGrid/>
          <w:sz w:val="24"/>
          <w:szCs w:val="28"/>
          <w:lang w:val="it-CH" w:eastAsia="en-US"/>
        </w:rPr>
        <w:t>Analisi del rischio</w:t>
      </w:r>
      <w:bookmarkEnd w:id="84"/>
    </w:p>
    <w:p w14:paraId="66AD7BD8" w14:textId="77777777" w:rsidR="00E63749" w:rsidRDefault="00E63749" w:rsidP="00E63749">
      <w:pPr>
        <w:tabs>
          <w:tab w:val="left" w:pos="0"/>
        </w:tabs>
        <w:rPr>
          <w:rFonts w:ascii="Avenir LT Std 35 Light" w:hAnsi="Avenir LT Std 35 Light"/>
          <w:i/>
          <w:lang w:val="it-CH"/>
        </w:rPr>
      </w:pPr>
    </w:p>
    <w:p w14:paraId="4EBC3F81" w14:textId="73E64C5C" w:rsidR="00E63749" w:rsidRDefault="00E63749" w:rsidP="00E63749">
      <w:pPr>
        <w:tabs>
          <w:tab w:val="left" w:pos="0"/>
        </w:tabs>
        <w:rPr>
          <w:rFonts w:ascii="Avenir LT Std 35 Light" w:hAnsi="Avenir LT Std 35 Light"/>
          <w:i/>
          <w:lang w:val="it-CH"/>
        </w:rPr>
      </w:pPr>
      <w:r w:rsidRPr="002858E4">
        <w:rPr>
          <w:rFonts w:ascii="Avenir LT Std 35 Light" w:hAnsi="Avenir LT Std 35 Light"/>
          <w:i/>
          <w:lang w:val="it-CH"/>
        </w:rPr>
        <w:t>Sulle basi delle conoscenze attuali, esistono i seguenti rischi imprenditoriali:</w:t>
      </w:r>
    </w:p>
    <w:p w14:paraId="650C6CE4" w14:textId="77777777" w:rsidR="00E63749" w:rsidRPr="002858E4" w:rsidRDefault="00E63749" w:rsidP="00E63749">
      <w:pPr>
        <w:tabs>
          <w:tab w:val="left" w:pos="0"/>
        </w:tabs>
        <w:rPr>
          <w:rFonts w:ascii="Avenir LT Std 35 Light" w:hAnsi="Avenir LT Std 35 Light"/>
          <w:i/>
          <w:lang w:val="it-CH"/>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976"/>
        <w:gridCol w:w="567"/>
        <w:gridCol w:w="589"/>
        <w:gridCol w:w="720"/>
        <w:gridCol w:w="1950"/>
        <w:gridCol w:w="1558"/>
      </w:tblGrid>
      <w:tr w:rsidR="00E63749" w:rsidRPr="00E63749" w14:paraId="081A0863" w14:textId="77777777" w:rsidTr="00E63749">
        <w:tc>
          <w:tcPr>
            <w:tcW w:w="1526" w:type="dxa"/>
            <w:tcBorders>
              <w:top w:val="single" w:sz="4" w:space="0" w:color="auto"/>
              <w:left w:val="single" w:sz="4" w:space="0" w:color="auto"/>
              <w:bottom w:val="single" w:sz="4" w:space="0" w:color="auto"/>
              <w:right w:val="single" w:sz="4" w:space="0" w:color="auto"/>
            </w:tcBorders>
            <w:shd w:val="clear" w:color="auto" w:fill="A6A6A6"/>
            <w:hideMark/>
          </w:tcPr>
          <w:p w14:paraId="26DD23FD" w14:textId="77777777" w:rsidR="00E63749" w:rsidRPr="00E63749" w:rsidRDefault="00E63749" w:rsidP="00E63749">
            <w:pPr>
              <w:tabs>
                <w:tab w:val="left" w:pos="0"/>
              </w:tabs>
              <w:jc w:val="center"/>
              <w:rPr>
                <w:rFonts w:ascii="KievitPro-Regular" w:hAnsi="KievitPro-Regular"/>
                <w:i/>
                <w:lang w:val="it-CH"/>
              </w:rPr>
            </w:pPr>
            <w:r w:rsidRPr="00E63749">
              <w:rPr>
                <w:rFonts w:ascii="KievitPro-Regular" w:hAnsi="KievitPro-Regular"/>
                <w:i/>
                <w:lang w:val="it-CH"/>
              </w:rPr>
              <w:t>Rischio</w:t>
            </w:r>
          </w:p>
        </w:tc>
        <w:tc>
          <w:tcPr>
            <w:tcW w:w="2977" w:type="dxa"/>
            <w:tcBorders>
              <w:top w:val="single" w:sz="4" w:space="0" w:color="auto"/>
              <w:left w:val="single" w:sz="4" w:space="0" w:color="auto"/>
              <w:bottom w:val="single" w:sz="4" w:space="0" w:color="auto"/>
              <w:right w:val="single" w:sz="4" w:space="0" w:color="auto"/>
            </w:tcBorders>
            <w:shd w:val="clear" w:color="auto" w:fill="A6A6A6"/>
            <w:hideMark/>
          </w:tcPr>
          <w:p w14:paraId="0CBA5883" w14:textId="77777777" w:rsidR="00E63749" w:rsidRPr="00E63749" w:rsidRDefault="00E63749" w:rsidP="00E63749">
            <w:pPr>
              <w:tabs>
                <w:tab w:val="left" w:pos="0"/>
              </w:tabs>
              <w:jc w:val="center"/>
              <w:rPr>
                <w:rFonts w:ascii="KievitPro-Regular" w:hAnsi="KievitPro-Regular"/>
                <w:i/>
                <w:lang w:val="it-CH"/>
              </w:rPr>
            </w:pPr>
            <w:r w:rsidRPr="00E63749">
              <w:rPr>
                <w:rFonts w:ascii="KievitPro-Regular" w:hAnsi="KievitPro-Regular"/>
                <w:i/>
                <w:lang w:val="it-CH"/>
              </w:rPr>
              <w:t>Descrizione</w:t>
            </w:r>
          </w:p>
        </w:tc>
        <w:tc>
          <w:tcPr>
            <w:tcW w:w="1876"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63E24486" w14:textId="77777777" w:rsidR="00E63749" w:rsidRPr="00E63749" w:rsidRDefault="00E63749" w:rsidP="00E63749">
            <w:pPr>
              <w:tabs>
                <w:tab w:val="left" w:pos="0"/>
              </w:tabs>
              <w:jc w:val="center"/>
              <w:rPr>
                <w:rFonts w:ascii="KievitPro-Regular" w:hAnsi="KievitPro-Regular"/>
                <w:i/>
                <w:lang w:val="it-CH"/>
              </w:rPr>
            </w:pPr>
            <w:r w:rsidRPr="00E63749">
              <w:rPr>
                <w:rFonts w:ascii="KievitPro-Regular" w:hAnsi="KievitPro-Regular"/>
                <w:i/>
                <w:lang w:val="it-CH"/>
              </w:rPr>
              <w:t xml:space="preserve">Suscettibilità al rischio </w:t>
            </w:r>
          </w:p>
        </w:tc>
        <w:tc>
          <w:tcPr>
            <w:tcW w:w="1951" w:type="dxa"/>
            <w:tcBorders>
              <w:top w:val="single" w:sz="4" w:space="0" w:color="auto"/>
              <w:left w:val="single" w:sz="4" w:space="0" w:color="auto"/>
              <w:bottom w:val="single" w:sz="4" w:space="0" w:color="auto"/>
              <w:right w:val="single" w:sz="4" w:space="0" w:color="auto"/>
            </w:tcBorders>
            <w:shd w:val="clear" w:color="auto" w:fill="A6A6A6"/>
            <w:hideMark/>
          </w:tcPr>
          <w:p w14:paraId="7A6BA596"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Misure/ </w:t>
            </w:r>
          </w:p>
          <w:p w14:paraId="0EBC74B0"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Osservazioni</w:t>
            </w:r>
          </w:p>
        </w:tc>
        <w:tc>
          <w:tcPr>
            <w:tcW w:w="1559" w:type="dxa"/>
            <w:tcBorders>
              <w:top w:val="single" w:sz="4" w:space="0" w:color="auto"/>
              <w:left w:val="single" w:sz="4" w:space="0" w:color="auto"/>
              <w:bottom w:val="single" w:sz="4" w:space="0" w:color="auto"/>
              <w:right w:val="single" w:sz="4" w:space="0" w:color="auto"/>
            </w:tcBorders>
            <w:shd w:val="clear" w:color="auto" w:fill="A6A6A6"/>
            <w:hideMark/>
          </w:tcPr>
          <w:p w14:paraId="6ED54DE4"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Persona responsabile</w:t>
            </w:r>
          </w:p>
        </w:tc>
      </w:tr>
      <w:tr w:rsidR="00E63749" w:rsidRPr="00E63749" w14:paraId="7A28B5F1" w14:textId="77777777" w:rsidTr="00E63749">
        <w:trPr>
          <w:trHeight w:val="295"/>
        </w:trPr>
        <w:tc>
          <w:tcPr>
            <w:tcW w:w="1526" w:type="dxa"/>
            <w:tcBorders>
              <w:top w:val="single" w:sz="4" w:space="0" w:color="auto"/>
              <w:left w:val="single" w:sz="4" w:space="0" w:color="auto"/>
              <w:bottom w:val="single" w:sz="4" w:space="0" w:color="auto"/>
              <w:right w:val="single" w:sz="4" w:space="0" w:color="auto"/>
            </w:tcBorders>
          </w:tcPr>
          <w:p w14:paraId="69C06872"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tcPr>
          <w:p w14:paraId="1573DD3F" w14:textId="77777777" w:rsidR="00E63749" w:rsidRPr="00E63749" w:rsidRDefault="00E63749" w:rsidP="00E63749">
            <w:pPr>
              <w:tabs>
                <w:tab w:val="left" w:pos="0"/>
              </w:tabs>
              <w:rPr>
                <w:rFonts w:ascii="KievitPro-Regular" w:hAnsi="KievitPro-Regular"/>
                <w:i/>
                <w:lang w:val="it-CH"/>
              </w:rPr>
            </w:pPr>
          </w:p>
        </w:tc>
        <w:tc>
          <w:tcPr>
            <w:tcW w:w="567" w:type="dxa"/>
            <w:tcBorders>
              <w:top w:val="single" w:sz="4" w:space="0" w:color="auto"/>
              <w:left w:val="single" w:sz="4" w:space="0" w:color="auto"/>
              <w:bottom w:val="single" w:sz="4" w:space="0" w:color="auto"/>
              <w:right w:val="single" w:sz="4" w:space="0" w:color="auto"/>
            </w:tcBorders>
            <w:hideMark/>
          </w:tcPr>
          <w:p w14:paraId="18FB68B8" w14:textId="77777777" w:rsidR="00E63749" w:rsidRPr="00E63749" w:rsidRDefault="00E63749" w:rsidP="00E63749">
            <w:pPr>
              <w:tabs>
                <w:tab w:val="left" w:pos="0"/>
              </w:tabs>
              <w:rPr>
                <w:rFonts w:ascii="KievitPro-Regular" w:hAnsi="KievitPro-Regular"/>
                <w:b/>
                <w:i/>
                <w:lang w:val="it-CH"/>
              </w:rPr>
            </w:pPr>
            <w:r w:rsidRPr="00E63749">
              <w:rPr>
                <w:rFonts w:ascii="KievitPro-Regular" w:hAnsi="KievitPro-Regular"/>
                <w:b/>
                <w:i/>
                <w:lang w:val="it-CH"/>
              </w:rPr>
              <w:t>B</w:t>
            </w:r>
          </w:p>
        </w:tc>
        <w:tc>
          <w:tcPr>
            <w:tcW w:w="589" w:type="dxa"/>
            <w:tcBorders>
              <w:top w:val="single" w:sz="4" w:space="0" w:color="auto"/>
              <w:left w:val="single" w:sz="4" w:space="0" w:color="auto"/>
              <w:bottom w:val="single" w:sz="4" w:space="0" w:color="auto"/>
              <w:right w:val="single" w:sz="4" w:space="0" w:color="auto"/>
            </w:tcBorders>
            <w:hideMark/>
          </w:tcPr>
          <w:p w14:paraId="7FED2279" w14:textId="77777777" w:rsidR="00E63749" w:rsidRPr="00E63749" w:rsidRDefault="00E63749" w:rsidP="00E63749">
            <w:pPr>
              <w:tabs>
                <w:tab w:val="left" w:pos="0"/>
              </w:tabs>
              <w:rPr>
                <w:rFonts w:ascii="KievitPro-Regular" w:hAnsi="KievitPro-Regular"/>
                <w:b/>
                <w:i/>
                <w:lang w:val="it-CH"/>
              </w:rPr>
            </w:pPr>
            <w:r w:rsidRPr="00E63749">
              <w:rPr>
                <w:rFonts w:ascii="KievitPro-Regular" w:hAnsi="KievitPro-Regular"/>
                <w:b/>
                <w:i/>
                <w:lang w:val="it-CH"/>
              </w:rPr>
              <w:t>M</w:t>
            </w:r>
          </w:p>
        </w:tc>
        <w:tc>
          <w:tcPr>
            <w:tcW w:w="720" w:type="dxa"/>
            <w:tcBorders>
              <w:top w:val="single" w:sz="4" w:space="0" w:color="auto"/>
              <w:left w:val="single" w:sz="4" w:space="0" w:color="auto"/>
              <w:bottom w:val="single" w:sz="4" w:space="0" w:color="auto"/>
              <w:right w:val="single" w:sz="4" w:space="0" w:color="auto"/>
            </w:tcBorders>
            <w:hideMark/>
          </w:tcPr>
          <w:p w14:paraId="47506EAC" w14:textId="77777777" w:rsidR="00E63749" w:rsidRPr="00E63749" w:rsidRDefault="00E63749" w:rsidP="00E63749">
            <w:pPr>
              <w:tabs>
                <w:tab w:val="left" w:pos="0"/>
              </w:tabs>
              <w:rPr>
                <w:rFonts w:ascii="KievitPro-Regular" w:hAnsi="KievitPro-Regular"/>
                <w:b/>
                <w:i/>
                <w:lang w:val="it-CH"/>
              </w:rPr>
            </w:pPr>
            <w:r w:rsidRPr="00E63749">
              <w:rPr>
                <w:rFonts w:ascii="KievitPro-Regular" w:hAnsi="KievitPro-Regular"/>
                <w:b/>
                <w:i/>
                <w:lang w:val="it-CH"/>
              </w:rPr>
              <w:t>A</w:t>
            </w:r>
          </w:p>
        </w:tc>
        <w:tc>
          <w:tcPr>
            <w:tcW w:w="1951" w:type="dxa"/>
            <w:tcBorders>
              <w:top w:val="single" w:sz="4" w:space="0" w:color="auto"/>
              <w:left w:val="single" w:sz="4" w:space="0" w:color="auto"/>
              <w:bottom w:val="single" w:sz="4" w:space="0" w:color="auto"/>
              <w:right w:val="single" w:sz="4" w:space="0" w:color="auto"/>
            </w:tcBorders>
          </w:tcPr>
          <w:p w14:paraId="73B299EB"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25C7B99E" w14:textId="77777777" w:rsidR="00E63749" w:rsidRPr="00E63749" w:rsidRDefault="00E63749" w:rsidP="00E63749">
            <w:pPr>
              <w:tabs>
                <w:tab w:val="left" w:pos="0"/>
              </w:tabs>
              <w:rPr>
                <w:rFonts w:ascii="KievitPro-Regular" w:hAnsi="KievitPro-Regular"/>
                <w:i/>
                <w:lang w:val="it-CH"/>
              </w:rPr>
            </w:pPr>
          </w:p>
        </w:tc>
      </w:tr>
      <w:tr w:rsidR="00E63749" w:rsidRPr="00EB2FBE" w14:paraId="6FAC0847"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06D8CCB3"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Rischio di mercato</w:t>
            </w:r>
          </w:p>
        </w:tc>
        <w:tc>
          <w:tcPr>
            <w:tcW w:w="2977" w:type="dxa"/>
            <w:tcBorders>
              <w:top w:val="single" w:sz="4" w:space="0" w:color="auto"/>
              <w:left w:val="single" w:sz="4" w:space="0" w:color="auto"/>
              <w:bottom w:val="single" w:sz="4" w:space="0" w:color="auto"/>
              <w:right w:val="single" w:sz="4" w:space="0" w:color="auto"/>
            </w:tcBorders>
            <w:hideMark/>
          </w:tcPr>
          <w:p w14:paraId="4631A31A"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Nessuna acquisizione o perdita di clienti.</w:t>
            </w:r>
          </w:p>
        </w:tc>
        <w:tc>
          <w:tcPr>
            <w:tcW w:w="567" w:type="dxa"/>
            <w:tcBorders>
              <w:top w:val="single" w:sz="4" w:space="0" w:color="auto"/>
              <w:left w:val="single" w:sz="4" w:space="0" w:color="auto"/>
              <w:bottom w:val="single" w:sz="4" w:space="0" w:color="auto"/>
              <w:right w:val="single" w:sz="4" w:space="0" w:color="auto"/>
            </w:tcBorders>
          </w:tcPr>
          <w:p w14:paraId="794AFF7F"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4D38B049"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12CFB1D2"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44E57BD6"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32CCA393" w14:textId="77777777" w:rsidR="00E63749" w:rsidRPr="00E63749" w:rsidRDefault="00E63749" w:rsidP="00E63749">
            <w:pPr>
              <w:tabs>
                <w:tab w:val="left" w:pos="0"/>
              </w:tabs>
              <w:rPr>
                <w:rFonts w:ascii="KievitPro-Regular" w:hAnsi="KievitPro-Regular"/>
                <w:i/>
                <w:lang w:val="it-CH"/>
              </w:rPr>
            </w:pPr>
          </w:p>
        </w:tc>
      </w:tr>
      <w:tr w:rsidR="00E63749" w:rsidRPr="00EB2FBE" w14:paraId="5F9EB46A"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35C68FBE"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Rischio finanziario</w:t>
            </w:r>
          </w:p>
        </w:tc>
        <w:tc>
          <w:tcPr>
            <w:tcW w:w="2977" w:type="dxa"/>
            <w:tcBorders>
              <w:top w:val="single" w:sz="4" w:space="0" w:color="auto"/>
              <w:left w:val="single" w:sz="4" w:space="0" w:color="auto"/>
              <w:bottom w:val="single" w:sz="4" w:space="0" w:color="auto"/>
              <w:right w:val="single" w:sz="4" w:space="0" w:color="auto"/>
            </w:tcBorders>
            <w:hideMark/>
          </w:tcPr>
          <w:p w14:paraId="1D8540EB"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La perdita di cifra d’affari a causa del rischio di mercato porta a problemi strutturali</w:t>
            </w:r>
          </w:p>
        </w:tc>
        <w:tc>
          <w:tcPr>
            <w:tcW w:w="567" w:type="dxa"/>
            <w:tcBorders>
              <w:top w:val="single" w:sz="4" w:space="0" w:color="auto"/>
              <w:left w:val="single" w:sz="4" w:space="0" w:color="auto"/>
              <w:bottom w:val="single" w:sz="4" w:space="0" w:color="auto"/>
              <w:right w:val="single" w:sz="4" w:space="0" w:color="auto"/>
            </w:tcBorders>
          </w:tcPr>
          <w:p w14:paraId="1C18497F"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6AC8439B"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1FD69389"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05E6BCEC"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7FEA6E84" w14:textId="77777777" w:rsidR="00E63749" w:rsidRPr="00E63749" w:rsidRDefault="00E63749" w:rsidP="00E63749">
            <w:pPr>
              <w:tabs>
                <w:tab w:val="left" w:pos="0"/>
              </w:tabs>
              <w:rPr>
                <w:rFonts w:ascii="KievitPro-Regular" w:hAnsi="KievitPro-Regular"/>
                <w:i/>
                <w:lang w:val="it-CH"/>
              </w:rPr>
            </w:pPr>
          </w:p>
        </w:tc>
      </w:tr>
      <w:tr w:rsidR="00E63749" w:rsidRPr="00EB2FBE" w14:paraId="611D16DC" w14:textId="77777777" w:rsidTr="00E63749">
        <w:tc>
          <w:tcPr>
            <w:tcW w:w="1526" w:type="dxa"/>
            <w:tcBorders>
              <w:top w:val="single" w:sz="4" w:space="0" w:color="auto"/>
              <w:left w:val="single" w:sz="4" w:space="0" w:color="auto"/>
              <w:bottom w:val="single" w:sz="4" w:space="0" w:color="auto"/>
              <w:right w:val="single" w:sz="4" w:space="0" w:color="auto"/>
            </w:tcBorders>
          </w:tcPr>
          <w:p w14:paraId="667C2717"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43F47C5D"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I crediti derivanti dai lavori di verifica non sono stati saldati dai clienti </w:t>
            </w:r>
          </w:p>
        </w:tc>
        <w:tc>
          <w:tcPr>
            <w:tcW w:w="567" w:type="dxa"/>
            <w:tcBorders>
              <w:top w:val="single" w:sz="4" w:space="0" w:color="auto"/>
              <w:left w:val="single" w:sz="4" w:space="0" w:color="auto"/>
              <w:bottom w:val="single" w:sz="4" w:space="0" w:color="auto"/>
              <w:right w:val="single" w:sz="4" w:space="0" w:color="auto"/>
            </w:tcBorders>
          </w:tcPr>
          <w:p w14:paraId="1553E1EA"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4E0E9796"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20DA3D92"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6F78C8FA"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07C30ED8" w14:textId="77777777" w:rsidR="00E63749" w:rsidRPr="00E63749" w:rsidRDefault="00E63749" w:rsidP="00E63749">
            <w:pPr>
              <w:tabs>
                <w:tab w:val="left" w:pos="0"/>
              </w:tabs>
              <w:rPr>
                <w:rFonts w:ascii="KievitPro-Regular" w:hAnsi="KievitPro-Regular"/>
                <w:i/>
                <w:lang w:val="it-CH"/>
              </w:rPr>
            </w:pPr>
          </w:p>
        </w:tc>
      </w:tr>
      <w:tr w:rsidR="00E63749" w:rsidRPr="00EB2FBE" w14:paraId="197A69B8"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3402DE13"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Rischio di responsabilità</w:t>
            </w:r>
          </w:p>
        </w:tc>
        <w:tc>
          <w:tcPr>
            <w:tcW w:w="2977" w:type="dxa"/>
            <w:tcBorders>
              <w:top w:val="single" w:sz="4" w:space="0" w:color="auto"/>
              <w:left w:val="single" w:sz="4" w:space="0" w:color="auto"/>
              <w:bottom w:val="single" w:sz="4" w:space="0" w:color="auto"/>
              <w:right w:val="single" w:sz="4" w:space="0" w:color="auto"/>
            </w:tcBorders>
            <w:hideMark/>
          </w:tcPr>
          <w:p w14:paraId="6D0E44CF"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Ci sono casi di responsabilità </w:t>
            </w:r>
          </w:p>
        </w:tc>
        <w:tc>
          <w:tcPr>
            <w:tcW w:w="567" w:type="dxa"/>
            <w:tcBorders>
              <w:top w:val="single" w:sz="4" w:space="0" w:color="auto"/>
              <w:left w:val="single" w:sz="4" w:space="0" w:color="auto"/>
              <w:bottom w:val="single" w:sz="4" w:space="0" w:color="auto"/>
              <w:right w:val="single" w:sz="4" w:space="0" w:color="auto"/>
            </w:tcBorders>
          </w:tcPr>
          <w:p w14:paraId="5772A518"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64347923"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4C181160"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525F6BA9"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31B21FCB" w14:textId="77777777" w:rsidR="00E63749" w:rsidRPr="00E63749" w:rsidRDefault="00E63749" w:rsidP="00E63749">
            <w:pPr>
              <w:tabs>
                <w:tab w:val="left" w:pos="0"/>
              </w:tabs>
              <w:rPr>
                <w:rFonts w:ascii="KievitPro-Regular" w:hAnsi="KievitPro-Regular"/>
                <w:i/>
                <w:lang w:val="it-CH"/>
              </w:rPr>
            </w:pPr>
          </w:p>
        </w:tc>
      </w:tr>
      <w:tr w:rsidR="00E63749" w:rsidRPr="00EB2FBE" w14:paraId="248A39D7" w14:textId="77777777" w:rsidTr="00E63749">
        <w:tc>
          <w:tcPr>
            <w:tcW w:w="1526" w:type="dxa"/>
            <w:tcBorders>
              <w:top w:val="single" w:sz="4" w:space="0" w:color="auto"/>
              <w:left w:val="single" w:sz="4" w:space="0" w:color="auto"/>
              <w:bottom w:val="single" w:sz="4" w:space="0" w:color="auto"/>
              <w:right w:val="single" w:sz="4" w:space="0" w:color="auto"/>
            </w:tcBorders>
          </w:tcPr>
          <w:p w14:paraId="08366973"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2A781DB2"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Non ci sono accantonamenti per casi non assicurati</w:t>
            </w:r>
          </w:p>
        </w:tc>
        <w:tc>
          <w:tcPr>
            <w:tcW w:w="567" w:type="dxa"/>
            <w:tcBorders>
              <w:top w:val="single" w:sz="4" w:space="0" w:color="auto"/>
              <w:left w:val="single" w:sz="4" w:space="0" w:color="auto"/>
              <w:bottom w:val="single" w:sz="4" w:space="0" w:color="auto"/>
              <w:right w:val="single" w:sz="4" w:space="0" w:color="auto"/>
            </w:tcBorders>
          </w:tcPr>
          <w:p w14:paraId="5D1802FD"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7D378F21"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577AE26B"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204CFF69"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44EF1F22" w14:textId="77777777" w:rsidR="00E63749" w:rsidRPr="00E63749" w:rsidRDefault="00E63749" w:rsidP="00E63749">
            <w:pPr>
              <w:tabs>
                <w:tab w:val="left" w:pos="0"/>
              </w:tabs>
              <w:rPr>
                <w:rFonts w:ascii="KievitPro-Regular" w:hAnsi="KievitPro-Regular"/>
                <w:i/>
                <w:lang w:val="it-CH"/>
              </w:rPr>
            </w:pPr>
          </w:p>
        </w:tc>
      </w:tr>
      <w:tr w:rsidR="00E63749" w:rsidRPr="00EB2FBE" w14:paraId="601F0034" w14:textId="77777777" w:rsidTr="00E63749">
        <w:tc>
          <w:tcPr>
            <w:tcW w:w="1526" w:type="dxa"/>
            <w:tcBorders>
              <w:top w:val="single" w:sz="4" w:space="0" w:color="auto"/>
              <w:left w:val="single" w:sz="4" w:space="0" w:color="auto"/>
              <w:bottom w:val="single" w:sz="4" w:space="0" w:color="auto"/>
              <w:right w:val="single" w:sz="4" w:space="0" w:color="auto"/>
            </w:tcBorders>
          </w:tcPr>
          <w:p w14:paraId="65D9A274"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693A2291"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Revoca dell’abilitazione da parte dell’ASR</w:t>
            </w:r>
          </w:p>
        </w:tc>
        <w:tc>
          <w:tcPr>
            <w:tcW w:w="567" w:type="dxa"/>
            <w:tcBorders>
              <w:top w:val="single" w:sz="4" w:space="0" w:color="auto"/>
              <w:left w:val="single" w:sz="4" w:space="0" w:color="auto"/>
              <w:bottom w:val="single" w:sz="4" w:space="0" w:color="auto"/>
              <w:right w:val="single" w:sz="4" w:space="0" w:color="auto"/>
            </w:tcBorders>
          </w:tcPr>
          <w:p w14:paraId="764CFA20"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02249B95"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517163A4"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0608737C"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0D430B8E" w14:textId="77777777" w:rsidR="00E63749" w:rsidRPr="00E63749" w:rsidRDefault="00E63749" w:rsidP="00E63749">
            <w:pPr>
              <w:tabs>
                <w:tab w:val="left" w:pos="0"/>
              </w:tabs>
              <w:rPr>
                <w:rFonts w:ascii="KievitPro-Regular" w:hAnsi="KievitPro-Regular"/>
                <w:i/>
                <w:lang w:val="it-CH"/>
              </w:rPr>
            </w:pPr>
          </w:p>
        </w:tc>
      </w:tr>
      <w:tr w:rsidR="00E63749" w:rsidRPr="00EB2FBE" w14:paraId="31D523E9"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2057BEE2"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Rischi del personale</w:t>
            </w:r>
          </w:p>
        </w:tc>
        <w:tc>
          <w:tcPr>
            <w:tcW w:w="2977" w:type="dxa"/>
            <w:tcBorders>
              <w:top w:val="single" w:sz="4" w:space="0" w:color="auto"/>
              <w:left w:val="single" w:sz="4" w:space="0" w:color="auto"/>
              <w:bottom w:val="single" w:sz="4" w:space="0" w:color="auto"/>
              <w:right w:val="single" w:sz="4" w:space="0" w:color="auto"/>
            </w:tcBorders>
            <w:hideMark/>
          </w:tcPr>
          <w:p w14:paraId="61429E78"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I requisiti tecnici dei collaboratori non sono stati adempiuti. </w:t>
            </w:r>
          </w:p>
        </w:tc>
        <w:tc>
          <w:tcPr>
            <w:tcW w:w="567" w:type="dxa"/>
            <w:tcBorders>
              <w:top w:val="single" w:sz="4" w:space="0" w:color="auto"/>
              <w:left w:val="single" w:sz="4" w:space="0" w:color="auto"/>
              <w:bottom w:val="single" w:sz="4" w:space="0" w:color="auto"/>
              <w:right w:val="single" w:sz="4" w:space="0" w:color="auto"/>
            </w:tcBorders>
          </w:tcPr>
          <w:p w14:paraId="53C64E8A"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79BFE204"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514EA425"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50FC0079"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6EAB0469" w14:textId="77777777" w:rsidR="00E63749" w:rsidRPr="00E63749" w:rsidRDefault="00E63749" w:rsidP="00E63749">
            <w:pPr>
              <w:tabs>
                <w:tab w:val="left" w:pos="0"/>
              </w:tabs>
              <w:rPr>
                <w:rFonts w:ascii="KievitPro-Regular" w:hAnsi="KievitPro-Regular"/>
                <w:i/>
                <w:lang w:val="it-CH"/>
              </w:rPr>
            </w:pPr>
          </w:p>
        </w:tc>
      </w:tr>
      <w:tr w:rsidR="00E63749" w:rsidRPr="00EB2FBE" w14:paraId="3AACEEE2" w14:textId="77777777" w:rsidTr="00E63749">
        <w:tc>
          <w:tcPr>
            <w:tcW w:w="1526" w:type="dxa"/>
            <w:tcBorders>
              <w:top w:val="single" w:sz="4" w:space="0" w:color="auto"/>
              <w:left w:val="single" w:sz="4" w:space="0" w:color="auto"/>
              <w:bottom w:val="single" w:sz="4" w:space="0" w:color="auto"/>
              <w:right w:val="single" w:sz="4" w:space="0" w:color="auto"/>
            </w:tcBorders>
          </w:tcPr>
          <w:p w14:paraId="58CF6D8C" w14:textId="77777777" w:rsidR="00E63749" w:rsidRPr="00E63749" w:rsidRDefault="00E63749" w:rsidP="00E63749">
            <w:pPr>
              <w:tabs>
                <w:tab w:val="left" w:pos="0"/>
              </w:tabs>
              <w:rPr>
                <w:rFonts w:ascii="KievitPro-Regular" w:hAnsi="KievitPro-Regular"/>
                <w:i/>
                <w:lang w:val="it-CH"/>
              </w:rPr>
            </w:pPr>
          </w:p>
        </w:tc>
        <w:tc>
          <w:tcPr>
            <w:tcW w:w="2977" w:type="dxa"/>
            <w:tcBorders>
              <w:top w:val="single" w:sz="4" w:space="0" w:color="auto"/>
              <w:left w:val="single" w:sz="4" w:space="0" w:color="auto"/>
              <w:bottom w:val="single" w:sz="4" w:space="0" w:color="auto"/>
              <w:right w:val="single" w:sz="4" w:space="0" w:color="auto"/>
            </w:tcBorders>
            <w:hideMark/>
          </w:tcPr>
          <w:p w14:paraId="28AA6DC6"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Le linee guida circa gli aggiornamenti non sono state rispettate.</w:t>
            </w:r>
          </w:p>
        </w:tc>
        <w:tc>
          <w:tcPr>
            <w:tcW w:w="567" w:type="dxa"/>
            <w:tcBorders>
              <w:top w:val="single" w:sz="4" w:space="0" w:color="auto"/>
              <w:left w:val="single" w:sz="4" w:space="0" w:color="auto"/>
              <w:bottom w:val="single" w:sz="4" w:space="0" w:color="auto"/>
              <w:right w:val="single" w:sz="4" w:space="0" w:color="auto"/>
            </w:tcBorders>
          </w:tcPr>
          <w:p w14:paraId="2D421D92"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5C753F4E"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190A884D"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441BBA34"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76C33A9F" w14:textId="77777777" w:rsidR="00E63749" w:rsidRPr="00E63749" w:rsidRDefault="00E63749" w:rsidP="00E63749">
            <w:pPr>
              <w:tabs>
                <w:tab w:val="left" w:pos="0"/>
              </w:tabs>
              <w:rPr>
                <w:rFonts w:ascii="KievitPro-Regular" w:hAnsi="KievitPro-Regular"/>
                <w:i/>
                <w:lang w:val="it-CH"/>
              </w:rPr>
            </w:pPr>
          </w:p>
        </w:tc>
      </w:tr>
      <w:tr w:rsidR="00E63749" w:rsidRPr="00EB2FBE" w14:paraId="7BFCF8A0" w14:textId="77777777" w:rsidTr="00E63749">
        <w:tc>
          <w:tcPr>
            <w:tcW w:w="1526" w:type="dxa"/>
            <w:tcBorders>
              <w:top w:val="single" w:sz="4" w:space="0" w:color="auto"/>
              <w:left w:val="single" w:sz="4" w:space="0" w:color="auto"/>
              <w:bottom w:val="single" w:sz="4" w:space="0" w:color="auto"/>
              <w:right w:val="single" w:sz="4" w:space="0" w:color="auto"/>
            </w:tcBorders>
            <w:hideMark/>
          </w:tcPr>
          <w:p w14:paraId="1755172A"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 xml:space="preserve">Rischi operativi </w:t>
            </w:r>
          </w:p>
        </w:tc>
        <w:tc>
          <w:tcPr>
            <w:tcW w:w="2977" w:type="dxa"/>
            <w:tcBorders>
              <w:top w:val="single" w:sz="4" w:space="0" w:color="auto"/>
              <w:left w:val="single" w:sz="4" w:space="0" w:color="auto"/>
              <w:bottom w:val="single" w:sz="4" w:space="0" w:color="auto"/>
              <w:right w:val="single" w:sz="4" w:space="0" w:color="auto"/>
            </w:tcBorders>
            <w:hideMark/>
          </w:tcPr>
          <w:p w14:paraId="36666F8A" w14:textId="77777777" w:rsidR="00E63749" w:rsidRPr="00E63749" w:rsidRDefault="00E63749" w:rsidP="00E63749">
            <w:pPr>
              <w:tabs>
                <w:tab w:val="left" w:pos="0"/>
              </w:tabs>
              <w:rPr>
                <w:rFonts w:ascii="KievitPro-Regular" w:hAnsi="KievitPro-Regular"/>
                <w:i/>
                <w:lang w:val="it-CH"/>
              </w:rPr>
            </w:pPr>
            <w:r w:rsidRPr="00E63749">
              <w:rPr>
                <w:rFonts w:ascii="KievitPro-Regular" w:hAnsi="KievitPro-Regular"/>
                <w:i/>
                <w:lang w:val="it-CH"/>
              </w:rPr>
              <w:t>Non ci sono misure adeguate a garantire una separazione organizzativa e del personale tra revisione e contabilità (mandati doppi) e l’offerta di altri servizi nell’ambito della revisione limitata.</w:t>
            </w:r>
          </w:p>
        </w:tc>
        <w:tc>
          <w:tcPr>
            <w:tcW w:w="567" w:type="dxa"/>
            <w:tcBorders>
              <w:top w:val="single" w:sz="4" w:space="0" w:color="auto"/>
              <w:left w:val="single" w:sz="4" w:space="0" w:color="auto"/>
              <w:bottom w:val="single" w:sz="4" w:space="0" w:color="auto"/>
              <w:right w:val="single" w:sz="4" w:space="0" w:color="auto"/>
            </w:tcBorders>
          </w:tcPr>
          <w:p w14:paraId="12D1CD57" w14:textId="77777777" w:rsidR="00E63749" w:rsidRPr="00E63749" w:rsidRDefault="00E63749" w:rsidP="00E63749">
            <w:pPr>
              <w:tabs>
                <w:tab w:val="left" w:pos="0"/>
              </w:tabs>
              <w:rPr>
                <w:rFonts w:ascii="KievitPro-Regular" w:hAnsi="KievitPro-Regular"/>
                <w:i/>
                <w:lang w:val="it-CH"/>
              </w:rPr>
            </w:pPr>
          </w:p>
        </w:tc>
        <w:tc>
          <w:tcPr>
            <w:tcW w:w="589" w:type="dxa"/>
            <w:tcBorders>
              <w:top w:val="single" w:sz="4" w:space="0" w:color="auto"/>
              <w:left w:val="single" w:sz="4" w:space="0" w:color="auto"/>
              <w:bottom w:val="single" w:sz="4" w:space="0" w:color="auto"/>
              <w:right w:val="single" w:sz="4" w:space="0" w:color="auto"/>
            </w:tcBorders>
          </w:tcPr>
          <w:p w14:paraId="15BF2BAB" w14:textId="77777777" w:rsidR="00E63749" w:rsidRPr="00E63749" w:rsidRDefault="00E63749" w:rsidP="00E63749">
            <w:pPr>
              <w:tabs>
                <w:tab w:val="left" w:pos="0"/>
              </w:tabs>
              <w:rPr>
                <w:rFonts w:ascii="KievitPro-Regular" w:hAnsi="KievitPro-Regular"/>
                <w:i/>
                <w:lang w:val="it-CH"/>
              </w:rPr>
            </w:pPr>
          </w:p>
        </w:tc>
        <w:tc>
          <w:tcPr>
            <w:tcW w:w="720" w:type="dxa"/>
            <w:tcBorders>
              <w:top w:val="single" w:sz="4" w:space="0" w:color="auto"/>
              <w:left w:val="single" w:sz="4" w:space="0" w:color="auto"/>
              <w:bottom w:val="single" w:sz="4" w:space="0" w:color="auto"/>
              <w:right w:val="single" w:sz="4" w:space="0" w:color="auto"/>
            </w:tcBorders>
          </w:tcPr>
          <w:p w14:paraId="61FB0746" w14:textId="77777777" w:rsidR="00E63749" w:rsidRPr="00E63749" w:rsidRDefault="00E63749" w:rsidP="00E63749">
            <w:pPr>
              <w:tabs>
                <w:tab w:val="left" w:pos="0"/>
              </w:tabs>
              <w:rPr>
                <w:rFonts w:ascii="KievitPro-Regular" w:hAnsi="KievitPro-Regular"/>
                <w:i/>
                <w:lang w:val="it-CH"/>
              </w:rPr>
            </w:pPr>
          </w:p>
        </w:tc>
        <w:tc>
          <w:tcPr>
            <w:tcW w:w="1951" w:type="dxa"/>
            <w:tcBorders>
              <w:top w:val="single" w:sz="4" w:space="0" w:color="auto"/>
              <w:left w:val="single" w:sz="4" w:space="0" w:color="auto"/>
              <w:bottom w:val="single" w:sz="4" w:space="0" w:color="auto"/>
              <w:right w:val="single" w:sz="4" w:space="0" w:color="auto"/>
            </w:tcBorders>
          </w:tcPr>
          <w:p w14:paraId="7653058F" w14:textId="77777777" w:rsidR="00E63749" w:rsidRPr="00E63749" w:rsidRDefault="00E63749" w:rsidP="00E63749">
            <w:pPr>
              <w:tabs>
                <w:tab w:val="left" w:pos="0"/>
              </w:tabs>
              <w:rPr>
                <w:rFonts w:ascii="KievitPro-Regular" w:hAnsi="KievitPro-Regular"/>
                <w:i/>
                <w:lang w:val="it-CH"/>
              </w:rPr>
            </w:pPr>
          </w:p>
        </w:tc>
        <w:tc>
          <w:tcPr>
            <w:tcW w:w="1559" w:type="dxa"/>
            <w:tcBorders>
              <w:top w:val="single" w:sz="4" w:space="0" w:color="auto"/>
              <w:left w:val="single" w:sz="4" w:space="0" w:color="auto"/>
              <w:bottom w:val="single" w:sz="4" w:space="0" w:color="auto"/>
              <w:right w:val="single" w:sz="4" w:space="0" w:color="auto"/>
            </w:tcBorders>
          </w:tcPr>
          <w:p w14:paraId="6A0925D3" w14:textId="77777777" w:rsidR="00E63749" w:rsidRPr="00E63749" w:rsidRDefault="00E63749" w:rsidP="00E63749">
            <w:pPr>
              <w:tabs>
                <w:tab w:val="left" w:pos="0"/>
              </w:tabs>
              <w:rPr>
                <w:rFonts w:ascii="KievitPro-Regular" w:hAnsi="KievitPro-Regular"/>
                <w:i/>
                <w:lang w:val="it-CH"/>
              </w:rPr>
            </w:pPr>
          </w:p>
        </w:tc>
      </w:tr>
    </w:tbl>
    <w:p w14:paraId="32DAFE53" w14:textId="749AAC55" w:rsidR="00E63749" w:rsidRDefault="00E63749" w:rsidP="00EB2FBE">
      <w:pPr>
        <w:tabs>
          <w:tab w:val="left" w:pos="0"/>
        </w:tabs>
        <w:spacing w:after="240" w:line="276" w:lineRule="auto"/>
        <w:rPr>
          <w:rFonts w:ascii="KievitPro-Regular" w:hAnsi="KievitPro-Regular"/>
          <w:sz w:val="22"/>
          <w:szCs w:val="22"/>
          <w:lang w:val="it-CH"/>
        </w:rPr>
      </w:pPr>
    </w:p>
    <w:p w14:paraId="6CD21F9A" w14:textId="77777777" w:rsidR="00C90441" w:rsidRPr="00E63749" w:rsidRDefault="00C90441" w:rsidP="00EB2FBE">
      <w:pPr>
        <w:tabs>
          <w:tab w:val="left" w:pos="0"/>
        </w:tabs>
        <w:spacing w:after="240" w:line="276" w:lineRule="auto"/>
        <w:rPr>
          <w:rFonts w:ascii="KievitPro-Regular" w:hAnsi="KievitPro-Regular"/>
          <w:sz w:val="22"/>
          <w:szCs w:val="22"/>
          <w:lang w:val="it-CH"/>
        </w:rPr>
      </w:pPr>
    </w:p>
    <w:p w14:paraId="165B74B8" w14:textId="77777777" w:rsidR="00E63749" w:rsidRP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w:t>
      </w:r>
      <w:r w:rsidRPr="00E63749">
        <w:rPr>
          <w:rFonts w:ascii="KievitPro-Regular" w:hAnsi="KievitPro-Regular"/>
          <w:sz w:val="22"/>
          <w:szCs w:val="22"/>
          <w:lang w:val="it-CH"/>
        </w:rPr>
        <w:tab/>
        <w:t>…………………………………..</w:t>
      </w:r>
    </w:p>
    <w:p w14:paraId="4D998405" w14:textId="54D4FC31" w:rsid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Data</w:t>
      </w:r>
      <w:r w:rsidRPr="00E63749">
        <w:rPr>
          <w:rFonts w:ascii="KievitPro-Regular" w:hAnsi="KievitPro-Regular"/>
          <w:sz w:val="22"/>
          <w:szCs w:val="22"/>
          <w:lang w:val="it-CH"/>
        </w:rPr>
        <w:tab/>
        <w:t>Firma</w:t>
      </w:r>
    </w:p>
    <w:p w14:paraId="09DBD65F" w14:textId="77777777" w:rsidR="00EB2FBE" w:rsidRPr="00E63749" w:rsidRDefault="00EB2FBE" w:rsidP="00EB2FBE">
      <w:pPr>
        <w:tabs>
          <w:tab w:val="left" w:pos="0"/>
          <w:tab w:val="left" w:pos="3402"/>
        </w:tabs>
        <w:spacing w:after="240" w:line="276" w:lineRule="auto"/>
        <w:rPr>
          <w:rFonts w:ascii="KievitPro-Regular" w:hAnsi="KievitPro-Regular"/>
          <w:sz w:val="22"/>
          <w:szCs w:val="22"/>
          <w:lang w:val="it-CH"/>
        </w:rPr>
      </w:pPr>
    </w:p>
    <w:p w14:paraId="156A911B" w14:textId="77777777" w:rsidR="00E63749" w:rsidRP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w:t>
      </w:r>
      <w:r w:rsidRPr="00E63749">
        <w:rPr>
          <w:rFonts w:ascii="KievitPro-Regular" w:hAnsi="KievitPro-Regular"/>
          <w:sz w:val="22"/>
          <w:szCs w:val="22"/>
          <w:lang w:val="it-CH"/>
        </w:rPr>
        <w:tab/>
        <w:t>…………………………………..</w:t>
      </w:r>
    </w:p>
    <w:p w14:paraId="344D71C1" w14:textId="77777777" w:rsidR="00E63749" w:rsidRPr="00E63749" w:rsidRDefault="00E63749" w:rsidP="00EB2FBE">
      <w:pPr>
        <w:tabs>
          <w:tab w:val="left" w:pos="0"/>
          <w:tab w:val="left" w:pos="3402"/>
        </w:tabs>
        <w:spacing w:after="240" w:line="276" w:lineRule="auto"/>
        <w:rPr>
          <w:rFonts w:ascii="KievitPro-Regular" w:hAnsi="KievitPro-Regular"/>
          <w:sz w:val="22"/>
          <w:szCs w:val="22"/>
          <w:lang w:val="it-CH"/>
        </w:rPr>
      </w:pPr>
      <w:r w:rsidRPr="00E63749">
        <w:rPr>
          <w:rFonts w:ascii="KievitPro-Regular" w:hAnsi="KievitPro-Regular"/>
          <w:sz w:val="22"/>
          <w:szCs w:val="22"/>
          <w:lang w:val="it-CH"/>
        </w:rPr>
        <w:t>Data</w:t>
      </w:r>
      <w:r w:rsidRPr="00E63749">
        <w:rPr>
          <w:rFonts w:ascii="KievitPro-Regular" w:hAnsi="KievitPro-Regular"/>
          <w:sz w:val="22"/>
          <w:szCs w:val="22"/>
          <w:lang w:val="it-CH"/>
        </w:rPr>
        <w:tab/>
        <w:t>Firma</w:t>
      </w:r>
    </w:p>
    <w:p w14:paraId="501E13D4" w14:textId="78B84179" w:rsidR="00E63749" w:rsidRDefault="00E63749">
      <w:pPr>
        <w:jc w:val="left"/>
        <w:rPr>
          <w:rFonts w:ascii="KievitPro-Regular" w:hAnsi="KievitPro-Regular" w:cs="Arial"/>
          <w:b/>
          <w:sz w:val="22"/>
          <w:szCs w:val="22"/>
          <w:lang w:val="it-CH"/>
        </w:rPr>
      </w:pPr>
      <w:r>
        <w:rPr>
          <w:rFonts w:ascii="KievitPro-Regular" w:hAnsi="KievitPro-Regular" w:cs="Arial"/>
          <w:b/>
          <w:sz w:val="22"/>
          <w:szCs w:val="22"/>
          <w:lang w:val="it-CH"/>
        </w:rPr>
        <w:br w:type="page"/>
      </w:r>
    </w:p>
    <w:p w14:paraId="6DA63552" w14:textId="77777777"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85" w:name="_Toc331509041"/>
      <w:bookmarkStart w:id="86" w:name="_Toc331510690"/>
      <w:bookmarkStart w:id="87" w:name="_Toc353376096"/>
      <w:bookmarkStart w:id="88" w:name="_Toc359071942"/>
      <w:bookmarkStart w:id="89" w:name="_Toc126737273"/>
      <w:r w:rsidRPr="000E27FB">
        <w:rPr>
          <w:rFonts w:ascii="Avenir LT Std 35 Light" w:hAnsi="Avenir LT Std 35 Light"/>
          <w:smallCaps/>
          <w:snapToGrid/>
          <w:sz w:val="24"/>
          <w:szCs w:val="28"/>
          <w:lang w:val="it-CH" w:eastAsia="en-US"/>
        </w:rPr>
        <w:lastRenderedPageBreak/>
        <w:t xml:space="preserve">5.2 </w:t>
      </w:r>
      <w:r w:rsidRPr="000E27FB">
        <w:rPr>
          <w:rFonts w:ascii="Avenir LT Std 35 Light" w:hAnsi="Avenir LT Std 35 Light"/>
          <w:smallCaps/>
          <w:snapToGrid/>
          <w:sz w:val="24"/>
          <w:szCs w:val="28"/>
          <w:lang w:val="it-CH" w:eastAsia="en-US"/>
        </w:rPr>
        <w:tab/>
        <w:t>Conferma annuale del mantenimento dell’indipendenza</w:t>
      </w:r>
      <w:bookmarkEnd w:id="85"/>
      <w:bookmarkEnd w:id="86"/>
      <w:bookmarkEnd w:id="87"/>
      <w:bookmarkEnd w:id="88"/>
      <w:bookmarkEnd w:id="89"/>
    </w:p>
    <w:p w14:paraId="1C588ED1" w14:textId="7D731470" w:rsidR="00E63749" w:rsidRPr="004C05E4" w:rsidRDefault="00E63749" w:rsidP="004C05E4">
      <w:pPr>
        <w:rPr>
          <w:rFonts w:ascii="KievitPro-Regular" w:hAnsi="KievitPro-Regular" w:cs="Calibri"/>
          <w:highlight w:val="yellow"/>
          <w:lang w:val="it-CH"/>
        </w:rPr>
      </w:pPr>
      <w:r w:rsidRPr="004C05E4">
        <w:rPr>
          <w:rFonts w:ascii="KievitPro-Regular" w:hAnsi="KievitPro-Regular"/>
          <w:highlight w:val="yellow"/>
          <w:lang w:val="it-CH"/>
        </w:rPr>
        <w:t>Esempio SA</w:t>
      </w:r>
    </w:p>
    <w:p w14:paraId="0C6B9D81" w14:textId="77777777" w:rsidR="00E63749" w:rsidRPr="004C05E4" w:rsidRDefault="00E63749" w:rsidP="004C05E4">
      <w:pPr>
        <w:rPr>
          <w:rFonts w:ascii="KievitPro-Regular" w:hAnsi="KievitPro-Regular"/>
          <w:highlight w:val="yellow"/>
          <w:lang w:val="it-CH"/>
        </w:rPr>
      </w:pPr>
      <w:r w:rsidRPr="004C05E4">
        <w:rPr>
          <w:rFonts w:ascii="KievitPro-Regular" w:hAnsi="KievitPro-Regular"/>
          <w:highlight w:val="yellow"/>
          <w:lang w:val="it-CH"/>
        </w:rPr>
        <w:t>Strada 21</w:t>
      </w:r>
    </w:p>
    <w:p w14:paraId="17860C79" w14:textId="77777777" w:rsidR="00E63749" w:rsidRPr="004C05E4" w:rsidRDefault="00E63749" w:rsidP="004C05E4">
      <w:pPr>
        <w:spacing w:after="240"/>
        <w:rPr>
          <w:rFonts w:ascii="KievitPro-Regular" w:hAnsi="KievitPro-Regular"/>
          <w:lang w:val="it-CH"/>
        </w:rPr>
      </w:pPr>
      <w:r w:rsidRPr="004C05E4">
        <w:rPr>
          <w:rFonts w:ascii="KievitPro-Regular" w:hAnsi="KievitPro-Regular"/>
          <w:highlight w:val="yellow"/>
          <w:lang w:val="it-CH"/>
        </w:rPr>
        <w:t>8000 Zürich</w:t>
      </w:r>
    </w:p>
    <w:p w14:paraId="6BED8249" w14:textId="77777777" w:rsidR="00E63749" w:rsidRPr="004C05E4" w:rsidRDefault="00E63749" w:rsidP="004C05E4">
      <w:pPr>
        <w:spacing w:after="240"/>
        <w:rPr>
          <w:rFonts w:ascii="KievitPro-Regular" w:eastAsia="Arial Unicode MS" w:hAnsi="KievitPro-Regular" w:cs="Calibri"/>
          <w:b/>
          <w:lang w:val="it-CH"/>
        </w:rPr>
      </w:pPr>
      <w:r w:rsidRPr="004C05E4">
        <w:rPr>
          <w:rFonts w:ascii="KievitPro-Regular" w:eastAsia="Arial Unicode MS" w:hAnsi="KievitPro-Regular" w:cs="Calibri"/>
          <w:b/>
          <w:lang w:val="it-CH"/>
        </w:rPr>
        <w:t xml:space="preserve">Dichiarazione personale di indipendenza </w:t>
      </w:r>
    </w:p>
    <w:p w14:paraId="11AC2D1F"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In quanto persona interessata, conosco i requisiti della </w:t>
      </w:r>
      <w:r w:rsidRPr="004C05E4">
        <w:rPr>
          <w:rFonts w:ascii="KievitPro-Regular" w:hAnsi="KievitPro-Regular" w:cs="Calibri"/>
          <w:highlight w:val="yellow"/>
          <w:lang w:val="it-CH"/>
        </w:rPr>
        <w:t>Esempio SA</w:t>
      </w:r>
      <w:r w:rsidRPr="004C05E4">
        <w:rPr>
          <w:rFonts w:ascii="KievitPro-Regular" w:hAnsi="KievitPro-Regular" w:cs="Calibri"/>
          <w:lang w:val="it-CH"/>
        </w:rPr>
        <w:t xml:space="preserve"> circa il rispetto dell’indipendenza. Inoltre, sono anche a conoscenza delle direttive sull’indipendenza 2007 (di seguito: DI) di EXPERTsuisse.</w:t>
      </w:r>
    </w:p>
    <w:p w14:paraId="154BC8D1"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Con la presente confermo che, secondo la mia conoscenza attuale, </w:t>
      </w:r>
      <w:bookmarkStart w:id="90" w:name="_Hlk10265620"/>
      <w:r w:rsidRPr="004C05E4">
        <w:rPr>
          <w:rFonts w:ascii="KievitPro-Regular" w:hAnsi="KievitPro-Regular" w:cs="Calibri"/>
          <w:lang w:val="it-CH"/>
        </w:rPr>
        <w:t>né io né persone a me vicine/risp. membri della mia famiglia</w:t>
      </w:r>
      <w:bookmarkEnd w:id="90"/>
      <w:r w:rsidRPr="004C05E4">
        <w:rPr>
          <w:rFonts w:ascii="KievitPro-Regular" w:hAnsi="KievitPro-Regular" w:cs="Calibri"/>
          <w:lang w:val="it-CH"/>
        </w:rPr>
        <w:t xml:space="preserve">: </w:t>
      </w:r>
    </w:p>
    <w:p w14:paraId="1763C981" w14:textId="77777777" w:rsidR="00E63749" w:rsidRPr="004C05E4" w:rsidRDefault="00E63749" w:rsidP="004C05E4">
      <w:pPr>
        <w:numPr>
          <w:ilvl w:val="0"/>
          <w:numId w:val="26"/>
        </w:numPr>
        <w:ind w:left="714" w:hanging="357"/>
        <w:jc w:val="left"/>
        <w:rPr>
          <w:rFonts w:ascii="KievitPro-Regular" w:hAnsi="KievitPro-Regular" w:cs="Calibri"/>
          <w:lang w:val="it-CH"/>
        </w:rPr>
      </w:pPr>
      <w:r w:rsidRPr="004C05E4">
        <w:rPr>
          <w:rFonts w:ascii="KievitPro-Regular" w:hAnsi="KievitPro-Regular" w:cs="Calibri"/>
          <w:lang w:val="it-CH"/>
        </w:rPr>
        <w:t>detengo/detengono partecipazioni dirette al capitale proprio o di terzi dei clienti delle revisioni;</w:t>
      </w:r>
    </w:p>
    <w:p w14:paraId="6A360997" w14:textId="77777777" w:rsidR="00E63749" w:rsidRPr="004C05E4" w:rsidRDefault="00E63749" w:rsidP="004C05E4">
      <w:pPr>
        <w:numPr>
          <w:ilvl w:val="0"/>
          <w:numId w:val="26"/>
        </w:numPr>
        <w:ind w:left="714" w:hanging="357"/>
        <w:jc w:val="left"/>
        <w:rPr>
          <w:rFonts w:ascii="KievitPro-Regular" w:hAnsi="KievitPro-Regular" w:cs="Calibri"/>
          <w:lang w:val="it-CH"/>
        </w:rPr>
      </w:pPr>
      <w:r w:rsidRPr="004C05E4">
        <w:rPr>
          <w:rFonts w:ascii="KievitPro-Regular" w:hAnsi="KievitPro-Regular" w:cs="Calibri"/>
          <w:lang w:val="it-CH"/>
        </w:rPr>
        <w:t>dispongo/dispongono di crediti/prestiti o transazioni di simile natura con clienti delle revisioni, i quali non sono istituti finanziari;</w:t>
      </w:r>
    </w:p>
    <w:p w14:paraId="361ADABF" w14:textId="77777777" w:rsidR="00E63749" w:rsidRPr="004C05E4" w:rsidRDefault="00E63749" w:rsidP="004C05E4">
      <w:pPr>
        <w:numPr>
          <w:ilvl w:val="0"/>
          <w:numId w:val="26"/>
        </w:numPr>
        <w:spacing w:after="240"/>
        <w:ind w:left="714" w:hanging="357"/>
        <w:jc w:val="left"/>
        <w:rPr>
          <w:rFonts w:ascii="KievitPro-Regular" w:hAnsi="KievitPro-Regular" w:cs="Calibri"/>
          <w:lang w:val="it-CH"/>
        </w:rPr>
      </w:pPr>
      <w:r w:rsidRPr="004C05E4">
        <w:rPr>
          <w:rFonts w:ascii="KievitPro-Regular" w:hAnsi="KievitPro-Regular" w:cs="Calibri"/>
          <w:lang w:val="it-CH"/>
        </w:rPr>
        <w:t>trattengo/trattengono relazioni d’affari non consentite e che non sono sviluppate secondo le condizioni di mercato con clienti delle revisioni.</w:t>
      </w:r>
    </w:p>
    <w:p w14:paraId="3F4692A6"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Allo stesso modo confermo che né io </w:t>
      </w:r>
      <w:bookmarkStart w:id="91" w:name="_Hlk10265645"/>
      <w:r w:rsidRPr="004C05E4">
        <w:rPr>
          <w:rFonts w:ascii="KievitPro-Regular" w:hAnsi="KievitPro-Regular" w:cs="Calibri"/>
          <w:lang w:val="it-CH"/>
        </w:rPr>
        <w:t xml:space="preserve">né gli immediati membri della mia famiglia </w:t>
      </w:r>
      <w:bookmarkEnd w:id="91"/>
      <w:r w:rsidRPr="004C05E4">
        <w:rPr>
          <w:rFonts w:ascii="KievitPro-Regular" w:hAnsi="KievitPro-Regular" w:cs="Calibri"/>
          <w:lang w:val="it-CH"/>
        </w:rPr>
        <w:t>o i miei parenti prossimi, secondo la mia conoscenza attuale</w:t>
      </w:r>
    </w:p>
    <w:p w14:paraId="1174CC2A" w14:textId="77777777" w:rsidR="00E63749" w:rsidRPr="004C05E4" w:rsidRDefault="00E63749" w:rsidP="004C05E4">
      <w:pPr>
        <w:numPr>
          <w:ilvl w:val="0"/>
          <w:numId w:val="25"/>
        </w:numPr>
        <w:spacing w:after="240"/>
        <w:ind w:left="714" w:hanging="357"/>
        <w:jc w:val="left"/>
        <w:rPr>
          <w:rFonts w:ascii="KievitPro-Regular" w:hAnsi="KievitPro-Regular" w:cs="Calibri"/>
          <w:lang w:val="it-CH"/>
        </w:rPr>
      </w:pPr>
      <w:r w:rsidRPr="004C05E4">
        <w:rPr>
          <w:rFonts w:ascii="KievitPro-Regular" w:hAnsi="KievitPro-Regular" w:cs="Calibri"/>
          <w:lang w:val="it-CH"/>
        </w:rPr>
        <w:t>ho assunto/hanno assunto un mandato nel consiglio di amministrazione di una impresa interessata, o un altro mandato con competenze decisionali.</w:t>
      </w:r>
    </w:p>
    <w:p w14:paraId="48C92346" w14:textId="77777777" w:rsidR="00E63749" w:rsidRPr="004C05E4" w:rsidRDefault="00E63749" w:rsidP="004C05E4">
      <w:pPr>
        <w:rPr>
          <w:rFonts w:ascii="KievitPro-Regular" w:hAnsi="KievitPro-Regular" w:cs="Calibri"/>
          <w:lang w:val="it-CH"/>
        </w:rPr>
      </w:pPr>
      <w:r w:rsidRPr="004C05E4">
        <w:rPr>
          <w:rFonts w:ascii="KievitPro-Regular" w:hAnsi="KievitPro-Regular" w:cs="Calibri"/>
          <w:lang w:val="it-CH"/>
        </w:rPr>
        <w:t>Ed io</w:t>
      </w:r>
    </w:p>
    <w:p w14:paraId="675B2139" w14:textId="77777777" w:rsidR="00E63749" w:rsidRPr="004C05E4" w:rsidRDefault="00E63749" w:rsidP="004C05E4">
      <w:pPr>
        <w:numPr>
          <w:ilvl w:val="0"/>
          <w:numId w:val="25"/>
        </w:numPr>
        <w:spacing w:after="240"/>
        <w:jc w:val="left"/>
        <w:rPr>
          <w:rFonts w:ascii="KievitPro-Regular" w:hAnsi="KievitPro-Regular" w:cs="Calibri"/>
          <w:lang w:val="it-CH"/>
        </w:rPr>
      </w:pPr>
      <w:r w:rsidRPr="004C05E4">
        <w:rPr>
          <w:rFonts w:ascii="KievitPro-Regular" w:hAnsi="KievitPro-Regular" w:cs="Calibri"/>
          <w:lang w:val="it-CH"/>
        </w:rPr>
        <w:t>non ho accettato nessun regalo materialmente significativo o altre liberalità da un cliente delle revisioni.</w:t>
      </w:r>
    </w:p>
    <w:p w14:paraId="2E167E05"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Con la presente confermo di adempiere ai requisiti legali ai sensi dell’art. 728 CO e dell’art. 729 CO così come anche ai requisiti delle DI di EXPERTsuisse.</w:t>
      </w:r>
    </w:p>
    <w:p w14:paraId="2FED5864"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Al fine di verificare il rispetto della mia personale indipendenza ho consultato la lista dei mandati di revisione in allegato, e confermo con la mia firma e il ritorno di questo formulario che </w:t>
      </w:r>
    </w:p>
    <w:p w14:paraId="3F64AE40" w14:textId="77777777" w:rsidR="00E63749" w:rsidRPr="004C05E4" w:rsidRDefault="00E63749" w:rsidP="004C05E4">
      <w:pPr>
        <w:tabs>
          <w:tab w:val="left" w:pos="426"/>
          <w:tab w:val="left" w:pos="2835"/>
          <w:tab w:val="left" w:pos="3261"/>
        </w:tabs>
        <w:spacing w:after="240"/>
        <w:ind w:firstLine="426"/>
        <w:rPr>
          <w:rFonts w:ascii="KievitPro-Regular" w:hAnsi="KievitPro-Regular" w:cs="Calibri"/>
          <w:lang w:val="it-CH"/>
        </w:rPr>
      </w:pPr>
      <w:r w:rsidRPr="004C05E4">
        <w:rPr>
          <w:rFonts w:ascii="KievitPro-Regular" w:hAnsi="KievitPro-Regular"/>
          <w:noProof/>
          <w:lang w:eastAsia="de-CH"/>
        </w:rPr>
        <mc:AlternateContent>
          <mc:Choice Requires="wps">
            <w:drawing>
              <wp:anchor distT="0" distB="0" distL="114300" distR="114300" simplePos="0" relativeHeight="251659264" behindDoc="0" locked="0" layoutInCell="1" allowOverlap="1" wp14:anchorId="5C583FB1" wp14:editId="40904D41">
                <wp:simplePos x="0" y="0"/>
                <wp:positionH relativeFrom="column">
                  <wp:posOffset>31115</wp:posOffset>
                </wp:positionH>
                <wp:positionV relativeFrom="paragraph">
                  <wp:posOffset>4445</wp:posOffset>
                </wp:positionV>
                <wp:extent cx="123825" cy="114300"/>
                <wp:effectExtent l="0" t="0" r="28575"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A67F0" id="Rectangle 79" o:spid="_x0000_s1026" style="position:absolute;margin-left:2.45pt;margin-top:.3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"/>
            </w:pict>
          </mc:Fallback>
        </mc:AlternateContent>
      </w:r>
      <w:r w:rsidRPr="004C05E4">
        <w:rPr>
          <w:rFonts w:ascii="KievitPro-Regular" w:hAnsi="KievitPro-Regular"/>
          <w:noProof/>
          <w:lang w:eastAsia="de-CH"/>
        </w:rPr>
        <mc:AlternateContent>
          <mc:Choice Requires="wps">
            <w:drawing>
              <wp:anchor distT="0" distB="0" distL="114300" distR="114300" simplePos="0" relativeHeight="251660288" behindDoc="0" locked="0" layoutInCell="1" allowOverlap="1" wp14:anchorId="7AF09C4A" wp14:editId="7BA8AF60">
                <wp:simplePos x="0" y="0"/>
                <wp:positionH relativeFrom="column">
                  <wp:posOffset>1783715</wp:posOffset>
                </wp:positionH>
                <wp:positionV relativeFrom="paragraph">
                  <wp:posOffset>33020</wp:posOffset>
                </wp:positionV>
                <wp:extent cx="123825" cy="114300"/>
                <wp:effectExtent l="0" t="0" r="28575"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0D405" id="Rectangle 78" o:spid="_x0000_s1026" style="position:absolute;margin-left:140.45pt;margin-top:2.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"/>
            </w:pict>
          </mc:Fallback>
        </mc:AlternateContent>
      </w:r>
      <w:r w:rsidRPr="004C05E4">
        <w:rPr>
          <w:rFonts w:ascii="KievitPro-Regular" w:hAnsi="KievitPro-Regular" w:cs="Calibri"/>
          <w:lang w:val="it-CH"/>
        </w:rPr>
        <w:t>adempio</w:t>
      </w:r>
      <w:r w:rsidRPr="004C05E4">
        <w:rPr>
          <w:rFonts w:ascii="KievitPro-Regular" w:hAnsi="KievitPro-Regular" w:cs="Calibri"/>
          <w:lang w:val="it-CH"/>
        </w:rPr>
        <w:tab/>
      </w:r>
      <w:r w:rsidRPr="004C05E4">
        <w:rPr>
          <w:rFonts w:ascii="KievitPro-Regular" w:hAnsi="KievitPro-Regular" w:cs="Calibri"/>
          <w:lang w:val="it-CH"/>
        </w:rPr>
        <w:tab/>
        <w:t>adempio con la/le seguenti eccezione/i.</w:t>
      </w:r>
    </w:p>
    <w:p w14:paraId="147D9064"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 xml:space="preserve">ai requisiti delle direttive. </w:t>
      </w:r>
    </w:p>
    <w:p w14:paraId="48AA6410"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highlight w:val="yellow"/>
          <w:lang w:val="it-CH"/>
        </w:rPr>
        <w:t>Elencare tutte le eccezioni, p. es. Partecipazioni detenute, crediti/debiti, relazioni con i clienti delle revisioni, mandati di assunzione in consiglio di amministrazione, regali/liberalità (in forma di allegati).</w:t>
      </w:r>
    </w:p>
    <w:p w14:paraId="272510AC" w14:textId="77777777" w:rsidR="00E63749" w:rsidRPr="004C05E4" w:rsidRDefault="00E63749" w:rsidP="004C05E4">
      <w:pPr>
        <w:spacing w:after="240"/>
        <w:rPr>
          <w:rFonts w:ascii="KievitPro-Regular" w:hAnsi="KievitPro-Regular" w:cs="Calibri"/>
          <w:lang w:val="it-CH"/>
        </w:rPr>
      </w:pPr>
      <w:r w:rsidRPr="004C05E4">
        <w:rPr>
          <w:rFonts w:ascii="KievitPro-Regular" w:hAnsi="KievitPro-Regular" w:cs="Calibri"/>
          <w:lang w:val="it-CH"/>
        </w:rPr>
        <w:t>Se io, i miei familiari più immediati o i miei parenti prossimi secondo la mia attuale conoscenza non ottempero/ottemperiamo alle disposizioni di cui sopra, prendo immediatamente contatto con il responsabile revisione (responsabile del dipartimento revisione) e mi accordo sulla strategia da intraprendere.</w:t>
      </w:r>
    </w:p>
    <w:p w14:paraId="393E9AB1" w14:textId="77777777" w:rsidR="00E63749" w:rsidRPr="004C05E4" w:rsidRDefault="00E63749" w:rsidP="004C05E4">
      <w:pPr>
        <w:tabs>
          <w:tab w:val="left" w:pos="5387"/>
        </w:tabs>
        <w:spacing w:after="240" w:line="276" w:lineRule="auto"/>
        <w:rPr>
          <w:rFonts w:ascii="KievitPro-Regular" w:hAnsi="KievitPro-Regular" w:cs="Calibri"/>
          <w:lang w:val="it-CH"/>
        </w:rPr>
      </w:pPr>
      <w:r w:rsidRPr="004C05E4">
        <w:rPr>
          <w:rFonts w:ascii="KievitPro-Regular" w:hAnsi="KievitPro-Regular" w:cs="Calibri"/>
          <w:lang w:val="it-CH"/>
        </w:rPr>
        <w:t>______________________</w:t>
      </w:r>
      <w:r w:rsidRPr="004C05E4">
        <w:rPr>
          <w:rFonts w:ascii="KievitPro-Regular" w:hAnsi="KievitPro-Regular" w:cs="Calibri"/>
          <w:lang w:val="it-CH"/>
        </w:rPr>
        <w:tab/>
        <w:t>_____________________________</w:t>
      </w:r>
    </w:p>
    <w:p w14:paraId="31C14F98" w14:textId="77777777" w:rsidR="00E63749" w:rsidRPr="004C05E4" w:rsidRDefault="00E63749" w:rsidP="004C05E4">
      <w:pPr>
        <w:tabs>
          <w:tab w:val="left" w:pos="5387"/>
          <w:tab w:val="left" w:pos="5529"/>
        </w:tabs>
        <w:spacing w:after="240" w:line="276" w:lineRule="auto"/>
        <w:rPr>
          <w:rFonts w:ascii="KievitPro-Regular" w:hAnsi="KievitPro-Regular" w:cs="Calibri"/>
          <w:lang w:val="it-CH"/>
        </w:rPr>
      </w:pPr>
      <w:r w:rsidRPr="004C05E4">
        <w:rPr>
          <w:rFonts w:ascii="KievitPro-Regular" w:hAnsi="KievitPro-Regular" w:cs="Calibri"/>
          <w:lang w:val="it-CH"/>
        </w:rPr>
        <w:t>Data</w:t>
      </w:r>
      <w:r w:rsidRPr="004C05E4">
        <w:rPr>
          <w:rFonts w:ascii="KievitPro-Regular" w:hAnsi="KievitPro-Regular" w:cs="Calibri"/>
          <w:lang w:val="it-CH"/>
        </w:rPr>
        <w:tab/>
        <w:t>Nome, Cognome</w:t>
      </w:r>
    </w:p>
    <w:p w14:paraId="60174525" w14:textId="53B0A29E" w:rsidR="00E63749" w:rsidRPr="004C05E4" w:rsidRDefault="00E63749" w:rsidP="004C05E4">
      <w:pPr>
        <w:tabs>
          <w:tab w:val="left" w:pos="5387"/>
        </w:tabs>
        <w:spacing w:after="240" w:line="276" w:lineRule="auto"/>
        <w:rPr>
          <w:rFonts w:ascii="KievitPro-Regular" w:hAnsi="KievitPro-Regular" w:cs="Calibri"/>
          <w:lang w:val="it-CH"/>
        </w:rPr>
      </w:pPr>
      <w:r w:rsidRPr="004C05E4">
        <w:rPr>
          <w:rFonts w:ascii="KievitPro-Regular" w:hAnsi="KievitPro-Regular" w:cs="Calibri"/>
          <w:lang w:val="it-CH"/>
        </w:rPr>
        <w:tab/>
        <w:t>(si prega di scrivere con una grafia leggibile)</w:t>
      </w:r>
    </w:p>
    <w:p w14:paraId="3A5B5A92" w14:textId="2770D106" w:rsidR="00ED4133" w:rsidRPr="004C05E4" w:rsidRDefault="00ED4133" w:rsidP="004C05E4">
      <w:pPr>
        <w:tabs>
          <w:tab w:val="left" w:pos="5387"/>
        </w:tabs>
        <w:spacing w:after="240" w:line="276" w:lineRule="auto"/>
        <w:rPr>
          <w:rFonts w:ascii="KievitPro-Regular" w:hAnsi="KievitPro-Regular" w:cs="Calibri"/>
          <w:lang w:val="it-CH"/>
        </w:rPr>
      </w:pPr>
    </w:p>
    <w:p w14:paraId="77C48EDB" w14:textId="77777777" w:rsidR="00E63749" w:rsidRPr="00E63749" w:rsidRDefault="00E63749" w:rsidP="004C05E4">
      <w:pPr>
        <w:spacing w:line="276" w:lineRule="auto"/>
        <w:rPr>
          <w:rFonts w:ascii="KievitPro-Regular" w:hAnsi="KievitPro-Regular"/>
          <w:i/>
          <w:sz w:val="22"/>
          <w:szCs w:val="22"/>
          <w:lang w:val="it-CH"/>
        </w:rPr>
      </w:pPr>
      <w:r w:rsidRPr="00E63749">
        <w:rPr>
          <w:rFonts w:ascii="KievitPro-Regular" w:hAnsi="KievitPro-Regular"/>
          <w:i/>
          <w:sz w:val="22"/>
          <w:szCs w:val="22"/>
          <w:lang w:val="it-CH"/>
        </w:rPr>
        <w:t xml:space="preserve">Allegato 5.2.1: Lista die mandati di revisione  </w:t>
      </w:r>
    </w:p>
    <w:p w14:paraId="4AA94F69" w14:textId="135B89BA" w:rsidR="000E27FB" w:rsidRDefault="00E63749" w:rsidP="004C05E4">
      <w:pPr>
        <w:spacing w:after="240" w:line="276" w:lineRule="auto"/>
        <w:rPr>
          <w:rFonts w:ascii="KievitPro-Regular" w:hAnsi="KievitPro-Regular"/>
          <w:i/>
          <w:sz w:val="22"/>
          <w:szCs w:val="22"/>
          <w:lang w:val="it-CH"/>
        </w:rPr>
      </w:pPr>
      <w:r w:rsidRPr="00E63749">
        <w:rPr>
          <w:rFonts w:ascii="KievitPro-Regular" w:hAnsi="KievitPro-Regular"/>
          <w:i/>
          <w:sz w:val="22"/>
          <w:szCs w:val="22"/>
          <w:lang w:val="it-CH"/>
        </w:rPr>
        <w:t xml:space="preserve">Allegato 5.2.2: Lista delle eccezioni (se necessario) </w:t>
      </w:r>
    </w:p>
    <w:p w14:paraId="39BF6B14" w14:textId="77777777" w:rsidR="000E27FB" w:rsidRDefault="000E27FB">
      <w:pPr>
        <w:jc w:val="left"/>
        <w:rPr>
          <w:rFonts w:ascii="KievitPro-Regular" w:hAnsi="KievitPro-Regular"/>
          <w:i/>
          <w:sz w:val="22"/>
          <w:szCs w:val="22"/>
          <w:lang w:val="it-CH"/>
        </w:rPr>
      </w:pPr>
      <w:r>
        <w:rPr>
          <w:rFonts w:ascii="KievitPro-Regular" w:hAnsi="KievitPro-Regular"/>
          <w:i/>
          <w:sz w:val="22"/>
          <w:szCs w:val="22"/>
          <w:lang w:val="it-CH"/>
        </w:rPr>
        <w:br w:type="page"/>
      </w:r>
    </w:p>
    <w:p w14:paraId="76EBE4C0" w14:textId="05720581"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92" w:name="_Toc331510693"/>
      <w:bookmarkStart w:id="93" w:name="_Toc353376098"/>
      <w:bookmarkStart w:id="94" w:name="_Toc359071943"/>
      <w:bookmarkStart w:id="95" w:name="_Toc126737274"/>
      <w:r w:rsidRPr="000E27FB">
        <w:rPr>
          <w:rFonts w:ascii="Avenir LT Std 35 Light" w:hAnsi="Avenir LT Std 35 Light"/>
          <w:smallCaps/>
          <w:snapToGrid/>
          <w:sz w:val="24"/>
          <w:szCs w:val="28"/>
          <w:lang w:val="it-CH" w:eastAsia="en-US"/>
        </w:rPr>
        <w:lastRenderedPageBreak/>
        <w:t>5.3</w:t>
      </w:r>
      <w:r w:rsidRPr="000E27FB">
        <w:rPr>
          <w:rFonts w:ascii="Avenir LT Std 35 Light" w:hAnsi="Avenir LT Std 35 Light"/>
          <w:smallCaps/>
          <w:snapToGrid/>
          <w:sz w:val="24"/>
          <w:szCs w:val="28"/>
          <w:lang w:val="it-CH" w:eastAsia="en-US"/>
        </w:rPr>
        <w:tab/>
      </w:r>
      <w:bookmarkEnd w:id="92"/>
      <w:bookmarkEnd w:id="93"/>
      <w:bookmarkEnd w:id="94"/>
      <w:r w:rsidRPr="000E27FB">
        <w:rPr>
          <w:rFonts w:ascii="Avenir LT Std 35 Light" w:hAnsi="Avenir LT Std 35 Light"/>
          <w:smallCaps/>
          <w:snapToGrid/>
          <w:sz w:val="24"/>
          <w:szCs w:val="28"/>
          <w:lang w:val="it-CH" w:eastAsia="en-US"/>
        </w:rPr>
        <w:t>Checklist completezza della formazione continua e conferma di indipendenza</w:t>
      </w:r>
      <w:bookmarkEnd w:id="95"/>
    </w:p>
    <w:p w14:paraId="0249E4A8" w14:textId="77777777" w:rsidR="00ED4133" w:rsidRPr="00ED4133" w:rsidRDefault="00ED4133" w:rsidP="00ED4133">
      <w:pPr>
        <w:rPr>
          <w:lang w:val="it-CH"/>
        </w:rPr>
      </w:pPr>
    </w:p>
    <w:p w14:paraId="52B39D66" w14:textId="6905199C" w:rsidR="00E63749" w:rsidRPr="00ED4133" w:rsidRDefault="00E63749" w:rsidP="00E63749">
      <w:pPr>
        <w:rPr>
          <w:rFonts w:ascii="KievitPro-Regular" w:hAnsi="KievitPro-Regular"/>
          <w:b/>
          <w:sz w:val="22"/>
          <w:szCs w:val="22"/>
          <w:lang w:val="it-CH"/>
        </w:rPr>
      </w:pPr>
      <w:r w:rsidRPr="00ED4133">
        <w:rPr>
          <w:rFonts w:ascii="KievitPro-Regular" w:hAnsi="KievitPro-Regular"/>
          <w:noProof/>
          <w:sz w:val="22"/>
          <w:szCs w:val="22"/>
          <w:lang w:eastAsia="de-CH"/>
        </w:rPr>
        <w:drawing>
          <wp:anchor distT="0" distB="0" distL="114300" distR="114300" simplePos="0" relativeHeight="251661312" behindDoc="0" locked="0" layoutInCell="1" allowOverlap="1" wp14:anchorId="1F7CC6BE" wp14:editId="12BA9788">
            <wp:simplePos x="0" y="0"/>
            <wp:positionH relativeFrom="column">
              <wp:posOffset>-11430</wp:posOffset>
            </wp:positionH>
            <wp:positionV relativeFrom="paragraph">
              <wp:posOffset>335280</wp:posOffset>
            </wp:positionV>
            <wp:extent cx="6115050" cy="581025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5810250"/>
                    </a:xfrm>
                    <a:prstGeom prst="rect">
                      <a:avLst/>
                    </a:prstGeom>
                    <a:noFill/>
                    <a:ln>
                      <a:noFill/>
                    </a:ln>
                  </pic:spPr>
                </pic:pic>
              </a:graphicData>
            </a:graphic>
          </wp:anchor>
        </w:drawing>
      </w:r>
      <w:r w:rsidRPr="00ED4133">
        <w:rPr>
          <w:rFonts w:ascii="KievitPro-Regular" w:hAnsi="KievitPro-Regular"/>
          <w:b/>
          <w:sz w:val="22"/>
          <w:szCs w:val="22"/>
          <w:lang w:val="it-CH"/>
        </w:rPr>
        <w:t xml:space="preserve">Modello esemplificativo: </w:t>
      </w:r>
    </w:p>
    <w:p w14:paraId="4FAA3170" w14:textId="23A87159" w:rsidR="00E63749" w:rsidRPr="002858E4" w:rsidRDefault="00E63749" w:rsidP="00E63749">
      <w:pPr>
        <w:rPr>
          <w:rFonts w:ascii="Avenir LT Std 35 Light" w:hAnsi="Avenir LT Std 35 Light"/>
          <w:noProof/>
          <w:lang w:val="it-CH"/>
        </w:rPr>
      </w:pPr>
    </w:p>
    <w:p w14:paraId="4F37784B" w14:textId="10BACADC" w:rsidR="00E63749" w:rsidRPr="002858E4" w:rsidRDefault="00E63749" w:rsidP="00E63749">
      <w:pPr>
        <w:ind w:left="709"/>
        <w:jc w:val="left"/>
        <w:rPr>
          <w:rFonts w:ascii="Avenir LT Std 35 Light" w:hAnsi="Avenir LT Std 35 Light"/>
          <w:lang w:val="it-CH"/>
        </w:rPr>
      </w:pPr>
    </w:p>
    <w:p w14:paraId="03765D31" w14:textId="77777777" w:rsidR="00E63749" w:rsidRDefault="00E63749" w:rsidP="00E63749">
      <w:pPr>
        <w:rPr>
          <w:rFonts w:ascii="Avenir LT Std 35 Light" w:hAnsi="Avenir LT Std 35 Light"/>
          <w:b/>
          <w:lang w:val="it-CH"/>
        </w:rPr>
        <w:sectPr w:rsidR="00E63749" w:rsidSect="00E63749">
          <w:headerReference w:type="default" r:id="rId13"/>
          <w:pgSz w:w="11907" w:h="16840"/>
          <w:pgMar w:top="1418" w:right="992" w:bottom="851" w:left="1418" w:header="0" w:footer="170" w:gutter="0"/>
          <w:cols w:space="720"/>
          <w:docGrid w:linePitch="272"/>
        </w:sectPr>
      </w:pPr>
    </w:p>
    <w:p w14:paraId="4E5287E8" w14:textId="77777777" w:rsidR="00E63749" w:rsidRPr="000E27FB" w:rsidRDefault="00E63749"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96" w:name="_Toc331510694"/>
      <w:bookmarkStart w:id="97" w:name="_Toc353376099"/>
      <w:bookmarkStart w:id="98" w:name="_Toc359071944"/>
      <w:bookmarkStart w:id="99" w:name="_Toc126737275"/>
      <w:r w:rsidRPr="000E27FB">
        <w:rPr>
          <w:rFonts w:ascii="Avenir LT Std 35 Light" w:hAnsi="Avenir LT Std 35 Light"/>
          <w:smallCaps/>
          <w:snapToGrid/>
          <w:sz w:val="24"/>
          <w:szCs w:val="28"/>
          <w:lang w:val="it-CH" w:eastAsia="en-US"/>
        </w:rPr>
        <w:lastRenderedPageBreak/>
        <w:t>5.4</w:t>
      </w:r>
      <w:r w:rsidRPr="000E27FB">
        <w:rPr>
          <w:rFonts w:ascii="Avenir LT Std 35 Light" w:hAnsi="Avenir LT Std 35 Light"/>
          <w:smallCaps/>
          <w:snapToGrid/>
          <w:sz w:val="24"/>
          <w:szCs w:val="28"/>
          <w:lang w:val="it-CH" w:eastAsia="en-US"/>
        </w:rPr>
        <w:tab/>
        <w:t xml:space="preserve">Organigramma Esempio </w:t>
      </w:r>
      <w:bookmarkEnd w:id="96"/>
      <w:bookmarkEnd w:id="97"/>
      <w:bookmarkEnd w:id="98"/>
      <w:r w:rsidRPr="000E27FB">
        <w:rPr>
          <w:rFonts w:ascii="Avenir LT Std 35 Light" w:hAnsi="Avenir LT Std 35 Light"/>
          <w:smallCaps/>
          <w:snapToGrid/>
          <w:sz w:val="24"/>
          <w:szCs w:val="28"/>
          <w:lang w:val="it-CH" w:eastAsia="en-US"/>
        </w:rPr>
        <w:t>SA</w:t>
      </w:r>
      <w:bookmarkEnd w:id="99"/>
    </w:p>
    <w:p w14:paraId="1E0EB096" w14:textId="21382F2C" w:rsidR="00E63749" w:rsidRPr="002858E4" w:rsidRDefault="00E63749" w:rsidP="00E63749">
      <w:pPr>
        <w:rPr>
          <w:rFonts w:ascii="Avenir LT Std 35 Light" w:hAnsi="Avenir LT Std 35 Light"/>
          <w:b/>
          <w:lang w:val="it-CH"/>
        </w:rPr>
      </w:pPr>
    </w:p>
    <w:p w14:paraId="006238EC" w14:textId="373924EE" w:rsidR="00ED4133" w:rsidRDefault="00E63749" w:rsidP="00E63749">
      <w:pPr>
        <w:rPr>
          <w:rFonts w:ascii="KievitPro-Regular" w:hAnsi="KievitPro-Regular" w:cs="Arial"/>
          <w:b/>
          <w:lang w:val="it-CH"/>
        </w:rPr>
      </w:pPr>
      <w:r w:rsidRPr="008F0C94">
        <w:rPr>
          <w:noProof/>
          <w:lang w:eastAsia="de-CH"/>
        </w:rPr>
        <mc:AlternateContent>
          <mc:Choice Requires="wpg">
            <w:drawing>
              <wp:inline distT="0" distB="0" distL="0" distR="0" wp14:anchorId="7BC38581" wp14:editId="16E59F1A">
                <wp:extent cx="6889750" cy="4772025"/>
                <wp:effectExtent l="9525" t="19050" r="15875"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750" cy="4772025"/>
                          <a:chOff x="21237" y="7647"/>
                          <a:chExt cx="69540" cy="47229"/>
                        </a:xfrm>
                      </wpg:grpSpPr>
                      <wps:wsp>
                        <wps:cNvPr id="49" name="Rechteck 6"/>
                        <wps:cNvSpPr>
                          <a:spLocks noChangeArrowheads="1"/>
                        </wps:cNvSpPr>
                        <wps:spPr bwMode="auto">
                          <a:xfrm>
                            <a:off x="35638" y="7647"/>
                            <a:ext cx="13682" cy="5760"/>
                          </a:xfrm>
                          <a:prstGeom prst="rect">
                            <a:avLst/>
                          </a:prstGeom>
                          <a:solidFill>
                            <a:srgbClr val="FFFFFF"/>
                          </a:solidFill>
                          <a:ln w="25400">
                            <a:solidFill>
                              <a:srgbClr val="000000"/>
                            </a:solidFill>
                            <a:miter lim="800000"/>
                            <a:headEnd/>
                            <a:tailEnd/>
                          </a:ln>
                        </wps:spPr>
                        <wps:txbx>
                          <w:txbxContent>
                            <w:p w14:paraId="5BC59613" w14:textId="77777777" w:rsidR="00EB2FBE" w:rsidRDefault="00EB2FBE" w:rsidP="00E63749">
                              <w:pPr>
                                <w:pStyle w:val="StandardWeb"/>
                                <w:jc w:val="center"/>
                              </w:pPr>
                              <w:r>
                                <w:rPr>
                                  <w:rFonts w:ascii="Calibri" w:hAnsi="Calibri"/>
                                  <w:color w:val="000000"/>
                                  <w:kern w:val="24"/>
                                </w:rPr>
                                <w:t>CdA/ Direzione</w:t>
                              </w:r>
                            </w:p>
                          </w:txbxContent>
                        </wps:txbx>
                        <wps:bodyPr rot="0" vert="horz" wrap="square" lIns="91440" tIns="45720" rIns="91440" bIns="45720" anchor="ctr" anchorCtr="0" upright="1">
                          <a:noAutofit/>
                        </wps:bodyPr>
                      </wps:wsp>
                      <wps:wsp>
                        <wps:cNvPr id="50" name="Rechteck 7"/>
                        <wps:cNvSpPr>
                          <a:spLocks noChangeArrowheads="1"/>
                        </wps:cNvSpPr>
                        <wps:spPr bwMode="auto">
                          <a:xfrm>
                            <a:off x="24117" y="23488"/>
                            <a:ext cx="15842" cy="4321"/>
                          </a:xfrm>
                          <a:prstGeom prst="rect">
                            <a:avLst/>
                          </a:prstGeom>
                          <a:solidFill>
                            <a:srgbClr val="FFFFFF"/>
                          </a:solidFill>
                          <a:ln w="25400">
                            <a:solidFill>
                              <a:srgbClr val="000000"/>
                            </a:solidFill>
                            <a:miter lim="800000"/>
                            <a:headEnd/>
                            <a:tailEnd/>
                          </a:ln>
                        </wps:spPr>
                        <wps:txbx>
                          <w:txbxContent>
                            <w:p w14:paraId="1D82AB2E" w14:textId="77777777" w:rsidR="00EB2FBE" w:rsidRDefault="00EB2FBE" w:rsidP="00E63749">
                              <w:pPr>
                                <w:pStyle w:val="StandardWeb"/>
                                <w:jc w:val="center"/>
                              </w:pPr>
                              <w:r>
                                <w:rPr>
                                  <w:rFonts w:ascii="Avenir LT 35 Light" w:hAnsi="Avenir LT 35 Light"/>
                                  <w:color w:val="000000"/>
                                  <w:kern w:val="24"/>
                                  <w:sz w:val="20"/>
                                  <w:szCs w:val="20"/>
                                </w:rPr>
                                <w:t>Revisione</w:t>
                              </w:r>
                            </w:p>
                          </w:txbxContent>
                        </wps:txbx>
                        <wps:bodyPr rot="0" vert="horz" wrap="square" lIns="91440" tIns="45720" rIns="91440" bIns="45720" anchor="ctr" anchorCtr="0" upright="1">
                          <a:noAutofit/>
                        </wps:bodyPr>
                      </wps:wsp>
                      <wps:wsp>
                        <wps:cNvPr id="51" name="Rechteck 8"/>
                        <wps:cNvSpPr>
                          <a:spLocks noChangeArrowheads="1"/>
                        </wps:cNvSpPr>
                        <wps:spPr bwMode="auto">
                          <a:xfrm>
                            <a:off x="24117" y="35010"/>
                            <a:ext cx="15842" cy="4320"/>
                          </a:xfrm>
                          <a:prstGeom prst="rect">
                            <a:avLst/>
                          </a:prstGeom>
                          <a:solidFill>
                            <a:srgbClr val="FFFFFF"/>
                          </a:solidFill>
                          <a:ln w="25400">
                            <a:solidFill>
                              <a:srgbClr val="000000"/>
                            </a:solidFill>
                            <a:miter lim="800000"/>
                            <a:headEnd/>
                            <a:tailEnd/>
                          </a:ln>
                        </wps:spPr>
                        <wps:txbx>
                          <w:txbxContent>
                            <w:p w14:paraId="132937A5" w14:textId="77777777" w:rsidR="00EB2FBE" w:rsidRDefault="00EB2FBE" w:rsidP="00E63749">
                              <w:pPr>
                                <w:pStyle w:val="StandardWeb"/>
                                <w:jc w:val="center"/>
                              </w:pPr>
                              <w:r>
                                <w:rPr>
                                  <w:rFonts w:ascii="Avenir LT 35 Light" w:hAnsi="Avenir LT 35 Light"/>
                                  <w:color w:val="000000"/>
                                  <w:kern w:val="24"/>
                                  <w:sz w:val="20"/>
                                  <w:szCs w:val="20"/>
                                </w:rPr>
                                <w:t>Contabilità/ Fiduciaria</w:t>
                              </w:r>
                            </w:p>
                          </w:txbxContent>
                        </wps:txbx>
                        <wps:bodyPr rot="0" vert="horz" wrap="square" lIns="91440" tIns="45720" rIns="91440" bIns="45720" anchor="ctr" anchorCtr="0" upright="1">
                          <a:noAutofit/>
                        </wps:bodyPr>
                      </wps:wsp>
                      <wps:wsp>
                        <wps:cNvPr id="52" name="Rechteck 9"/>
                        <wps:cNvSpPr>
                          <a:spLocks noChangeArrowheads="1"/>
                        </wps:cNvSpPr>
                        <wps:spPr bwMode="auto">
                          <a:xfrm>
                            <a:off x="70494" y="24928"/>
                            <a:ext cx="20283" cy="5061"/>
                          </a:xfrm>
                          <a:prstGeom prst="rect">
                            <a:avLst/>
                          </a:prstGeom>
                          <a:solidFill>
                            <a:srgbClr val="FFFFFF"/>
                          </a:solidFill>
                          <a:ln w="25400">
                            <a:solidFill>
                              <a:srgbClr val="000000"/>
                            </a:solidFill>
                            <a:miter lim="800000"/>
                            <a:headEnd/>
                            <a:tailEnd/>
                          </a:ln>
                        </wps:spPr>
                        <wps:txbx>
                          <w:txbxContent>
                            <w:p w14:paraId="0B66F9AE" w14:textId="77777777" w:rsidR="00EB2FBE" w:rsidRDefault="00EB2FBE" w:rsidP="00E63749">
                              <w:pPr>
                                <w:pStyle w:val="StandardWeb"/>
                                <w:jc w:val="center"/>
                              </w:pPr>
                              <w:r>
                                <w:rPr>
                                  <w:rFonts w:ascii="Avenir LT 35 Light" w:hAnsi="Avenir LT 35 Light"/>
                                  <w:color w:val="000000"/>
                                  <w:kern w:val="24"/>
                                  <w:sz w:val="20"/>
                                  <w:szCs w:val="20"/>
                                </w:rPr>
                                <w:t xml:space="preserve">Personale &amp; amministrazione </w:t>
                              </w:r>
                            </w:p>
                          </w:txbxContent>
                        </wps:txbx>
                        <wps:bodyPr rot="0" vert="horz" wrap="square" lIns="91440" tIns="45720" rIns="91440" bIns="45720" anchor="ctr" anchorCtr="0" upright="1">
                          <a:noAutofit/>
                        </wps:bodyPr>
                      </wps:wsp>
                      <wps:wsp>
                        <wps:cNvPr id="53" name="Gerade Verbindung 10"/>
                        <wps:cNvCnPr>
                          <a:cxnSpLocks noChangeShapeType="1"/>
                        </wps:cNvCnPr>
                        <wps:spPr bwMode="auto">
                          <a:xfrm>
                            <a:off x="36663" y="18219"/>
                            <a:ext cx="23763"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54" name="Ellipse 11"/>
                        <wps:cNvSpPr>
                          <a:spLocks noChangeArrowheads="1"/>
                        </wps:cNvSpPr>
                        <wps:spPr bwMode="auto">
                          <a:xfrm>
                            <a:off x="25142" y="15796"/>
                            <a:ext cx="11521" cy="4694"/>
                          </a:xfrm>
                          <a:prstGeom prst="ellipse">
                            <a:avLst/>
                          </a:prstGeom>
                          <a:solidFill>
                            <a:srgbClr val="FFFFFF"/>
                          </a:solidFill>
                          <a:ln w="25400">
                            <a:solidFill>
                              <a:srgbClr val="000000"/>
                            </a:solidFill>
                            <a:round/>
                            <a:headEnd/>
                            <a:tailEnd/>
                          </a:ln>
                        </wps:spPr>
                        <wps:txbx>
                          <w:txbxContent>
                            <w:p w14:paraId="7A8EDDC3" w14:textId="77777777" w:rsidR="00EB2FBE" w:rsidRDefault="00EB2FBE" w:rsidP="00E63749">
                              <w:pPr>
                                <w:pStyle w:val="StandardWeb"/>
                                <w:jc w:val="center"/>
                              </w:pPr>
                              <w:r>
                                <w:rPr>
                                  <w:rFonts w:ascii="Avenir LT 35 Light" w:hAnsi="Avenir LT 35 Light"/>
                                  <w:color w:val="000000"/>
                                  <w:kern w:val="24"/>
                                  <w:sz w:val="20"/>
                                  <w:szCs w:val="20"/>
                                </w:rPr>
                                <w:t>Segreteria</w:t>
                              </w:r>
                            </w:p>
                          </w:txbxContent>
                        </wps:txbx>
                        <wps:bodyPr rot="0" vert="horz" wrap="square" lIns="91440" tIns="45720" rIns="91440" bIns="45720" anchor="ctr" anchorCtr="0" upright="1">
                          <a:noAutofit/>
                        </wps:bodyPr>
                      </wps:wsp>
                      <wps:wsp>
                        <wps:cNvPr id="55" name="Rechteck 12"/>
                        <wps:cNvSpPr>
                          <a:spLocks noChangeArrowheads="1"/>
                        </wps:cNvSpPr>
                        <wps:spPr bwMode="auto">
                          <a:xfrm>
                            <a:off x="70458" y="30689"/>
                            <a:ext cx="20222" cy="4321"/>
                          </a:xfrm>
                          <a:prstGeom prst="rect">
                            <a:avLst/>
                          </a:prstGeom>
                          <a:solidFill>
                            <a:srgbClr val="FFFFFF"/>
                          </a:solidFill>
                          <a:ln w="25400">
                            <a:solidFill>
                              <a:srgbClr val="000000"/>
                            </a:solidFill>
                            <a:miter lim="800000"/>
                            <a:headEnd/>
                            <a:tailEnd/>
                          </a:ln>
                        </wps:spPr>
                        <wps:txbx>
                          <w:txbxContent>
                            <w:p w14:paraId="5207CA93" w14:textId="77777777" w:rsidR="00EB2FBE" w:rsidRDefault="00EB2FBE" w:rsidP="00E63749">
                              <w:pPr>
                                <w:pStyle w:val="StandardWeb"/>
                                <w:jc w:val="center"/>
                              </w:pPr>
                              <w:r>
                                <w:rPr>
                                  <w:rFonts w:ascii="Avenir LT 35 Light" w:hAnsi="Avenir LT 35 Light"/>
                                  <w:color w:val="000000"/>
                                  <w:kern w:val="24"/>
                                  <w:sz w:val="20"/>
                                  <w:szCs w:val="20"/>
                                </w:rPr>
                                <w:t>Finanze &amp; Contabilità</w:t>
                              </w:r>
                            </w:p>
                          </w:txbxContent>
                        </wps:txbx>
                        <wps:bodyPr rot="0" vert="horz" wrap="square" lIns="91440" tIns="45720" rIns="91440" bIns="45720" anchor="ctr" anchorCtr="0" upright="1">
                          <a:noAutofit/>
                        </wps:bodyPr>
                      </wps:wsp>
                      <wps:wsp>
                        <wps:cNvPr id="56" name="Rechteck 13"/>
                        <wps:cNvSpPr>
                          <a:spLocks noChangeArrowheads="1"/>
                        </wps:cNvSpPr>
                        <wps:spPr bwMode="auto">
                          <a:xfrm>
                            <a:off x="70503" y="36170"/>
                            <a:ext cx="20176" cy="4320"/>
                          </a:xfrm>
                          <a:prstGeom prst="rect">
                            <a:avLst/>
                          </a:prstGeom>
                          <a:solidFill>
                            <a:srgbClr val="FFFFFF"/>
                          </a:solidFill>
                          <a:ln w="25400">
                            <a:solidFill>
                              <a:srgbClr val="000000"/>
                            </a:solidFill>
                            <a:miter lim="800000"/>
                            <a:headEnd/>
                            <a:tailEnd/>
                          </a:ln>
                        </wps:spPr>
                        <wps:txbx>
                          <w:txbxContent>
                            <w:p w14:paraId="0139A0C7" w14:textId="77777777" w:rsidR="00EB2FBE" w:rsidRDefault="00EB2FBE" w:rsidP="00E63749">
                              <w:pPr>
                                <w:pStyle w:val="StandardWeb"/>
                                <w:jc w:val="center"/>
                              </w:pPr>
                              <w:r>
                                <w:rPr>
                                  <w:rFonts w:ascii="Avenir LT 35 Light" w:hAnsi="Avenir LT 35 Light"/>
                                  <w:color w:val="000000"/>
                                  <w:kern w:val="24"/>
                                  <w:sz w:val="20"/>
                                  <w:szCs w:val="20"/>
                                </w:rPr>
                                <w:t>Infrastruttura &amp; IT</w:t>
                              </w:r>
                            </w:p>
                          </w:txbxContent>
                        </wps:txbx>
                        <wps:bodyPr rot="0" vert="horz" wrap="square" lIns="91440" tIns="45720" rIns="91440" bIns="45720" anchor="ctr" anchorCtr="0" upright="1">
                          <a:noAutofit/>
                        </wps:bodyPr>
                      </wps:wsp>
                      <wps:wsp>
                        <wps:cNvPr id="57" name="Rechteck 14"/>
                        <wps:cNvSpPr>
                          <a:spLocks noChangeArrowheads="1"/>
                        </wps:cNvSpPr>
                        <wps:spPr bwMode="auto">
                          <a:xfrm>
                            <a:off x="24117" y="29249"/>
                            <a:ext cx="15842" cy="4404"/>
                          </a:xfrm>
                          <a:prstGeom prst="rect">
                            <a:avLst/>
                          </a:prstGeom>
                          <a:solidFill>
                            <a:srgbClr val="FFFFFF"/>
                          </a:solidFill>
                          <a:ln w="25400">
                            <a:solidFill>
                              <a:srgbClr val="000000"/>
                            </a:solidFill>
                            <a:miter lim="800000"/>
                            <a:headEnd/>
                            <a:tailEnd/>
                          </a:ln>
                        </wps:spPr>
                        <wps:txbx>
                          <w:txbxContent>
                            <w:p w14:paraId="2C431686" w14:textId="77777777" w:rsidR="00EB2FBE" w:rsidRDefault="00EB2FBE" w:rsidP="00E63749">
                              <w:pPr>
                                <w:pStyle w:val="StandardWeb"/>
                                <w:jc w:val="center"/>
                              </w:pPr>
                              <w:r>
                                <w:rPr>
                                  <w:rFonts w:ascii="Avenir LT 35 Light" w:hAnsi="Avenir LT 35 Light"/>
                                  <w:color w:val="000000"/>
                                  <w:kern w:val="24"/>
                                  <w:sz w:val="20"/>
                                  <w:szCs w:val="20"/>
                                </w:rPr>
                                <w:t>Immobili</w:t>
                              </w:r>
                            </w:p>
                          </w:txbxContent>
                        </wps:txbx>
                        <wps:bodyPr rot="0" vert="horz" wrap="square" lIns="91440" tIns="45720" rIns="91440" bIns="45720" anchor="ctr" anchorCtr="0" upright="1">
                          <a:noAutofit/>
                        </wps:bodyPr>
                      </wps:wsp>
                      <wps:wsp>
                        <wps:cNvPr id="58" name="Rechteck 15"/>
                        <wps:cNvSpPr>
                          <a:spLocks noChangeArrowheads="1"/>
                        </wps:cNvSpPr>
                        <wps:spPr bwMode="auto">
                          <a:xfrm>
                            <a:off x="70660" y="41490"/>
                            <a:ext cx="20018" cy="5765"/>
                          </a:xfrm>
                          <a:prstGeom prst="rect">
                            <a:avLst/>
                          </a:prstGeom>
                          <a:solidFill>
                            <a:srgbClr val="FFFFFF"/>
                          </a:solidFill>
                          <a:ln w="25400">
                            <a:solidFill>
                              <a:srgbClr val="000000"/>
                            </a:solidFill>
                            <a:miter lim="800000"/>
                            <a:headEnd/>
                            <a:tailEnd/>
                          </a:ln>
                        </wps:spPr>
                        <wps:txbx>
                          <w:txbxContent>
                            <w:p w14:paraId="08DE8861" w14:textId="77777777" w:rsidR="00EB2FBE" w:rsidRDefault="00EB2FBE" w:rsidP="00E63749">
                              <w:pPr>
                                <w:pStyle w:val="StandardWeb"/>
                                <w:jc w:val="center"/>
                              </w:pPr>
                              <w:r>
                                <w:rPr>
                                  <w:rFonts w:ascii="Avenir LT 35 Light" w:hAnsi="Avenir LT 35 Light"/>
                                  <w:color w:val="000000"/>
                                  <w:kern w:val="24"/>
                                  <w:sz w:val="20"/>
                                  <w:szCs w:val="20"/>
                                </w:rPr>
                                <w:t>Assistenza &amp; Formazione</w:t>
                              </w:r>
                            </w:p>
                          </w:txbxContent>
                        </wps:txbx>
                        <wps:bodyPr rot="0" vert="horz" wrap="square" lIns="91440" tIns="45720" rIns="91440" bIns="45720" anchor="ctr" anchorCtr="0" upright="1">
                          <a:noAutofit/>
                        </wps:bodyPr>
                      </wps:wsp>
                      <wps:wsp>
                        <wps:cNvPr id="59" name="Rechteck 16"/>
                        <wps:cNvSpPr>
                          <a:spLocks noChangeArrowheads="1"/>
                        </wps:cNvSpPr>
                        <wps:spPr bwMode="auto">
                          <a:xfrm>
                            <a:off x="60426" y="16288"/>
                            <a:ext cx="13446" cy="3870"/>
                          </a:xfrm>
                          <a:prstGeom prst="rect">
                            <a:avLst/>
                          </a:prstGeom>
                          <a:solidFill>
                            <a:srgbClr val="FFFFFF"/>
                          </a:solidFill>
                          <a:ln w="25400">
                            <a:solidFill>
                              <a:srgbClr val="000000"/>
                            </a:solidFill>
                            <a:miter lim="800000"/>
                            <a:headEnd/>
                            <a:tailEnd/>
                          </a:ln>
                        </wps:spPr>
                        <wps:txbx>
                          <w:txbxContent>
                            <w:p w14:paraId="3878FDB1" w14:textId="77777777" w:rsidR="00EB2FBE" w:rsidRDefault="00EB2FBE" w:rsidP="00E63749">
                              <w:pPr>
                                <w:pStyle w:val="StandardWeb"/>
                                <w:jc w:val="center"/>
                              </w:pPr>
                              <w:r>
                                <w:rPr>
                                  <w:rFonts w:ascii="Avenir LT 35 Light" w:hAnsi="Avenir LT 35 Light"/>
                                  <w:color w:val="000000"/>
                                  <w:kern w:val="24"/>
                                  <w:sz w:val="20"/>
                                  <w:szCs w:val="20"/>
                                </w:rPr>
                                <w:t>Amministrazione</w:t>
                              </w:r>
                            </w:p>
                          </w:txbxContent>
                        </wps:txbx>
                        <wps:bodyPr rot="0" vert="horz" wrap="square" lIns="91440" tIns="45720" rIns="91440" bIns="45720" anchor="ctr" anchorCtr="0" upright="1">
                          <a:noAutofit/>
                        </wps:bodyPr>
                      </wps:wsp>
                      <wps:wsp>
                        <wps:cNvPr id="60" name="Gerade Verbindung 17"/>
                        <wps:cNvCnPr>
                          <a:cxnSpLocks noChangeShapeType="1"/>
                        </wps:cNvCnPr>
                        <wps:spPr bwMode="auto">
                          <a:xfrm flipH="1">
                            <a:off x="66187" y="20158"/>
                            <a:ext cx="41" cy="2349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1" name="Gerade Verbindung 18"/>
                        <wps:cNvCnPr>
                          <a:cxnSpLocks noChangeShapeType="1"/>
                        </wps:cNvCnPr>
                        <wps:spPr bwMode="auto">
                          <a:xfrm>
                            <a:off x="66187" y="2708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2" name="Gerade Verbindung 19"/>
                        <wps:cNvCnPr>
                          <a:cxnSpLocks noChangeShapeType="1"/>
                        </wps:cNvCnPr>
                        <wps:spPr bwMode="auto">
                          <a:xfrm>
                            <a:off x="66187" y="3284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3" name="Gerade Verbindung 20"/>
                        <wps:cNvCnPr>
                          <a:cxnSpLocks noChangeShapeType="1"/>
                        </wps:cNvCnPr>
                        <wps:spPr bwMode="auto">
                          <a:xfrm>
                            <a:off x="66187" y="38610"/>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4" name="Gerade Verbindung 21"/>
                        <wps:cNvCnPr>
                          <a:cxnSpLocks noChangeShapeType="1"/>
                        </wps:cNvCnPr>
                        <wps:spPr bwMode="auto">
                          <a:xfrm>
                            <a:off x="66187" y="43651"/>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5" name="Textfeld 126"/>
                        <wps:cNvSpPr txBox="1">
                          <a:spLocks noChangeArrowheads="1"/>
                        </wps:cNvSpPr>
                        <wps:spPr bwMode="auto">
                          <a:xfrm>
                            <a:off x="24422" y="48691"/>
                            <a:ext cx="25203" cy="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8AA1B" w14:textId="77777777" w:rsidR="00EB2FBE" w:rsidRDefault="00EB2FBE" w:rsidP="00E63749">
                              <w:pPr>
                                <w:pStyle w:val="StandardWeb"/>
                                <w:tabs>
                                  <w:tab w:val="left" w:pos="565"/>
                                </w:tabs>
                                <w:rPr>
                                  <w:lang w:val="it-IT"/>
                                </w:rPr>
                              </w:pPr>
                              <w:r>
                                <w:rPr>
                                  <w:rFonts w:ascii="Avenir LT 35 Light" w:hAnsi="Avenir LT 35 Light"/>
                                  <w:color w:val="000000"/>
                                  <w:kern w:val="24"/>
                                  <w:sz w:val="16"/>
                                  <w:szCs w:val="16"/>
                                  <w:lang w:val="it-IT"/>
                                </w:rPr>
                                <w:t xml:space="preserve">Suddivisione nei rispettivi settori sulla base delle competenze tecniche così che non ci sia alcuna facoltà di impartire istruzioni. </w:t>
                              </w:r>
                            </w:p>
                          </w:txbxContent>
                        </wps:txbx>
                        <wps:bodyPr rot="0" vert="horz" wrap="square" lIns="91440" tIns="45720" rIns="91440" bIns="45720" anchor="t" anchorCtr="0" upright="1">
                          <a:noAutofit/>
                        </wps:bodyPr>
                      </wps:wsp>
                      <wps:wsp>
                        <wps:cNvPr id="66" name="Gerade Verbindung 23"/>
                        <wps:cNvCnPr>
                          <a:cxnSpLocks noChangeShapeType="1"/>
                        </wps:cNvCnPr>
                        <wps:spPr bwMode="auto">
                          <a:xfrm flipV="1">
                            <a:off x="21957" y="49826"/>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67" name="Rechteck 24"/>
                        <wps:cNvSpPr>
                          <a:spLocks noChangeArrowheads="1"/>
                        </wps:cNvSpPr>
                        <wps:spPr bwMode="auto">
                          <a:xfrm>
                            <a:off x="24117" y="40770"/>
                            <a:ext cx="15842" cy="5339"/>
                          </a:xfrm>
                          <a:prstGeom prst="rect">
                            <a:avLst/>
                          </a:prstGeom>
                          <a:solidFill>
                            <a:srgbClr val="FFFFFF"/>
                          </a:solidFill>
                          <a:ln w="25400">
                            <a:solidFill>
                              <a:srgbClr val="000000"/>
                            </a:solidFill>
                            <a:miter lim="800000"/>
                            <a:headEnd/>
                            <a:tailEnd/>
                          </a:ln>
                        </wps:spPr>
                        <wps:txbx>
                          <w:txbxContent>
                            <w:p w14:paraId="093502CD" w14:textId="77777777" w:rsidR="00EB2FBE" w:rsidRDefault="00EB2FBE" w:rsidP="00E63749">
                              <w:pPr>
                                <w:pStyle w:val="StandardWeb"/>
                                <w:jc w:val="center"/>
                              </w:pPr>
                              <w:r>
                                <w:rPr>
                                  <w:rFonts w:ascii="Avenir LT 35 Light" w:hAnsi="Avenir LT 35 Light"/>
                                  <w:color w:val="000000"/>
                                  <w:kern w:val="24"/>
                                  <w:sz w:val="20"/>
                                  <w:szCs w:val="20"/>
                                </w:rPr>
                                <w:t xml:space="preserve">Consulenza fiscale e gestionale </w:t>
                              </w:r>
                            </w:p>
                          </w:txbxContent>
                        </wps:txbx>
                        <wps:bodyPr rot="0" vert="horz" wrap="square" lIns="91440" tIns="45720" rIns="91440" bIns="45720" anchor="ctr" anchorCtr="0" upright="1">
                          <a:noAutofit/>
                        </wps:bodyPr>
                      </wps:wsp>
                      <wps:wsp>
                        <wps:cNvPr id="68" name="Gerade Verbindung 25"/>
                        <wps:cNvCnPr>
                          <a:cxnSpLocks noChangeShapeType="1"/>
                        </wps:cNvCnPr>
                        <wps:spPr bwMode="auto">
                          <a:xfrm>
                            <a:off x="42839" y="13407"/>
                            <a:ext cx="0" cy="2952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69" name="Gerade Verbindung 26"/>
                        <wps:cNvCnPr>
                          <a:cxnSpLocks noChangeShapeType="1"/>
                        </wps:cNvCnPr>
                        <wps:spPr bwMode="auto">
                          <a:xfrm>
                            <a:off x="39959" y="2564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0" name="Gerade Verbindung 27"/>
                        <wps:cNvCnPr>
                          <a:cxnSpLocks noChangeShapeType="1"/>
                        </wps:cNvCnPr>
                        <wps:spPr bwMode="auto">
                          <a:xfrm>
                            <a:off x="39959" y="3140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1" name="Gerade Verbindung 28"/>
                        <wps:cNvCnPr>
                          <a:cxnSpLocks noChangeShapeType="1"/>
                        </wps:cNvCnPr>
                        <wps:spPr bwMode="auto">
                          <a:xfrm>
                            <a:off x="39959" y="3717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2" name="Gerade Verbindung 29"/>
                        <wps:cNvCnPr>
                          <a:cxnSpLocks noChangeShapeType="1"/>
                        </wps:cNvCnPr>
                        <wps:spPr bwMode="auto">
                          <a:xfrm>
                            <a:off x="39959" y="4293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73" name="Gerade Verbindung 30"/>
                        <wps:cNvCnPr>
                          <a:cxnSpLocks noChangeShapeType="1"/>
                        </wps:cNvCnPr>
                        <wps:spPr bwMode="auto">
                          <a:xfrm>
                            <a:off x="21237" y="25649"/>
                            <a:ext cx="0" cy="17281"/>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4" name="Gerade Verbindung 31"/>
                        <wps:cNvCnPr>
                          <a:cxnSpLocks noChangeShapeType="1"/>
                        </wps:cNvCnPr>
                        <wps:spPr bwMode="auto">
                          <a:xfrm>
                            <a:off x="21237" y="2564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5" name="Gerade Verbindung 32"/>
                        <wps:cNvCnPr>
                          <a:cxnSpLocks noChangeShapeType="1"/>
                        </wps:cNvCnPr>
                        <wps:spPr bwMode="auto">
                          <a:xfrm>
                            <a:off x="21237" y="3140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6" name="Gerade Verbindung 33"/>
                        <wps:cNvCnPr>
                          <a:cxnSpLocks noChangeShapeType="1"/>
                        </wps:cNvCnPr>
                        <wps:spPr bwMode="auto">
                          <a:xfrm>
                            <a:off x="21237" y="3717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77" name="Gerade Verbindung 34"/>
                        <wps:cNvCnPr>
                          <a:cxnSpLocks noChangeShapeType="1"/>
                        </wps:cNvCnPr>
                        <wps:spPr bwMode="auto">
                          <a:xfrm>
                            <a:off x="21237" y="4293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C38581" id="Group 48" o:spid="_x0000_s1026" style="width:542.5pt;height:375.75pt;mso-position-horizontal-relative:char;mso-position-vertical-relative:line" coordorigin="21237,7647" coordsize="69540,4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">
                <v:rect id="Rechteck 6" o:spid="_x0000_s1027" style="position:absolute;left:35638;top:7647;width:13682;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0bxAAAANsAAAAPAAAAZHJzL2Rvd25yZXYueG1sRI9Ba8JA&#10;FITvQv/D8gq96a6hFE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HczrRvEAAAA2wAAAA8A&#10;AAAAAAAAAAAAAAAABwIAAGRycy9kb3ducmV2LnhtbFBLBQYAAAAAAwADALcAAAD4AgAAAAA=&#10;" strokeweight="2pt">
                  <v:textbox>
                    <w:txbxContent>
                      <w:p w14:paraId="5BC59613" w14:textId="77777777" w:rsidR="00EB2FBE" w:rsidRDefault="00EB2FBE" w:rsidP="00E63749">
                        <w:pPr>
                          <w:pStyle w:val="StandardWeb"/>
                          <w:jc w:val="center"/>
                        </w:pPr>
                        <w:proofErr w:type="spellStart"/>
                        <w:r>
                          <w:rPr>
                            <w:rFonts w:ascii="Calibri" w:hAnsi="Calibri"/>
                            <w:color w:val="000000"/>
                            <w:kern w:val="24"/>
                          </w:rPr>
                          <w:t>CdA</w:t>
                        </w:r>
                        <w:proofErr w:type="spellEnd"/>
                        <w:r>
                          <w:rPr>
                            <w:rFonts w:ascii="Calibri" w:hAnsi="Calibri"/>
                            <w:color w:val="000000"/>
                            <w:kern w:val="24"/>
                          </w:rPr>
                          <w:t xml:space="preserve">/ </w:t>
                        </w:r>
                        <w:proofErr w:type="spellStart"/>
                        <w:r>
                          <w:rPr>
                            <w:rFonts w:ascii="Calibri" w:hAnsi="Calibri"/>
                            <w:color w:val="000000"/>
                            <w:kern w:val="24"/>
                          </w:rPr>
                          <w:t>Direzione</w:t>
                        </w:r>
                        <w:proofErr w:type="spellEnd"/>
                      </w:p>
                    </w:txbxContent>
                  </v:textbox>
                </v:rect>
                <v:rect id="Rechteck 7" o:spid="_x0000_s1028" style="position:absolute;left:24117;top:23488;width:158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" strokeweight="2pt">
                  <v:textbox>
                    <w:txbxContent>
                      <w:p w14:paraId="1D82AB2E" w14:textId="77777777" w:rsidR="00EB2FBE" w:rsidRDefault="00EB2FBE" w:rsidP="00E63749">
                        <w:pPr>
                          <w:pStyle w:val="StandardWeb"/>
                          <w:jc w:val="center"/>
                        </w:pPr>
                        <w:proofErr w:type="spellStart"/>
                        <w:r>
                          <w:rPr>
                            <w:rFonts w:ascii="Avenir LT 35 Light" w:hAnsi="Avenir LT 35 Light"/>
                            <w:color w:val="000000"/>
                            <w:kern w:val="24"/>
                            <w:sz w:val="20"/>
                            <w:szCs w:val="20"/>
                          </w:rPr>
                          <w:t>Revisione</w:t>
                        </w:r>
                        <w:proofErr w:type="spellEnd"/>
                      </w:p>
                    </w:txbxContent>
                  </v:textbox>
                </v:rect>
                <v:rect id="Rechteck 8" o:spid="_x0000_s1029" style="position:absolute;left:24117;top:35010;width:1584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" strokeweight="2pt">
                  <v:textbox>
                    <w:txbxContent>
                      <w:p w14:paraId="132937A5" w14:textId="77777777" w:rsidR="00EB2FBE" w:rsidRDefault="00EB2FBE" w:rsidP="00E63749">
                        <w:pPr>
                          <w:pStyle w:val="StandardWeb"/>
                          <w:jc w:val="center"/>
                        </w:pPr>
                        <w:proofErr w:type="spellStart"/>
                        <w:r>
                          <w:rPr>
                            <w:rFonts w:ascii="Avenir LT 35 Light" w:hAnsi="Avenir LT 35 Light"/>
                            <w:color w:val="000000"/>
                            <w:kern w:val="24"/>
                            <w:sz w:val="20"/>
                            <w:szCs w:val="20"/>
                          </w:rPr>
                          <w:t>Contabilità</w:t>
                        </w:r>
                        <w:proofErr w:type="spellEnd"/>
                        <w:r>
                          <w:rPr>
                            <w:rFonts w:ascii="Avenir LT 35 Light" w:hAnsi="Avenir LT 35 Light"/>
                            <w:color w:val="000000"/>
                            <w:kern w:val="24"/>
                            <w:sz w:val="20"/>
                            <w:szCs w:val="20"/>
                          </w:rPr>
                          <w:t>/ Fiduciaria</w:t>
                        </w:r>
                      </w:p>
                    </w:txbxContent>
                  </v:textbox>
                </v:rect>
                <v:rect id="Rechteck 9" o:spid="_x0000_s1030" style="position:absolute;left:70494;top:24928;width:20283;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" strokeweight="2pt">
                  <v:textbox>
                    <w:txbxContent>
                      <w:p w14:paraId="0B66F9AE" w14:textId="77777777" w:rsidR="00EB2FBE" w:rsidRDefault="00EB2FBE" w:rsidP="00E63749">
                        <w:pPr>
                          <w:pStyle w:val="StandardWeb"/>
                          <w:jc w:val="center"/>
                        </w:pPr>
                        <w:r>
                          <w:rPr>
                            <w:rFonts w:ascii="Avenir LT 35 Light" w:hAnsi="Avenir LT 35 Light"/>
                            <w:color w:val="000000"/>
                            <w:kern w:val="24"/>
                            <w:sz w:val="20"/>
                            <w:szCs w:val="20"/>
                          </w:rPr>
                          <w:t xml:space="preserve">Personale &amp; </w:t>
                        </w:r>
                        <w:proofErr w:type="spellStart"/>
                        <w:r>
                          <w:rPr>
                            <w:rFonts w:ascii="Avenir LT 35 Light" w:hAnsi="Avenir LT 35 Light"/>
                            <w:color w:val="000000"/>
                            <w:kern w:val="24"/>
                            <w:sz w:val="20"/>
                            <w:szCs w:val="20"/>
                          </w:rPr>
                          <w:t>amministrazione</w:t>
                        </w:r>
                        <w:proofErr w:type="spellEnd"/>
                        <w:r>
                          <w:rPr>
                            <w:rFonts w:ascii="Avenir LT 35 Light" w:hAnsi="Avenir LT 35 Light"/>
                            <w:color w:val="000000"/>
                            <w:kern w:val="24"/>
                            <w:sz w:val="20"/>
                            <w:szCs w:val="20"/>
                          </w:rPr>
                          <w:t xml:space="preserve"> </w:t>
                        </w:r>
                      </w:p>
                    </w:txbxContent>
                  </v:textbox>
                </v:rect>
                <v:line id="Gerade Verbindung 10" o:spid="_x0000_s1031" style="position:absolute;visibility:visible;mso-wrap-style:square" from="36663,18219" to="60426,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" strokecolor="#4579b8" strokeweight="1.25pt"/>
                <v:oval id="Ellipse 11" o:spid="_x0000_s1032" style="position:absolute;left:25142;top:15796;width:11521;height:4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" strokeweight="2pt">
                  <v:textbox>
                    <w:txbxContent>
                      <w:p w14:paraId="7A8EDDC3" w14:textId="77777777" w:rsidR="00EB2FBE" w:rsidRDefault="00EB2FBE" w:rsidP="00E63749">
                        <w:pPr>
                          <w:pStyle w:val="StandardWeb"/>
                          <w:jc w:val="center"/>
                        </w:pPr>
                        <w:r>
                          <w:rPr>
                            <w:rFonts w:ascii="Avenir LT 35 Light" w:hAnsi="Avenir LT 35 Light"/>
                            <w:color w:val="000000"/>
                            <w:kern w:val="24"/>
                            <w:sz w:val="20"/>
                            <w:szCs w:val="20"/>
                          </w:rPr>
                          <w:t>Segreteria</w:t>
                        </w:r>
                      </w:p>
                    </w:txbxContent>
                  </v:textbox>
                </v:oval>
                <v:rect id="Rechteck 12" o:spid="_x0000_s1033" style="position:absolute;left:70458;top:30689;width:2022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" strokeweight="2pt">
                  <v:textbox>
                    <w:txbxContent>
                      <w:p w14:paraId="5207CA93" w14:textId="77777777" w:rsidR="00EB2FBE" w:rsidRDefault="00EB2FBE" w:rsidP="00E63749">
                        <w:pPr>
                          <w:pStyle w:val="StandardWeb"/>
                          <w:jc w:val="center"/>
                        </w:pPr>
                        <w:proofErr w:type="spellStart"/>
                        <w:r>
                          <w:rPr>
                            <w:rFonts w:ascii="Avenir LT 35 Light" w:hAnsi="Avenir LT 35 Light"/>
                            <w:color w:val="000000"/>
                            <w:kern w:val="24"/>
                            <w:sz w:val="20"/>
                            <w:szCs w:val="20"/>
                          </w:rPr>
                          <w:t>Finanze</w:t>
                        </w:r>
                        <w:proofErr w:type="spellEnd"/>
                        <w:r>
                          <w:rPr>
                            <w:rFonts w:ascii="Avenir LT 35 Light" w:hAnsi="Avenir LT 35 Light"/>
                            <w:color w:val="000000"/>
                            <w:kern w:val="24"/>
                            <w:sz w:val="20"/>
                            <w:szCs w:val="20"/>
                          </w:rPr>
                          <w:t xml:space="preserve"> &amp; </w:t>
                        </w:r>
                        <w:proofErr w:type="spellStart"/>
                        <w:r>
                          <w:rPr>
                            <w:rFonts w:ascii="Avenir LT 35 Light" w:hAnsi="Avenir LT 35 Light"/>
                            <w:color w:val="000000"/>
                            <w:kern w:val="24"/>
                            <w:sz w:val="20"/>
                            <w:szCs w:val="20"/>
                          </w:rPr>
                          <w:t>Contabilità</w:t>
                        </w:r>
                        <w:proofErr w:type="spellEnd"/>
                      </w:p>
                    </w:txbxContent>
                  </v:textbox>
                </v:rect>
                <v:rect id="Rechteck 13" o:spid="_x0000_s1034" style="position:absolute;left:70503;top:36170;width:2017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0139A0C7" w14:textId="77777777" w:rsidR="00EB2FBE" w:rsidRDefault="00EB2FBE" w:rsidP="00E63749">
                        <w:pPr>
                          <w:pStyle w:val="StandardWeb"/>
                          <w:jc w:val="center"/>
                        </w:pPr>
                        <w:proofErr w:type="spellStart"/>
                        <w:r>
                          <w:rPr>
                            <w:rFonts w:ascii="Avenir LT 35 Light" w:hAnsi="Avenir LT 35 Light"/>
                            <w:color w:val="000000"/>
                            <w:kern w:val="24"/>
                            <w:sz w:val="20"/>
                            <w:szCs w:val="20"/>
                          </w:rPr>
                          <w:t>Infrastruttura</w:t>
                        </w:r>
                        <w:proofErr w:type="spellEnd"/>
                        <w:r>
                          <w:rPr>
                            <w:rFonts w:ascii="Avenir LT 35 Light" w:hAnsi="Avenir LT 35 Light"/>
                            <w:color w:val="000000"/>
                            <w:kern w:val="24"/>
                            <w:sz w:val="20"/>
                            <w:szCs w:val="20"/>
                          </w:rPr>
                          <w:t xml:space="preserve"> &amp; IT</w:t>
                        </w:r>
                      </w:p>
                    </w:txbxContent>
                  </v:textbox>
                </v:rect>
                <v:rect id="Rechteck 14" o:spid="_x0000_s1035" style="position:absolute;left:24117;top:29249;width:15842;height:4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2C431686" w14:textId="77777777" w:rsidR="00EB2FBE" w:rsidRDefault="00EB2FBE" w:rsidP="00E63749">
                        <w:pPr>
                          <w:pStyle w:val="StandardWeb"/>
                          <w:jc w:val="center"/>
                        </w:pPr>
                        <w:proofErr w:type="spellStart"/>
                        <w:r>
                          <w:rPr>
                            <w:rFonts w:ascii="Avenir LT 35 Light" w:hAnsi="Avenir LT 35 Light"/>
                            <w:color w:val="000000"/>
                            <w:kern w:val="24"/>
                            <w:sz w:val="20"/>
                            <w:szCs w:val="20"/>
                          </w:rPr>
                          <w:t>Immobili</w:t>
                        </w:r>
                        <w:proofErr w:type="spellEnd"/>
                      </w:p>
                    </w:txbxContent>
                  </v:textbox>
                </v:rect>
                <v:rect id="Rechteck 15" o:spid="_x0000_s1036" style="position:absolute;left:70660;top:41490;width:20018;height: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08DE8861" w14:textId="77777777" w:rsidR="00EB2FBE" w:rsidRDefault="00EB2FBE" w:rsidP="00E63749">
                        <w:pPr>
                          <w:pStyle w:val="StandardWeb"/>
                          <w:jc w:val="center"/>
                        </w:pPr>
                        <w:proofErr w:type="spellStart"/>
                        <w:r>
                          <w:rPr>
                            <w:rFonts w:ascii="Avenir LT 35 Light" w:hAnsi="Avenir LT 35 Light"/>
                            <w:color w:val="000000"/>
                            <w:kern w:val="24"/>
                            <w:sz w:val="20"/>
                            <w:szCs w:val="20"/>
                          </w:rPr>
                          <w:t>Assistenza</w:t>
                        </w:r>
                        <w:proofErr w:type="spellEnd"/>
                        <w:r>
                          <w:rPr>
                            <w:rFonts w:ascii="Avenir LT 35 Light" w:hAnsi="Avenir LT 35 Light"/>
                            <w:color w:val="000000"/>
                            <w:kern w:val="24"/>
                            <w:sz w:val="20"/>
                            <w:szCs w:val="20"/>
                          </w:rPr>
                          <w:t xml:space="preserve"> &amp; </w:t>
                        </w:r>
                        <w:proofErr w:type="spellStart"/>
                        <w:r>
                          <w:rPr>
                            <w:rFonts w:ascii="Avenir LT 35 Light" w:hAnsi="Avenir LT 35 Light"/>
                            <w:color w:val="000000"/>
                            <w:kern w:val="24"/>
                            <w:sz w:val="20"/>
                            <w:szCs w:val="20"/>
                          </w:rPr>
                          <w:t>Formazione</w:t>
                        </w:r>
                        <w:proofErr w:type="spellEnd"/>
                      </w:p>
                    </w:txbxContent>
                  </v:textbox>
                </v:rect>
                <v:rect id="Rechteck 16" o:spid="_x0000_s1037" style="position:absolute;left:60426;top:16288;width:13446;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vGxAAAANsAAAAPAAAAZHJzL2Rvd25yZXYueG1sRI9Ba8JA&#10;FITvQv/D8gq96a6BFk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PLqO8bEAAAA2wAAAA8A&#10;AAAAAAAAAAAAAAAABwIAAGRycy9kb3ducmV2LnhtbFBLBQYAAAAAAwADALcAAAD4AgAAAAA=&#10;" strokeweight="2pt">
                  <v:textbox>
                    <w:txbxContent>
                      <w:p w14:paraId="3878FDB1" w14:textId="77777777" w:rsidR="00EB2FBE" w:rsidRDefault="00EB2FBE" w:rsidP="00E63749">
                        <w:pPr>
                          <w:pStyle w:val="StandardWeb"/>
                          <w:jc w:val="center"/>
                        </w:pPr>
                        <w:proofErr w:type="spellStart"/>
                        <w:r>
                          <w:rPr>
                            <w:rFonts w:ascii="Avenir LT 35 Light" w:hAnsi="Avenir LT 35 Light"/>
                            <w:color w:val="000000"/>
                            <w:kern w:val="24"/>
                            <w:sz w:val="20"/>
                            <w:szCs w:val="20"/>
                          </w:rPr>
                          <w:t>Amministrazione</w:t>
                        </w:r>
                        <w:proofErr w:type="spellEnd"/>
                      </w:p>
                    </w:txbxContent>
                  </v:textbox>
                </v:rect>
                <v:line id="Gerade Verbindung 17" o:spid="_x0000_s1038" style="position:absolute;flip:x;visibility:visible;mso-wrap-style:square" from="66187,20158" to="66228,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" strokecolor="#4579b8" strokeweight="1.25pt"/>
                <v:line id="Gerade Verbindung 18" o:spid="_x0000_s1039" style="position:absolute;visibility:visible;mso-wrap-style:square" from="66187,27089" to="70507,2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" strokecolor="#4579b8" strokeweight="1.25pt"/>
                <v:line id="Gerade Verbindung 19" o:spid="_x0000_s1040" style="position:absolute;visibility:visible;mso-wrap-style:square" from="66187,32849" to="70507,3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" strokecolor="#4579b8" strokeweight="1.25pt"/>
                <v:line id="Gerade Verbindung 20" o:spid="_x0000_s1041" style="position:absolute;visibility:visible;mso-wrap-style:square" from="66187,38610" to="70507,3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" strokecolor="#4579b8" strokeweight="1.25pt"/>
                <v:line id="Gerade Verbindung 21" o:spid="_x0000_s1042" style="position:absolute;visibility:visible;mso-wrap-style:square" from="66187,43651" to="70507,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" strokecolor="#4579b8" strokeweight="1.25pt"/>
                <v:shapetype id="_x0000_t202" coordsize="21600,21600" o:spt="202" path="m,l,21600r21600,l21600,xe">
                  <v:stroke joinstyle="miter"/>
                  <v:path gradientshapeok="t" o:connecttype="rect"/>
                </v:shapetype>
                <v:shape id="Textfeld 126" o:spid="_x0000_s1043" type="#_x0000_t202" style="position:absolute;left:24422;top:48691;width:25203;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C28AA1B" w14:textId="77777777" w:rsidR="00EB2FBE" w:rsidRDefault="00EB2FBE" w:rsidP="00E63749">
                        <w:pPr>
                          <w:pStyle w:val="StandardWeb"/>
                          <w:tabs>
                            <w:tab w:val="left" w:pos="565"/>
                          </w:tabs>
                          <w:rPr>
                            <w:lang w:val="it-IT"/>
                          </w:rPr>
                        </w:pPr>
                        <w:r>
                          <w:rPr>
                            <w:rFonts w:ascii="Avenir LT 35 Light" w:hAnsi="Avenir LT 35 Light"/>
                            <w:color w:val="000000"/>
                            <w:kern w:val="24"/>
                            <w:sz w:val="16"/>
                            <w:szCs w:val="16"/>
                            <w:lang w:val="it-IT"/>
                          </w:rPr>
                          <w:t xml:space="preserve">Suddivisione nei rispettivi settori sulla base delle competenze tecniche così che non ci sia alcuna facoltà di impartire istruzioni. </w:t>
                        </w:r>
                      </w:p>
                    </w:txbxContent>
                  </v:textbox>
                </v:shape>
                <v:line id="Gerade Verbindung 23" o:spid="_x0000_s1044" style="position:absolute;flip:y;visibility:visible;mso-wrap-style:square" from="21957,49826" to="24837,4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" strokecolor="#4579b8" strokeweight="1.25pt">
                  <v:stroke dashstyle="dash"/>
                </v:line>
                <v:rect id="Rechteck 24" o:spid="_x0000_s1045" style="position:absolute;left:24117;top:40770;width:15842;height:5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" strokeweight="2pt">
                  <v:textbox>
                    <w:txbxContent>
                      <w:p w14:paraId="093502CD" w14:textId="77777777" w:rsidR="00EB2FBE" w:rsidRDefault="00EB2FBE" w:rsidP="00E63749">
                        <w:pPr>
                          <w:pStyle w:val="StandardWeb"/>
                          <w:jc w:val="center"/>
                        </w:pPr>
                        <w:proofErr w:type="spellStart"/>
                        <w:r>
                          <w:rPr>
                            <w:rFonts w:ascii="Avenir LT 35 Light" w:hAnsi="Avenir LT 35 Light"/>
                            <w:color w:val="000000"/>
                            <w:kern w:val="24"/>
                            <w:sz w:val="20"/>
                            <w:szCs w:val="20"/>
                          </w:rPr>
                          <w:t>Consulenza</w:t>
                        </w:r>
                        <w:proofErr w:type="spellEnd"/>
                        <w:r>
                          <w:rPr>
                            <w:rFonts w:ascii="Avenir LT 35 Light" w:hAnsi="Avenir LT 35 Light"/>
                            <w:color w:val="000000"/>
                            <w:kern w:val="24"/>
                            <w:sz w:val="20"/>
                            <w:szCs w:val="20"/>
                          </w:rPr>
                          <w:t xml:space="preserve"> </w:t>
                        </w:r>
                        <w:proofErr w:type="spellStart"/>
                        <w:r>
                          <w:rPr>
                            <w:rFonts w:ascii="Avenir LT 35 Light" w:hAnsi="Avenir LT 35 Light"/>
                            <w:color w:val="000000"/>
                            <w:kern w:val="24"/>
                            <w:sz w:val="20"/>
                            <w:szCs w:val="20"/>
                          </w:rPr>
                          <w:t>fiscale</w:t>
                        </w:r>
                        <w:proofErr w:type="spellEnd"/>
                        <w:r>
                          <w:rPr>
                            <w:rFonts w:ascii="Avenir LT 35 Light" w:hAnsi="Avenir LT 35 Light"/>
                            <w:color w:val="000000"/>
                            <w:kern w:val="24"/>
                            <w:sz w:val="20"/>
                            <w:szCs w:val="20"/>
                          </w:rPr>
                          <w:t xml:space="preserve"> e </w:t>
                        </w:r>
                        <w:proofErr w:type="spellStart"/>
                        <w:r>
                          <w:rPr>
                            <w:rFonts w:ascii="Avenir LT 35 Light" w:hAnsi="Avenir LT 35 Light"/>
                            <w:color w:val="000000"/>
                            <w:kern w:val="24"/>
                            <w:sz w:val="20"/>
                            <w:szCs w:val="20"/>
                          </w:rPr>
                          <w:t>gestionale</w:t>
                        </w:r>
                        <w:proofErr w:type="spellEnd"/>
                        <w:r>
                          <w:rPr>
                            <w:rFonts w:ascii="Avenir LT 35 Light" w:hAnsi="Avenir LT 35 Light"/>
                            <w:color w:val="000000"/>
                            <w:kern w:val="24"/>
                            <w:sz w:val="20"/>
                            <w:szCs w:val="20"/>
                          </w:rPr>
                          <w:t xml:space="preserve"> </w:t>
                        </w:r>
                      </w:p>
                    </w:txbxContent>
                  </v:textbox>
                </v:rect>
                <v:line id="Gerade Verbindung 25" o:spid="_x0000_s1046" style="position:absolute;visibility:visible;mso-wrap-style:square" from="42839,13407"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" strokecolor="#4579b8" strokeweight="1.25pt"/>
                <v:line id="Gerade Verbindung 26" o:spid="_x0000_s1047" style="position:absolute;visibility:visible;mso-wrap-style:square" from="39959,25649" to="42839,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" strokecolor="#4579b8" strokeweight="1.25pt"/>
                <v:line id="Gerade Verbindung 27" o:spid="_x0000_s1048" style="position:absolute;visibility:visible;mso-wrap-style:square" from="39959,31409" to="42839,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" strokecolor="#4579b8" strokeweight="1.25pt"/>
                <v:line id="Gerade Verbindung 28" o:spid="_x0000_s1049" style="position:absolute;visibility:visible;mso-wrap-style:square" from="39959,37170" to="42839,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" strokecolor="#4579b8" strokeweight="1.25pt"/>
                <v:line id="Gerade Verbindung 29" o:spid="_x0000_s1050" style="position:absolute;visibility:visible;mso-wrap-style:square" from="39959,42930"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" strokecolor="#4579b8" strokeweight="1.25pt"/>
                <v:line id="Gerade Verbindung 30" o:spid="_x0000_s1051" style="position:absolute;visibility:visible;mso-wrap-style:square" from="21237,25649" to="2123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" strokecolor="#4579b8" strokeweight="1.25pt">
                  <v:stroke dashstyle="dash"/>
                </v:line>
                <v:line id="Gerade Verbindung 31" o:spid="_x0000_s1052" style="position:absolute;visibility:visible;mso-wrap-style:square" from="21237,25649" to="24117,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" strokecolor="#4579b8" strokeweight="1.25pt">
                  <v:stroke dashstyle="dash"/>
                </v:line>
                <v:line id="Gerade Verbindung 32" o:spid="_x0000_s1053" style="position:absolute;visibility:visible;mso-wrap-style:square" from="21237,31409" to="24117,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" strokecolor="#4579b8" strokeweight="1.25pt">
                  <v:stroke dashstyle="dash"/>
                </v:line>
                <v:line id="Gerade Verbindung 33" o:spid="_x0000_s1054" style="position:absolute;visibility:visible;mso-wrap-style:square" from="21237,37170" to="24117,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" strokecolor="#4579b8" strokeweight="1.25pt">
                  <v:stroke dashstyle="dash"/>
                </v:line>
                <v:line id="Gerade Verbindung 34" o:spid="_x0000_s1055" style="position:absolute;visibility:visible;mso-wrap-style:square" from="21237,42930" to="2411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" strokecolor="#4579b8" strokeweight="1.25pt">
                  <v:stroke dashstyle="dash"/>
                </v:line>
                <w10:anchorlock/>
              </v:group>
            </w:pict>
          </mc:Fallback>
        </mc:AlternateContent>
      </w:r>
    </w:p>
    <w:p w14:paraId="264A90BC" w14:textId="77777777" w:rsidR="00ED4133" w:rsidRDefault="00ED4133">
      <w:pPr>
        <w:jc w:val="left"/>
        <w:rPr>
          <w:rFonts w:ascii="KievitPro-Regular" w:hAnsi="KievitPro-Regular" w:cs="Arial"/>
          <w:b/>
          <w:lang w:val="it-CH"/>
        </w:rPr>
      </w:pPr>
      <w:r>
        <w:rPr>
          <w:rFonts w:ascii="KievitPro-Regular" w:hAnsi="KievitPro-Regular" w:cs="Arial"/>
          <w:b/>
          <w:lang w:val="it-CH"/>
        </w:rPr>
        <w:br w:type="page"/>
      </w:r>
    </w:p>
    <w:p w14:paraId="32197845" w14:textId="51561203" w:rsidR="00ED4133" w:rsidRPr="000E27FB" w:rsidRDefault="00ED41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0" w:name="_Toc331510695"/>
      <w:bookmarkStart w:id="101" w:name="_Toc353376100"/>
      <w:bookmarkStart w:id="102" w:name="_Toc359071945"/>
      <w:bookmarkStart w:id="103" w:name="_Toc126737276"/>
      <w:r w:rsidRPr="000E27FB">
        <w:rPr>
          <w:rFonts w:ascii="Avenir LT Std 35 Light" w:hAnsi="Avenir LT Std 35 Light"/>
          <w:smallCaps/>
          <w:snapToGrid/>
          <w:sz w:val="24"/>
          <w:szCs w:val="28"/>
          <w:lang w:val="it-CH" w:eastAsia="en-US"/>
        </w:rPr>
        <w:lastRenderedPageBreak/>
        <w:t>5.5</w:t>
      </w:r>
      <w:r w:rsidRPr="000E27FB">
        <w:rPr>
          <w:rFonts w:ascii="Avenir LT Std 35 Light" w:hAnsi="Avenir LT Std 35 Light"/>
          <w:smallCaps/>
          <w:snapToGrid/>
          <w:sz w:val="24"/>
          <w:szCs w:val="28"/>
          <w:lang w:val="it-CH" w:eastAsia="en-US"/>
        </w:rPr>
        <w:tab/>
        <w:t xml:space="preserve">Checklist per la valutazione dell’accettazione </w:t>
      </w:r>
      <w:bookmarkEnd w:id="100"/>
      <w:bookmarkEnd w:id="101"/>
      <w:bookmarkEnd w:id="102"/>
      <w:r w:rsidRPr="000E27FB">
        <w:rPr>
          <w:rFonts w:ascii="Avenir LT Std 35 Light" w:hAnsi="Avenir LT Std 35 Light"/>
          <w:smallCaps/>
          <w:snapToGrid/>
          <w:sz w:val="24"/>
          <w:szCs w:val="28"/>
          <w:lang w:val="it-CH" w:eastAsia="en-US"/>
        </w:rPr>
        <w:t>del mandato</w:t>
      </w:r>
      <w:bookmarkEnd w:id="103"/>
    </w:p>
    <w:p w14:paraId="6DFDDA26" w14:textId="77777777" w:rsidR="00ED4133" w:rsidRPr="00ED4133" w:rsidRDefault="00ED4133" w:rsidP="00ED4133">
      <w:pPr>
        <w:rPr>
          <w:lang w:val="it-CH"/>
        </w:rPr>
      </w:pPr>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1"/>
        <w:gridCol w:w="6002"/>
        <w:gridCol w:w="2521"/>
        <w:gridCol w:w="3601"/>
      </w:tblGrid>
      <w:tr w:rsidR="00ED4133" w:rsidRPr="004C05E4" w14:paraId="4A4DDD35" w14:textId="77777777" w:rsidTr="00EB2FBE">
        <w:tc>
          <w:tcPr>
            <w:tcW w:w="2710" w:type="dxa"/>
            <w:tcBorders>
              <w:top w:val="single" w:sz="4" w:space="0" w:color="auto"/>
              <w:left w:val="single" w:sz="4" w:space="0" w:color="auto"/>
              <w:bottom w:val="single" w:sz="4" w:space="0" w:color="auto"/>
              <w:right w:val="single" w:sz="4" w:space="0" w:color="auto"/>
            </w:tcBorders>
            <w:hideMark/>
          </w:tcPr>
          <w:p w14:paraId="1627CF6D" w14:textId="77777777" w:rsidR="00ED4133" w:rsidRPr="004C05E4" w:rsidRDefault="00ED4133" w:rsidP="004C05E4">
            <w:pPr>
              <w:rPr>
                <w:rFonts w:ascii="KievitPro-Regular" w:hAnsi="KievitPro-Regular"/>
                <w:lang w:val="it-CH"/>
              </w:rPr>
            </w:pPr>
            <w:r w:rsidRPr="004C05E4">
              <w:rPr>
                <w:rFonts w:ascii="KievitPro-Regular" w:hAnsi="KievitPro-Regular"/>
                <w:lang w:val="it-CH"/>
              </w:rPr>
              <w:t>Cliente / (evtl. nr. progetto)</w:t>
            </w:r>
          </w:p>
        </w:tc>
        <w:tc>
          <w:tcPr>
            <w:tcW w:w="6000" w:type="dxa"/>
            <w:tcBorders>
              <w:top w:val="single" w:sz="4" w:space="0" w:color="auto"/>
              <w:left w:val="single" w:sz="4" w:space="0" w:color="auto"/>
              <w:bottom w:val="single" w:sz="4" w:space="0" w:color="auto"/>
              <w:right w:val="single" w:sz="4" w:space="0" w:color="auto"/>
            </w:tcBorders>
          </w:tcPr>
          <w:p w14:paraId="104D52B4" w14:textId="77777777" w:rsidR="00ED4133" w:rsidRPr="004C05E4" w:rsidRDefault="00ED4133" w:rsidP="00EB2FBE">
            <w:pPr>
              <w:spacing w:before="120" w:after="120"/>
              <w:rPr>
                <w:rFonts w:ascii="KievitPro-Regular" w:hAnsi="KievitPro-Regular"/>
                <w:b/>
                <w:lang w:val="it-CH"/>
              </w:rPr>
            </w:pPr>
          </w:p>
        </w:tc>
        <w:tc>
          <w:tcPr>
            <w:tcW w:w="2520" w:type="dxa"/>
            <w:tcBorders>
              <w:top w:val="single" w:sz="4" w:space="0" w:color="auto"/>
              <w:left w:val="single" w:sz="4" w:space="0" w:color="auto"/>
              <w:bottom w:val="single" w:sz="4" w:space="0" w:color="auto"/>
              <w:right w:val="single" w:sz="4" w:space="0" w:color="auto"/>
            </w:tcBorders>
            <w:hideMark/>
          </w:tcPr>
          <w:p w14:paraId="016A8F86" w14:textId="77777777" w:rsidR="00ED4133" w:rsidRPr="004C05E4" w:rsidRDefault="00ED4133" w:rsidP="004C05E4">
            <w:pPr>
              <w:rPr>
                <w:rFonts w:ascii="KievitPro-Regular" w:hAnsi="KievitPro-Regular"/>
                <w:lang w:val="it-CH"/>
              </w:rPr>
            </w:pPr>
            <w:r w:rsidRPr="004C05E4">
              <w:rPr>
                <w:rFonts w:ascii="KievitPro-Regular" w:hAnsi="KievitPro-Regular"/>
                <w:lang w:val="it-CH"/>
              </w:rPr>
              <w:t>Redatto da:</w:t>
            </w:r>
          </w:p>
        </w:tc>
        <w:tc>
          <w:tcPr>
            <w:tcW w:w="3600" w:type="dxa"/>
            <w:tcBorders>
              <w:top w:val="single" w:sz="4" w:space="0" w:color="auto"/>
              <w:left w:val="single" w:sz="4" w:space="0" w:color="auto"/>
              <w:bottom w:val="single" w:sz="4" w:space="0" w:color="auto"/>
              <w:right w:val="single" w:sz="4" w:space="0" w:color="auto"/>
            </w:tcBorders>
          </w:tcPr>
          <w:p w14:paraId="7010A9C5"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43413A25" w14:textId="77777777" w:rsidTr="00EB2FBE">
        <w:tc>
          <w:tcPr>
            <w:tcW w:w="2710" w:type="dxa"/>
            <w:tcBorders>
              <w:top w:val="single" w:sz="4" w:space="0" w:color="auto"/>
              <w:left w:val="single" w:sz="4" w:space="0" w:color="auto"/>
              <w:bottom w:val="single" w:sz="4" w:space="0" w:color="auto"/>
              <w:right w:val="single" w:sz="4" w:space="0" w:color="auto"/>
            </w:tcBorders>
            <w:hideMark/>
          </w:tcPr>
          <w:p w14:paraId="282C1C30" w14:textId="77777777" w:rsidR="00ED4133" w:rsidRPr="004C05E4" w:rsidRDefault="00ED4133" w:rsidP="004C05E4">
            <w:pPr>
              <w:rPr>
                <w:rFonts w:ascii="KievitPro-Regular" w:hAnsi="KievitPro-Regular"/>
                <w:lang w:val="it-CH"/>
              </w:rPr>
            </w:pPr>
            <w:r w:rsidRPr="004C05E4">
              <w:rPr>
                <w:rFonts w:ascii="KievitPro-Regular" w:hAnsi="KievitPro-Regular"/>
                <w:lang w:val="it-CH"/>
              </w:rPr>
              <w:t>Anno d’esercizio</w:t>
            </w:r>
          </w:p>
        </w:tc>
        <w:tc>
          <w:tcPr>
            <w:tcW w:w="6000" w:type="dxa"/>
            <w:tcBorders>
              <w:top w:val="single" w:sz="4" w:space="0" w:color="auto"/>
              <w:left w:val="single" w:sz="4" w:space="0" w:color="auto"/>
              <w:bottom w:val="single" w:sz="4" w:space="0" w:color="auto"/>
              <w:right w:val="single" w:sz="4" w:space="0" w:color="auto"/>
            </w:tcBorders>
          </w:tcPr>
          <w:p w14:paraId="3F42206C" w14:textId="77777777" w:rsidR="00ED4133" w:rsidRPr="004C05E4" w:rsidRDefault="00ED4133" w:rsidP="00EB2FBE">
            <w:pPr>
              <w:spacing w:before="120" w:after="120"/>
              <w:rPr>
                <w:rFonts w:ascii="KievitPro-Regular" w:hAnsi="KievitPro-Regular"/>
                <w:b/>
                <w:lang w:val="it-CH"/>
              </w:rPr>
            </w:pPr>
          </w:p>
        </w:tc>
        <w:tc>
          <w:tcPr>
            <w:tcW w:w="2520" w:type="dxa"/>
            <w:tcBorders>
              <w:top w:val="single" w:sz="4" w:space="0" w:color="auto"/>
              <w:left w:val="single" w:sz="4" w:space="0" w:color="auto"/>
              <w:bottom w:val="single" w:sz="4" w:space="0" w:color="auto"/>
              <w:right w:val="single" w:sz="4" w:space="0" w:color="auto"/>
            </w:tcBorders>
            <w:hideMark/>
          </w:tcPr>
          <w:p w14:paraId="66E2B7E8" w14:textId="77777777" w:rsidR="00ED4133" w:rsidRPr="004C05E4" w:rsidRDefault="00ED4133" w:rsidP="004C05E4">
            <w:pPr>
              <w:rPr>
                <w:rFonts w:ascii="KievitPro-Regular" w:hAnsi="KievitPro-Regular"/>
                <w:lang w:val="it-CH"/>
              </w:rPr>
            </w:pPr>
            <w:r w:rsidRPr="004C05E4">
              <w:rPr>
                <w:rFonts w:ascii="KievitPro-Regular" w:hAnsi="KievitPro-Regular"/>
                <w:lang w:val="it-CH"/>
              </w:rPr>
              <w:t>Redatto il:</w:t>
            </w:r>
          </w:p>
        </w:tc>
        <w:tc>
          <w:tcPr>
            <w:tcW w:w="3600" w:type="dxa"/>
            <w:tcBorders>
              <w:top w:val="single" w:sz="4" w:space="0" w:color="auto"/>
              <w:left w:val="single" w:sz="4" w:space="0" w:color="auto"/>
              <w:bottom w:val="single" w:sz="4" w:space="0" w:color="auto"/>
              <w:right w:val="single" w:sz="4" w:space="0" w:color="auto"/>
            </w:tcBorders>
          </w:tcPr>
          <w:p w14:paraId="22B635F8" w14:textId="77777777" w:rsidR="00ED4133" w:rsidRPr="004C05E4" w:rsidRDefault="00ED4133" w:rsidP="00EB2FBE">
            <w:pPr>
              <w:spacing w:before="120" w:after="120"/>
              <w:rPr>
                <w:rFonts w:ascii="KievitPro-Regular" w:hAnsi="KievitPro-Regular"/>
                <w:sz w:val="16"/>
                <w:szCs w:val="16"/>
                <w:lang w:val="it-CH"/>
              </w:rPr>
            </w:pPr>
          </w:p>
        </w:tc>
      </w:tr>
    </w:tbl>
    <w:p w14:paraId="3860691F" w14:textId="77777777" w:rsidR="00ED4133" w:rsidRPr="002858E4" w:rsidRDefault="00ED4133" w:rsidP="00ED4133">
      <w:pPr>
        <w:spacing w:before="360" w:after="360"/>
        <w:rPr>
          <w:rFonts w:ascii="Avenir LT Std 35 Light" w:hAnsi="Avenir LT Std 35 Light"/>
          <w:lang w:val="it-CH"/>
        </w:rPr>
      </w:pPr>
      <w:r w:rsidRPr="002858E4">
        <w:rPr>
          <w:rFonts w:ascii="Avenir LT Std 35 Light" w:hAnsi="Avenir LT Std 35 Light"/>
          <w:lang w:val="it-CH"/>
        </w:rPr>
        <w:t>Checklist per la valutazione dell’accettazione del mandato</w:t>
      </w:r>
    </w:p>
    <w:tbl>
      <w:tblPr>
        <w:tblW w:w="14805" w:type="dxa"/>
        <w:tblLayout w:type="fixed"/>
        <w:tblCellMar>
          <w:left w:w="70" w:type="dxa"/>
          <w:right w:w="70" w:type="dxa"/>
        </w:tblCellMar>
        <w:tblLook w:val="04A0" w:firstRow="1" w:lastRow="0" w:firstColumn="1" w:lastColumn="0" w:noHBand="0" w:noVBand="1"/>
      </w:tblPr>
      <w:tblGrid>
        <w:gridCol w:w="636"/>
        <w:gridCol w:w="4675"/>
        <w:gridCol w:w="850"/>
        <w:gridCol w:w="851"/>
        <w:gridCol w:w="850"/>
        <w:gridCol w:w="851"/>
        <w:gridCol w:w="6092"/>
      </w:tblGrid>
      <w:tr w:rsidR="00ED4133" w:rsidRPr="004C05E4" w14:paraId="4DB3DD58" w14:textId="77777777" w:rsidTr="00EB2FBE">
        <w:trPr>
          <w:cantSplit/>
          <w:tblHeader/>
        </w:trPr>
        <w:tc>
          <w:tcPr>
            <w:tcW w:w="637" w:type="dxa"/>
            <w:vMerge w:val="restart"/>
            <w:tcBorders>
              <w:top w:val="single" w:sz="6" w:space="0" w:color="000000"/>
              <w:left w:val="single" w:sz="6" w:space="0" w:color="000000"/>
              <w:bottom w:val="single" w:sz="6" w:space="0" w:color="000000"/>
              <w:right w:val="single" w:sz="6" w:space="0" w:color="000000"/>
            </w:tcBorders>
            <w:hideMark/>
          </w:tcPr>
          <w:p w14:paraId="65AD8F45" w14:textId="77777777" w:rsidR="00ED4133" w:rsidRPr="004C05E4" w:rsidRDefault="00ED4133" w:rsidP="00EB2FBE">
            <w:pPr>
              <w:rPr>
                <w:rFonts w:ascii="KievitPro-Regular" w:hAnsi="KievitPro-Regular"/>
                <w:b/>
                <w:lang w:val="it-CH"/>
              </w:rPr>
            </w:pPr>
            <w:r w:rsidRPr="004C05E4">
              <w:rPr>
                <w:rFonts w:ascii="KievitPro-Regular" w:hAnsi="KievitPro-Regular"/>
                <w:b/>
                <w:lang w:val="it-CH"/>
              </w:rPr>
              <w:t>Ref.</w:t>
            </w:r>
          </w:p>
        </w:tc>
        <w:tc>
          <w:tcPr>
            <w:tcW w:w="4678" w:type="dxa"/>
            <w:vMerge w:val="restart"/>
            <w:tcBorders>
              <w:top w:val="single" w:sz="6" w:space="0" w:color="auto"/>
              <w:left w:val="single" w:sz="6" w:space="0" w:color="000000"/>
              <w:bottom w:val="single" w:sz="6" w:space="0" w:color="auto"/>
              <w:right w:val="nil"/>
            </w:tcBorders>
            <w:hideMark/>
          </w:tcPr>
          <w:p w14:paraId="4E5E2F12" w14:textId="77777777" w:rsidR="00ED4133" w:rsidRPr="004C05E4" w:rsidRDefault="00ED4133" w:rsidP="00EB2FBE">
            <w:pPr>
              <w:rPr>
                <w:rFonts w:ascii="KievitPro-Regular" w:hAnsi="KievitPro-Regular"/>
                <w:lang w:val="it-CH"/>
              </w:rPr>
            </w:pPr>
            <w:r w:rsidRPr="004C05E4">
              <w:rPr>
                <w:rFonts w:ascii="KievitPro-Regular" w:hAnsi="KievitPro-Regular"/>
                <w:lang w:val="it-CH"/>
              </w:rPr>
              <w:t>Procedimento di accettazione del cliente</w:t>
            </w:r>
          </w:p>
        </w:tc>
        <w:tc>
          <w:tcPr>
            <w:tcW w:w="3402" w:type="dxa"/>
            <w:gridSpan w:val="4"/>
            <w:tcBorders>
              <w:top w:val="single" w:sz="6" w:space="0" w:color="auto"/>
              <w:left w:val="single" w:sz="6" w:space="0" w:color="auto"/>
              <w:bottom w:val="single" w:sz="6" w:space="0" w:color="auto"/>
              <w:right w:val="single" w:sz="6" w:space="0" w:color="auto"/>
            </w:tcBorders>
            <w:hideMark/>
          </w:tcPr>
          <w:p w14:paraId="0E4099B0" w14:textId="77777777" w:rsidR="00ED4133" w:rsidRPr="004C05E4" w:rsidRDefault="00ED4133" w:rsidP="00EB2FBE">
            <w:pPr>
              <w:jc w:val="center"/>
              <w:rPr>
                <w:rFonts w:ascii="KievitPro-Regular" w:hAnsi="KievitPro-Regular"/>
                <w:lang w:val="it-CH"/>
              </w:rPr>
            </w:pPr>
            <w:r w:rsidRPr="004C05E4">
              <w:rPr>
                <w:rFonts w:ascii="KievitPro-Regular" w:hAnsi="KievitPro-Regular"/>
                <w:lang w:val="it-CH"/>
              </w:rPr>
              <w:t>Valutazione</w:t>
            </w:r>
          </w:p>
        </w:tc>
        <w:tc>
          <w:tcPr>
            <w:tcW w:w="6095" w:type="dxa"/>
            <w:vMerge w:val="restart"/>
            <w:tcBorders>
              <w:top w:val="single" w:sz="6" w:space="0" w:color="auto"/>
              <w:left w:val="nil"/>
              <w:bottom w:val="single" w:sz="6" w:space="0" w:color="auto"/>
              <w:right w:val="single" w:sz="6" w:space="0" w:color="auto"/>
            </w:tcBorders>
            <w:hideMark/>
          </w:tcPr>
          <w:p w14:paraId="5F54A7BD" w14:textId="77777777" w:rsidR="00ED4133" w:rsidRPr="004C05E4" w:rsidRDefault="00ED4133" w:rsidP="00EB2FBE">
            <w:pPr>
              <w:rPr>
                <w:rFonts w:ascii="KievitPro-Regular" w:hAnsi="KievitPro-Regular"/>
                <w:lang w:val="it-CH"/>
              </w:rPr>
            </w:pPr>
            <w:r w:rsidRPr="004C05E4">
              <w:rPr>
                <w:rFonts w:ascii="KievitPro-Regular" w:hAnsi="KievitPro-Regular"/>
                <w:lang w:val="it-CH"/>
              </w:rPr>
              <w:t xml:space="preserve">Osservazioni </w:t>
            </w:r>
          </w:p>
        </w:tc>
      </w:tr>
      <w:tr w:rsidR="00ED4133" w:rsidRPr="004C05E4" w14:paraId="7354CFC8" w14:textId="77777777" w:rsidTr="00EB2FBE">
        <w:trPr>
          <w:cantSplit/>
          <w:trHeight w:val="1001"/>
          <w:tblHeader/>
        </w:trPr>
        <w:tc>
          <w:tcPr>
            <w:tcW w:w="637" w:type="dxa"/>
            <w:vMerge/>
            <w:tcBorders>
              <w:top w:val="single" w:sz="6" w:space="0" w:color="000000"/>
              <w:left w:val="single" w:sz="6" w:space="0" w:color="000000"/>
              <w:bottom w:val="single" w:sz="6" w:space="0" w:color="000000"/>
              <w:right w:val="single" w:sz="6" w:space="0" w:color="000000"/>
            </w:tcBorders>
            <w:vAlign w:val="center"/>
            <w:hideMark/>
          </w:tcPr>
          <w:p w14:paraId="083F5117" w14:textId="77777777" w:rsidR="00ED4133" w:rsidRPr="004C05E4" w:rsidRDefault="00ED4133" w:rsidP="00EB2FBE">
            <w:pPr>
              <w:rPr>
                <w:rFonts w:ascii="KievitPro-Regular" w:hAnsi="KievitPro-Regular"/>
                <w:b/>
                <w:lang w:val="it-CH"/>
              </w:rPr>
            </w:pPr>
          </w:p>
        </w:tc>
        <w:tc>
          <w:tcPr>
            <w:tcW w:w="14175" w:type="dxa"/>
            <w:vMerge/>
            <w:tcBorders>
              <w:top w:val="single" w:sz="6" w:space="0" w:color="auto"/>
              <w:left w:val="single" w:sz="6" w:space="0" w:color="000000"/>
              <w:bottom w:val="single" w:sz="6" w:space="0" w:color="auto"/>
              <w:right w:val="nil"/>
            </w:tcBorders>
            <w:vAlign w:val="center"/>
            <w:hideMark/>
          </w:tcPr>
          <w:p w14:paraId="001683DA" w14:textId="77777777" w:rsidR="00ED4133" w:rsidRPr="004C05E4" w:rsidRDefault="00ED4133" w:rsidP="00EB2FBE">
            <w:pPr>
              <w:rPr>
                <w:rFonts w:ascii="KievitPro-Regular" w:hAnsi="KievitPro-Regular"/>
                <w:lang w:val="it-CH"/>
              </w:rPr>
            </w:pPr>
          </w:p>
        </w:tc>
        <w:tc>
          <w:tcPr>
            <w:tcW w:w="850" w:type="dxa"/>
            <w:tcBorders>
              <w:top w:val="single" w:sz="6" w:space="0" w:color="auto"/>
              <w:left w:val="single" w:sz="6" w:space="0" w:color="auto"/>
              <w:bottom w:val="single" w:sz="6" w:space="0" w:color="auto"/>
              <w:right w:val="single" w:sz="6" w:space="0" w:color="auto"/>
            </w:tcBorders>
            <w:hideMark/>
          </w:tcPr>
          <w:p w14:paraId="7ACCE0EA"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t xml:space="preserve">riconosciuto/ conosciuto </w:t>
            </w:r>
            <w:r w:rsidRPr="004C05E4">
              <w:rPr>
                <w:rStyle w:val="Funotenzeichen"/>
                <w:rFonts w:ascii="KievitPro-Regular" w:hAnsi="KievitPro-Regular"/>
                <w:lang w:val="it-CH"/>
              </w:rPr>
              <w:footnoteReference w:id="12"/>
            </w:r>
          </w:p>
        </w:tc>
        <w:tc>
          <w:tcPr>
            <w:tcW w:w="851" w:type="dxa"/>
            <w:tcBorders>
              <w:top w:val="single" w:sz="6" w:space="0" w:color="auto"/>
              <w:left w:val="nil"/>
              <w:bottom w:val="single" w:sz="6" w:space="0" w:color="auto"/>
              <w:right w:val="single" w:sz="6" w:space="0" w:color="auto"/>
            </w:tcBorders>
            <w:shd w:val="clear" w:color="auto" w:fill="C2D69B"/>
            <w:hideMark/>
          </w:tcPr>
          <w:p w14:paraId="20DD5CFC" w14:textId="77777777" w:rsidR="00ED4133" w:rsidRPr="004C05E4" w:rsidRDefault="00ED4133" w:rsidP="00EB2FBE">
            <w:pPr>
              <w:rPr>
                <w:rFonts w:ascii="KievitPro-Regular" w:hAnsi="KievitPro-Regular"/>
                <w:lang w:val="it-CH"/>
              </w:rPr>
            </w:pPr>
            <w:r w:rsidRPr="004C05E4">
              <w:rPr>
                <w:rFonts w:ascii="KievitPro-Regular" w:hAnsi="KievitPro-Regular"/>
                <w:sz w:val="16"/>
                <w:szCs w:val="16"/>
                <w:lang w:val="it-CH"/>
              </w:rPr>
              <w:t>si /senza problemi</w:t>
            </w:r>
          </w:p>
        </w:tc>
        <w:tc>
          <w:tcPr>
            <w:tcW w:w="850" w:type="dxa"/>
            <w:tcBorders>
              <w:top w:val="single" w:sz="6" w:space="0" w:color="auto"/>
              <w:left w:val="nil"/>
              <w:bottom w:val="single" w:sz="6" w:space="0" w:color="auto"/>
              <w:right w:val="single" w:sz="6" w:space="0" w:color="auto"/>
            </w:tcBorders>
            <w:shd w:val="clear" w:color="auto" w:fill="FF9933"/>
            <w:hideMark/>
          </w:tcPr>
          <w:p w14:paraId="6744E6EB" w14:textId="77777777" w:rsidR="00ED4133" w:rsidRPr="004C05E4" w:rsidRDefault="00ED4133" w:rsidP="00EB2FBE">
            <w:pPr>
              <w:ind w:right="-110"/>
              <w:rPr>
                <w:rFonts w:ascii="KievitPro-Regular" w:hAnsi="KievitPro-Regular"/>
                <w:sz w:val="16"/>
                <w:szCs w:val="16"/>
                <w:lang w:val="it-CH"/>
              </w:rPr>
            </w:pPr>
            <w:r w:rsidRPr="004C05E4">
              <w:rPr>
                <w:rFonts w:ascii="KievitPro-Regular" w:hAnsi="KievitPro-Regular"/>
                <w:sz w:val="16"/>
                <w:szCs w:val="16"/>
                <w:lang w:val="it-CH"/>
              </w:rPr>
              <w:t xml:space="preserve">Ulteriori chiarificazioni necessarie </w:t>
            </w:r>
          </w:p>
        </w:tc>
        <w:tc>
          <w:tcPr>
            <w:tcW w:w="851" w:type="dxa"/>
            <w:tcBorders>
              <w:top w:val="single" w:sz="6" w:space="0" w:color="auto"/>
              <w:left w:val="nil"/>
              <w:bottom w:val="single" w:sz="6" w:space="0" w:color="auto"/>
              <w:right w:val="single" w:sz="6" w:space="0" w:color="auto"/>
            </w:tcBorders>
            <w:shd w:val="clear" w:color="auto" w:fill="FF0000"/>
            <w:hideMark/>
          </w:tcPr>
          <w:p w14:paraId="595BA82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t>no /</w:t>
            </w:r>
          </w:p>
          <w:p w14:paraId="2C4DBCE7"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t>critico</w:t>
            </w:r>
          </w:p>
        </w:tc>
        <w:tc>
          <w:tcPr>
            <w:tcW w:w="6095" w:type="dxa"/>
            <w:vMerge/>
            <w:tcBorders>
              <w:top w:val="single" w:sz="6" w:space="0" w:color="auto"/>
              <w:left w:val="nil"/>
              <w:bottom w:val="single" w:sz="6" w:space="0" w:color="auto"/>
              <w:right w:val="single" w:sz="6" w:space="0" w:color="auto"/>
            </w:tcBorders>
            <w:vAlign w:val="center"/>
            <w:hideMark/>
          </w:tcPr>
          <w:p w14:paraId="3D54A543" w14:textId="77777777" w:rsidR="00ED4133" w:rsidRPr="004C05E4" w:rsidRDefault="00ED4133" w:rsidP="00EB2FBE">
            <w:pPr>
              <w:rPr>
                <w:rFonts w:ascii="KievitPro-Regular" w:hAnsi="KievitPro-Regular"/>
                <w:lang w:val="it-CH"/>
              </w:rPr>
            </w:pPr>
          </w:p>
        </w:tc>
      </w:tr>
      <w:tr w:rsidR="00ED4133" w:rsidRPr="004C05E4" w14:paraId="2C92A77A" w14:textId="77777777" w:rsidTr="00EB2FBE">
        <w:tc>
          <w:tcPr>
            <w:tcW w:w="637" w:type="dxa"/>
            <w:tcBorders>
              <w:top w:val="single" w:sz="6" w:space="0" w:color="000000"/>
              <w:left w:val="single" w:sz="6" w:space="0" w:color="auto"/>
              <w:bottom w:val="nil"/>
              <w:right w:val="single" w:sz="6" w:space="0" w:color="auto"/>
            </w:tcBorders>
            <w:hideMark/>
          </w:tcPr>
          <w:p w14:paraId="17B420B2" w14:textId="77777777" w:rsidR="00ED4133" w:rsidRPr="004C05E4" w:rsidRDefault="00ED4133" w:rsidP="00EB2FBE">
            <w:pPr>
              <w:jc w:val="center"/>
              <w:rPr>
                <w:rFonts w:ascii="KievitPro-Regular" w:hAnsi="KievitPro-Regular"/>
                <w:b/>
                <w:lang w:val="it-CH"/>
              </w:rPr>
            </w:pPr>
            <w:r w:rsidRPr="004C05E4">
              <w:rPr>
                <w:rFonts w:ascii="KievitPro-Regular" w:hAnsi="KievitPro-Regular"/>
                <w:b/>
                <w:lang w:val="it-CH"/>
              </w:rPr>
              <w:t>1</w:t>
            </w:r>
          </w:p>
        </w:tc>
        <w:tc>
          <w:tcPr>
            <w:tcW w:w="4678" w:type="dxa"/>
            <w:tcBorders>
              <w:top w:val="single" w:sz="6" w:space="0" w:color="auto"/>
              <w:left w:val="single" w:sz="6" w:space="0" w:color="auto"/>
              <w:bottom w:val="nil"/>
              <w:right w:val="nil"/>
            </w:tcBorders>
            <w:hideMark/>
          </w:tcPr>
          <w:p w14:paraId="74571C03" w14:textId="77777777" w:rsidR="00ED4133" w:rsidRPr="004C05E4" w:rsidRDefault="00ED4133" w:rsidP="00EB2FBE">
            <w:pPr>
              <w:rPr>
                <w:rFonts w:ascii="KievitPro-Regular" w:hAnsi="KievitPro-Regular"/>
                <w:b/>
                <w:lang w:val="it-CH"/>
              </w:rPr>
            </w:pPr>
            <w:r w:rsidRPr="004C05E4">
              <w:rPr>
                <w:rFonts w:ascii="KievitPro-Regular" w:hAnsi="KievitPro-Regular"/>
                <w:b/>
                <w:lang w:val="it-CH"/>
              </w:rPr>
              <w:t>Introduzione</w:t>
            </w:r>
          </w:p>
        </w:tc>
        <w:tc>
          <w:tcPr>
            <w:tcW w:w="3402" w:type="dxa"/>
            <w:gridSpan w:val="4"/>
            <w:tcBorders>
              <w:top w:val="single" w:sz="6" w:space="0" w:color="auto"/>
              <w:left w:val="nil"/>
              <w:bottom w:val="nil"/>
              <w:right w:val="single" w:sz="6" w:space="0" w:color="auto"/>
            </w:tcBorders>
          </w:tcPr>
          <w:p w14:paraId="4CDA86A4" w14:textId="77777777" w:rsidR="00ED4133" w:rsidRPr="004C05E4" w:rsidRDefault="00ED4133" w:rsidP="00EB2FBE">
            <w:pPr>
              <w:rPr>
                <w:rFonts w:ascii="KievitPro-Regular" w:hAnsi="KievitPro-Regular"/>
                <w:lang w:val="it-CH"/>
              </w:rPr>
            </w:pPr>
          </w:p>
        </w:tc>
        <w:tc>
          <w:tcPr>
            <w:tcW w:w="6095" w:type="dxa"/>
            <w:tcBorders>
              <w:top w:val="single" w:sz="6" w:space="0" w:color="auto"/>
              <w:left w:val="nil"/>
              <w:bottom w:val="nil"/>
              <w:right w:val="single" w:sz="6" w:space="0" w:color="auto"/>
            </w:tcBorders>
          </w:tcPr>
          <w:p w14:paraId="766C1C9D" w14:textId="77777777" w:rsidR="00ED4133" w:rsidRPr="004C05E4" w:rsidRDefault="00ED4133" w:rsidP="00EB2FBE">
            <w:pPr>
              <w:rPr>
                <w:rFonts w:ascii="KievitPro-Regular" w:hAnsi="KievitPro-Regular"/>
                <w:lang w:val="it-CH"/>
              </w:rPr>
            </w:pPr>
          </w:p>
        </w:tc>
      </w:tr>
      <w:tr w:rsidR="00ED4133" w:rsidRPr="004C05E4" w14:paraId="3F1907BD" w14:textId="77777777" w:rsidTr="00EB2FBE">
        <w:tc>
          <w:tcPr>
            <w:tcW w:w="637" w:type="dxa"/>
            <w:tcBorders>
              <w:top w:val="nil"/>
              <w:left w:val="single" w:sz="6" w:space="0" w:color="auto"/>
              <w:bottom w:val="nil"/>
              <w:right w:val="nil"/>
            </w:tcBorders>
          </w:tcPr>
          <w:p w14:paraId="112FB14A" w14:textId="77777777" w:rsidR="00ED4133" w:rsidRPr="004C05E4" w:rsidRDefault="00ED4133" w:rsidP="00EB2FBE">
            <w:pPr>
              <w:jc w:val="center"/>
              <w:rPr>
                <w:rFonts w:ascii="KievitPro-Regular" w:hAnsi="KievitPro-Regular"/>
                <w:lang w:val="it-CH"/>
              </w:rPr>
            </w:pPr>
          </w:p>
        </w:tc>
        <w:tc>
          <w:tcPr>
            <w:tcW w:w="14175" w:type="dxa"/>
            <w:gridSpan w:val="6"/>
            <w:tcBorders>
              <w:top w:val="nil"/>
              <w:left w:val="single" w:sz="6" w:space="0" w:color="auto"/>
              <w:bottom w:val="nil"/>
              <w:right w:val="single" w:sz="6" w:space="0" w:color="auto"/>
            </w:tcBorders>
            <w:hideMark/>
          </w:tcPr>
          <w:p w14:paraId="6DB11FAC" w14:textId="77777777" w:rsidR="00ED4133" w:rsidRPr="004C05E4" w:rsidRDefault="00ED4133" w:rsidP="00EB2FBE">
            <w:pPr>
              <w:rPr>
                <w:rFonts w:ascii="KievitPro-Regular" w:hAnsi="KievitPro-Regular"/>
                <w:sz w:val="18"/>
                <w:szCs w:val="16"/>
                <w:lang w:val="it-CH"/>
              </w:rPr>
            </w:pPr>
            <w:r w:rsidRPr="004C05E4">
              <w:rPr>
                <w:rFonts w:ascii="KievitPro-Regular" w:hAnsi="KievitPro-Regular"/>
                <w:sz w:val="18"/>
                <w:szCs w:val="16"/>
                <w:lang w:val="it-CH"/>
              </w:rPr>
              <w:t xml:space="preserve">Le direttive circa l’accettazione di nuovi mandati della Esempio SA richiedono che questa Checklist sia completata prima che siano accettati dei nuovi mandati di verifica, o nei casi in cui si rende necessaria una nuova valutazione del mandato. Nel caso in cui i fattori sono valutati come critici (campo rosso) e non è possibile trovare una soluzione soddisfacente, è necessario rinunciare al mandato. Nel caso in cui si volesse prendere comunque in considerazione i mandati in questione, questi devono godere di una posizione superiore (p. es. Direzione del sistema di garanzia della qualità). </w:t>
            </w:r>
          </w:p>
        </w:tc>
      </w:tr>
      <w:tr w:rsidR="00ED4133" w:rsidRPr="004C05E4" w14:paraId="75D230A7" w14:textId="77777777" w:rsidTr="00EB2FBE">
        <w:tc>
          <w:tcPr>
            <w:tcW w:w="637" w:type="dxa"/>
            <w:tcBorders>
              <w:top w:val="nil"/>
              <w:left w:val="single" w:sz="6" w:space="0" w:color="auto"/>
              <w:bottom w:val="nil"/>
              <w:right w:val="nil"/>
            </w:tcBorders>
          </w:tcPr>
          <w:p w14:paraId="3E4ABA0C" w14:textId="77777777" w:rsidR="00ED4133" w:rsidRPr="004C05E4" w:rsidRDefault="00ED4133" w:rsidP="00EB2FBE">
            <w:pPr>
              <w:jc w:val="center"/>
              <w:rPr>
                <w:rFonts w:ascii="KievitPro-Regular" w:hAnsi="KievitPro-Regular"/>
                <w:lang w:val="it-CH"/>
              </w:rPr>
            </w:pPr>
          </w:p>
        </w:tc>
        <w:tc>
          <w:tcPr>
            <w:tcW w:w="14175" w:type="dxa"/>
            <w:gridSpan w:val="6"/>
            <w:tcBorders>
              <w:top w:val="nil"/>
              <w:left w:val="single" w:sz="6" w:space="0" w:color="auto"/>
              <w:bottom w:val="nil"/>
              <w:right w:val="single" w:sz="6" w:space="0" w:color="auto"/>
            </w:tcBorders>
          </w:tcPr>
          <w:p w14:paraId="53D036C6" w14:textId="77777777" w:rsidR="00ED4133" w:rsidRPr="004C05E4" w:rsidRDefault="00ED4133" w:rsidP="00EB2FBE">
            <w:pPr>
              <w:rPr>
                <w:rFonts w:ascii="KievitPro-Regular" w:hAnsi="KievitPro-Regular"/>
                <w:sz w:val="18"/>
                <w:szCs w:val="16"/>
                <w:lang w:val="it-CH"/>
              </w:rPr>
            </w:pPr>
          </w:p>
        </w:tc>
      </w:tr>
      <w:tr w:rsidR="00ED4133" w:rsidRPr="004C05E4" w14:paraId="435F52B2" w14:textId="77777777" w:rsidTr="00EB2FBE">
        <w:tc>
          <w:tcPr>
            <w:tcW w:w="637" w:type="dxa"/>
            <w:tcBorders>
              <w:top w:val="single" w:sz="6" w:space="0" w:color="000000"/>
              <w:left w:val="single" w:sz="6" w:space="0" w:color="auto"/>
              <w:bottom w:val="nil"/>
              <w:right w:val="single" w:sz="6" w:space="0" w:color="auto"/>
            </w:tcBorders>
            <w:hideMark/>
          </w:tcPr>
          <w:p w14:paraId="1BA177F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2</w:t>
            </w:r>
          </w:p>
        </w:tc>
        <w:tc>
          <w:tcPr>
            <w:tcW w:w="4678" w:type="dxa"/>
            <w:tcBorders>
              <w:top w:val="single" w:sz="6" w:space="0" w:color="auto"/>
              <w:left w:val="single" w:sz="6" w:space="0" w:color="auto"/>
              <w:bottom w:val="nil"/>
              <w:right w:val="nil"/>
            </w:tcBorders>
            <w:hideMark/>
          </w:tcPr>
          <w:p w14:paraId="1C8538E5"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Cliente nuovo / cliente esistente</w:t>
            </w:r>
          </w:p>
        </w:tc>
        <w:tc>
          <w:tcPr>
            <w:tcW w:w="3402" w:type="dxa"/>
            <w:gridSpan w:val="4"/>
            <w:tcBorders>
              <w:top w:val="single" w:sz="6" w:space="0" w:color="auto"/>
              <w:left w:val="nil"/>
              <w:bottom w:val="nil"/>
              <w:right w:val="single" w:sz="6" w:space="0" w:color="auto"/>
            </w:tcBorders>
          </w:tcPr>
          <w:p w14:paraId="3DE47911"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01054CC8"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E806CCA" w14:textId="77777777" w:rsidTr="00EB2FBE">
        <w:tc>
          <w:tcPr>
            <w:tcW w:w="637" w:type="dxa"/>
            <w:tcBorders>
              <w:top w:val="nil"/>
              <w:left w:val="single" w:sz="6" w:space="0" w:color="auto"/>
              <w:bottom w:val="single" w:sz="6" w:space="0" w:color="auto"/>
              <w:right w:val="nil"/>
            </w:tcBorders>
          </w:tcPr>
          <w:p w14:paraId="3AF45FCA" w14:textId="77777777" w:rsidR="00ED4133" w:rsidRPr="004C05E4" w:rsidRDefault="00ED4133" w:rsidP="00EB2FBE">
            <w:pPr>
              <w:jc w:val="center"/>
              <w:rPr>
                <w:rFonts w:ascii="KievitPro-Regular" w:hAnsi="KievitPro-Regular"/>
                <w:lang w:val="it-CH"/>
              </w:rPr>
            </w:pPr>
          </w:p>
        </w:tc>
        <w:tc>
          <w:tcPr>
            <w:tcW w:w="4678" w:type="dxa"/>
            <w:tcBorders>
              <w:top w:val="nil"/>
              <w:left w:val="single" w:sz="6" w:space="0" w:color="auto"/>
              <w:bottom w:val="single" w:sz="6" w:space="0" w:color="auto"/>
              <w:right w:val="single" w:sz="6" w:space="0" w:color="auto"/>
            </w:tcBorders>
            <w:hideMark/>
          </w:tcPr>
          <w:p w14:paraId="4C0BA79E"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Il cliente nuovo/cliente esistente adempie ai requisiti per l’accettazione del mandato secondo le direttive ABC? </w:t>
            </w:r>
          </w:p>
          <w:p w14:paraId="762A2D10" w14:textId="77777777" w:rsidR="00ED4133" w:rsidRPr="004C05E4" w:rsidRDefault="00ED4133" w:rsidP="00EB2FBE">
            <w:pPr>
              <w:rPr>
                <w:rFonts w:ascii="KievitPro-Regular" w:hAnsi="KievitPro-Regular"/>
                <w:sz w:val="14"/>
                <w:szCs w:val="14"/>
                <w:lang w:val="it-CH"/>
              </w:rPr>
            </w:pPr>
            <w:r w:rsidRPr="004C05E4">
              <w:rPr>
                <w:rFonts w:ascii="KievitPro-Regular" w:hAnsi="KievitPro-Regular"/>
                <w:sz w:val="14"/>
                <w:szCs w:val="14"/>
                <w:lang w:val="it-CH"/>
              </w:rPr>
              <w:t xml:space="preserve"> (p.es. Integrità del management, principi etici, nessuna violazione rilevante della legge, nessun eccessivo indebitamento della società) </w:t>
            </w:r>
          </w:p>
        </w:tc>
        <w:tc>
          <w:tcPr>
            <w:tcW w:w="850" w:type="dxa"/>
            <w:tcBorders>
              <w:top w:val="nil"/>
              <w:left w:val="single" w:sz="6" w:space="0" w:color="auto"/>
              <w:bottom w:val="single" w:sz="6" w:space="0" w:color="auto"/>
              <w:right w:val="single" w:sz="6" w:space="0" w:color="auto"/>
            </w:tcBorders>
            <w:hideMark/>
          </w:tcPr>
          <w:p w14:paraId="4B0FC8C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ed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7957D6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2"/>
                  <w:enabled/>
                  <w:calcOnExit w:val="0"/>
                  <w:checkBox>
                    <w:sizeAuto/>
                    <w:default w:val="0"/>
                    <w:checked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7CF820A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3"/>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560A3AE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4"/>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61838B35"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2"/>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5CD2EE8" w14:textId="77777777" w:rsidTr="00EB2FBE">
        <w:tc>
          <w:tcPr>
            <w:tcW w:w="637" w:type="dxa"/>
            <w:tcBorders>
              <w:top w:val="single" w:sz="6" w:space="0" w:color="000000"/>
              <w:left w:val="single" w:sz="6" w:space="0" w:color="auto"/>
              <w:bottom w:val="nil"/>
              <w:right w:val="single" w:sz="6" w:space="0" w:color="auto"/>
            </w:tcBorders>
            <w:hideMark/>
          </w:tcPr>
          <w:p w14:paraId="6FDA3083"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3</w:t>
            </w:r>
          </w:p>
        </w:tc>
        <w:tc>
          <w:tcPr>
            <w:tcW w:w="4678" w:type="dxa"/>
            <w:tcBorders>
              <w:top w:val="single" w:sz="6" w:space="0" w:color="auto"/>
              <w:left w:val="single" w:sz="6" w:space="0" w:color="auto"/>
              <w:bottom w:val="nil"/>
              <w:right w:val="nil"/>
            </w:tcBorders>
            <w:hideMark/>
          </w:tcPr>
          <w:p w14:paraId="2083F519" w14:textId="77777777" w:rsidR="00ED4133" w:rsidRPr="004C05E4" w:rsidRDefault="00ED4133" w:rsidP="00EB2FBE">
            <w:pPr>
              <w:pStyle w:val="berschrift7"/>
              <w:rPr>
                <w:rFonts w:ascii="KievitPro-Regular" w:hAnsi="KievitPro-Regular"/>
                <w:i/>
                <w:lang w:val="it-CH"/>
              </w:rPr>
            </w:pPr>
            <w:r w:rsidRPr="004C05E4">
              <w:rPr>
                <w:rFonts w:ascii="KievitPro-Regular" w:hAnsi="KievitPro-Regular"/>
                <w:i/>
                <w:lang w:val="it-CH"/>
              </w:rPr>
              <w:t>Assegnazione del mandato</w:t>
            </w:r>
          </w:p>
        </w:tc>
        <w:tc>
          <w:tcPr>
            <w:tcW w:w="3402" w:type="dxa"/>
            <w:gridSpan w:val="4"/>
            <w:tcBorders>
              <w:top w:val="single" w:sz="6" w:space="0" w:color="auto"/>
              <w:left w:val="nil"/>
              <w:bottom w:val="nil"/>
              <w:right w:val="single" w:sz="6" w:space="0" w:color="auto"/>
            </w:tcBorders>
          </w:tcPr>
          <w:p w14:paraId="015E7BF4"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0C5F824"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14CC2DCD" w14:textId="77777777" w:rsidTr="00EB2FBE">
        <w:tc>
          <w:tcPr>
            <w:tcW w:w="637" w:type="dxa"/>
            <w:tcBorders>
              <w:top w:val="nil"/>
              <w:left w:val="single" w:sz="6" w:space="0" w:color="auto"/>
              <w:bottom w:val="single" w:sz="6" w:space="0" w:color="auto"/>
              <w:right w:val="nil"/>
            </w:tcBorders>
            <w:hideMark/>
          </w:tcPr>
          <w:p w14:paraId="0B8D579C"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3.1</w:t>
            </w:r>
          </w:p>
        </w:tc>
        <w:tc>
          <w:tcPr>
            <w:tcW w:w="4678" w:type="dxa"/>
            <w:tcBorders>
              <w:top w:val="nil"/>
              <w:left w:val="single" w:sz="6" w:space="0" w:color="auto"/>
              <w:bottom w:val="single" w:sz="6" w:space="0" w:color="auto"/>
              <w:right w:val="single" w:sz="6" w:space="0" w:color="auto"/>
            </w:tcBorders>
            <w:hideMark/>
          </w:tcPr>
          <w:p w14:paraId="4866A4E2"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Da chi ci viene assegnato questo mandato? Si tratta di una persona, risp. di un contesto conosciuto e meritevole di fiducia?</w:t>
            </w:r>
          </w:p>
        </w:tc>
        <w:tc>
          <w:tcPr>
            <w:tcW w:w="850" w:type="dxa"/>
            <w:tcBorders>
              <w:top w:val="nil"/>
              <w:left w:val="single" w:sz="6" w:space="0" w:color="auto"/>
              <w:bottom w:val="single" w:sz="6" w:space="0" w:color="auto"/>
              <w:right w:val="single" w:sz="6" w:space="0" w:color="auto"/>
            </w:tcBorders>
            <w:hideMark/>
          </w:tcPr>
          <w:p w14:paraId="24D0483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56E74B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597F6B9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84E552C"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0263501"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3B67AE61" w14:textId="77777777" w:rsidTr="00EB2FBE">
        <w:tc>
          <w:tcPr>
            <w:tcW w:w="637" w:type="dxa"/>
            <w:tcBorders>
              <w:top w:val="nil"/>
              <w:left w:val="single" w:sz="6" w:space="0" w:color="auto"/>
              <w:bottom w:val="single" w:sz="6" w:space="0" w:color="auto"/>
              <w:right w:val="nil"/>
            </w:tcBorders>
            <w:hideMark/>
          </w:tcPr>
          <w:p w14:paraId="7805BB0E"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3.2</w:t>
            </w:r>
          </w:p>
        </w:tc>
        <w:tc>
          <w:tcPr>
            <w:tcW w:w="4678" w:type="dxa"/>
            <w:tcBorders>
              <w:top w:val="nil"/>
              <w:left w:val="single" w:sz="6" w:space="0" w:color="auto"/>
              <w:bottom w:val="single" w:sz="6" w:space="0" w:color="auto"/>
              <w:right w:val="single" w:sz="6" w:space="0" w:color="auto"/>
            </w:tcBorders>
            <w:hideMark/>
          </w:tcPr>
          <w:p w14:paraId="0EE60106"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Perché ci viene assegnato questo mandato?</w:t>
            </w:r>
          </w:p>
        </w:tc>
        <w:tc>
          <w:tcPr>
            <w:tcW w:w="850" w:type="dxa"/>
            <w:tcBorders>
              <w:top w:val="nil"/>
              <w:left w:val="single" w:sz="6" w:space="0" w:color="auto"/>
              <w:bottom w:val="single" w:sz="6" w:space="0" w:color="auto"/>
              <w:right w:val="single" w:sz="6" w:space="0" w:color="auto"/>
            </w:tcBorders>
          </w:tcPr>
          <w:p w14:paraId="28C1FD4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351D5153"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40C5A529"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795DDEB9"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21364E54"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8AEA5EA" w14:textId="77777777" w:rsidTr="00EB2FBE">
        <w:tc>
          <w:tcPr>
            <w:tcW w:w="637" w:type="dxa"/>
            <w:tcBorders>
              <w:top w:val="single" w:sz="6" w:space="0" w:color="000000"/>
              <w:left w:val="single" w:sz="6" w:space="0" w:color="auto"/>
              <w:bottom w:val="nil"/>
              <w:right w:val="single" w:sz="6" w:space="0" w:color="auto"/>
            </w:tcBorders>
            <w:hideMark/>
          </w:tcPr>
          <w:p w14:paraId="13998C1E"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lastRenderedPageBreak/>
              <w:t>4</w:t>
            </w:r>
          </w:p>
        </w:tc>
        <w:tc>
          <w:tcPr>
            <w:tcW w:w="8080" w:type="dxa"/>
            <w:gridSpan w:val="5"/>
            <w:tcBorders>
              <w:top w:val="single" w:sz="6" w:space="0" w:color="auto"/>
              <w:left w:val="single" w:sz="6" w:space="0" w:color="auto"/>
              <w:bottom w:val="nil"/>
              <w:right w:val="single" w:sz="6" w:space="0" w:color="auto"/>
            </w:tcBorders>
            <w:hideMark/>
          </w:tcPr>
          <w:p w14:paraId="04A11C51"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 xml:space="preserve">Incasso degli onorari da mandati di verifica esistenti </w:t>
            </w:r>
          </w:p>
        </w:tc>
        <w:tc>
          <w:tcPr>
            <w:tcW w:w="6095" w:type="dxa"/>
            <w:tcBorders>
              <w:top w:val="single" w:sz="6" w:space="0" w:color="auto"/>
              <w:left w:val="nil"/>
              <w:bottom w:val="nil"/>
              <w:right w:val="single" w:sz="6" w:space="0" w:color="auto"/>
            </w:tcBorders>
          </w:tcPr>
          <w:p w14:paraId="33C7F27E"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1774A13" w14:textId="77777777" w:rsidTr="00EB2FBE">
        <w:tc>
          <w:tcPr>
            <w:tcW w:w="637" w:type="dxa"/>
            <w:tcBorders>
              <w:top w:val="nil"/>
              <w:left w:val="single" w:sz="6" w:space="0" w:color="auto"/>
              <w:bottom w:val="single" w:sz="6" w:space="0" w:color="auto"/>
              <w:right w:val="nil"/>
            </w:tcBorders>
            <w:hideMark/>
          </w:tcPr>
          <w:p w14:paraId="7F1FC930"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4.1</w:t>
            </w:r>
          </w:p>
        </w:tc>
        <w:tc>
          <w:tcPr>
            <w:tcW w:w="4678" w:type="dxa"/>
            <w:tcBorders>
              <w:top w:val="nil"/>
              <w:left w:val="single" w:sz="6" w:space="0" w:color="auto"/>
              <w:bottom w:val="single" w:sz="6" w:space="0" w:color="auto"/>
              <w:right w:val="single" w:sz="6" w:space="0" w:color="auto"/>
            </w:tcBorders>
            <w:hideMark/>
          </w:tcPr>
          <w:p w14:paraId="017625B6" w14:textId="77777777" w:rsidR="00ED4133" w:rsidRPr="004C05E4" w:rsidRDefault="00ED4133" w:rsidP="00EB2FBE">
            <w:pPr>
              <w:rPr>
                <w:rFonts w:ascii="KievitPro-Regular" w:hAnsi="KievitPro-Regular"/>
                <w:sz w:val="18"/>
                <w:szCs w:val="18"/>
                <w:lang w:val="it-CH"/>
              </w:rPr>
            </w:pPr>
            <w:r w:rsidRPr="004C05E4">
              <w:rPr>
                <w:rFonts w:ascii="KievitPro-Regular" w:hAnsi="KievitPro-Regular"/>
                <w:sz w:val="18"/>
                <w:szCs w:val="18"/>
                <w:lang w:val="it-CH"/>
              </w:rPr>
              <w:t>Esistono degli onorari arretrati, i quali impediscono un proseguimento del mandato? Non c’è alcun onorario arretrato rilevante il quale impedisce il proseguimento del mandato?</w:t>
            </w:r>
          </w:p>
        </w:tc>
        <w:tc>
          <w:tcPr>
            <w:tcW w:w="850" w:type="dxa"/>
            <w:tcBorders>
              <w:top w:val="nil"/>
              <w:left w:val="single" w:sz="6" w:space="0" w:color="auto"/>
              <w:bottom w:val="single" w:sz="6" w:space="0" w:color="auto"/>
              <w:right w:val="single" w:sz="6" w:space="0" w:color="auto"/>
            </w:tcBorders>
            <w:hideMark/>
          </w:tcPr>
          <w:p w14:paraId="2C91608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ed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031EC3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ed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7640145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135A519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0AF8AFA7"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9501E5D" w14:textId="77777777" w:rsidTr="00EB2FBE">
        <w:tc>
          <w:tcPr>
            <w:tcW w:w="637" w:type="dxa"/>
            <w:tcBorders>
              <w:top w:val="single" w:sz="6" w:space="0" w:color="000000"/>
              <w:left w:val="single" w:sz="6" w:space="0" w:color="auto"/>
              <w:bottom w:val="nil"/>
              <w:right w:val="single" w:sz="6" w:space="0" w:color="auto"/>
            </w:tcBorders>
            <w:hideMark/>
          </w:tcPr>
          <w:p w14:paraId="58617B6A"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5</w:t>
            </w:r>
          </w:p>
        </w:tc>
        <w:tc>
          <w:tcPr>
            <w:tcW w:w="4678" w:type="dxa"/>
            <w:tcBorders>
              <w:top w:val="single" w:sz="6" w:space="0" w:color="auto"/>
              <w:left w:val="single" w:sz="6" w:space="0" w:color="auto"/>
              <w:bottom w:val="nil"/>
              <w:right w:val="nil"/>
            </w:tcBorders>
            <w:hideMark/>
          </w:tcPr>
          <w:p w14:paraId="2EC87A69" w14:textId="77777777" w:rsidR="00ED4133" w:rsidRPr="004C05E4" w:rsidRDefault="00ED4133" w:rsidP="00EB2FBE">
            <w:pPr>
              <w:spacing w:before="120" w:after="120"/>
              <w:rPr>
                <w:rFonts w:ascii="KievitPro-Regular" w:hAnsi="KievitPro-Regular"/>
                <w:lang w:val="it-CH"/>
              </w:rPr>
            </w:pPr>
            <w:r w:rsidRPr="004C05E4">
              <w:rPr>
                <w:rFonts w:ascii="KievitPro-Regular" w:hAnsi="KievitPro-Regular"/>
                <w:lang w:val="it-CH"/>
              </w:rPr>
              <w:t>Casi giuridici</w:t>
            </w:r>
          </w:p>
        </w:tc>
        <w:tc>
          <w:tcPr>
            <w:tcW w:w="3402" w:type="dxa"/>
            <w:gridSpan w:val="4"/>
            <w:tcBorders>
              <w:top w:val="single" w:sz="6" w:space="0" w:color="auto"/>
              <w:left w:val="nil"/>
              <w:bottom w:val="nil"/>
              <w:right w:val="single" w:sz="6" w:space="0" w:color="auto"/>
            </w:tcBorders>
          </w:tcPr>
          <w:p w14:paraId="5C0CD879"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73D97AFD"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1E71C6ED" w14:textId="77777777" w:rsidTr="00EB2FBE">
        <w:tc>
          <w:tcPr>
            <w:tcW w:w="637" w:type="dxa"/>
            <w:tcBorders>
              <w:top w:val="nil"/>
              <w:left w:val="single" w:sz="6" w:space="0" w:color="auto"/>
              <w:bottom w:val="single" w:sz="6" w:space="0" w:color="auto"/>
              <w:right w:val="nil"/>
            </w:tcBorders>
            <w:hideMark/>
          </w:tcPr>
          <w:p w14:paraId="11A9C9B4"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5.1</w:t>
            </w:r>
          </w:p>
        </w:tc>
        <w:tc>
          <w:tcPr>
            <w:tcW w:w="4678" w:type="dxa"/>
            <w:tcBorders>
              <w:top w:val="nil"/>
              <w:left w:val="single" w:sz="6" w:space="0" w:color="auto"/>
              <w:bottom w:val="single" w:sz="6" w:space="0" w:color="auto"/>
              <w:right w:val="single" w:sz="6" w:space="0" w:color="auto"/>
            </w:tcBorders>
            <w:hideMark/>
          </w:tcPr>
          <w:p w14:paraId="39ABB1DE"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Non esistono azioni giuridiche nei confronti della Esempio SA e non ci sono motivi per aspettarsi delle azioni giuridiche in futuro. </w:t>
            </w:r>
            <w:r w:rsidRPr="004C05E4">
              <w:rPr>
                <w:rFonts w:ascii="KievitPro-Regular" w:hAnsi="KievitPro-Regular"/>
                <w:sz w:val="18"/>
                <w:szCs w:val="16"/>
                <w:lang w:val="it-CH"/>
              </w:rPr>
              <w:br/>
              <w:t>La nostra società non ha alcun procedimento in corso nei confronti dell’impresa in questione.</w:t>
            </w:r>
          </w:p>
        </w:tc>
        <w:tc>
          <w:tcPr>
            <w:tcW w:w="850" w:type="dxa"/>
            <w:tcBorders>
              <w:top w:val="nil"/>
              <w:left w:val="single" w:sz="6" w:space="0" w:color="auto"/>
              <w:bottom w:val="single" w:sz="6" w:space="0" w:color="auto"/>
              <w:right w:val="single" w:sz="6" w:space="0" w:color="auto"/>
            </w:tcBorders>
            <w:hideMark/>
          </w:tcPr>
          <w:p w14:paraId="0AD3635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A961A2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1B7724F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4D0D6F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1AD2A78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8BD226F" w14:textId="77777777" w:rsidTr="00EB2FBE">
        <w:tc>
          <w:tcPr>
            <w:tcW w:w="637" w:type="dxa"/>
            <w:tcBorders>
              <w:top w:val="single" w:sz="6" w:space="0" w:color="000000"/>
              <w:left w:val="single" w:sz="6" w:space="0" w:color="auto"/>
              <w:bottom w:val="nil"/>
              <w:right w:val="single" w:sz="6" w:space="0" w:color="auto"/>
            </w:tcBorders>
            <w:hideMark/>
          </w:tcPr>
          <w:p w14:paraId="0DE9469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6</w:t>
            </w:r>
          </w:p>
        </w:tc>
        <w:tc>
          <w:tcPr>
            <w:tcW w:w="4678" w:type="dxa"/>
            <w:tcBorders>
              <w:top w:val="single" w:sz="6" w:space="0" w:color="auto"/>
              <w:left w:val="single" w:sz="6" w:space="0" w:color="auto"/>
              <w:bottom w:val="nil"/>
              <w:right w:val="nil"/>
            </w:tcBorders>
            <w:hideMark/>
          </w:tcPr>
          <w:p w14:paraId="4946F10B"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Attitudine / Eleggibilità</w:t>
            </w:r>
          </w:p>
        </w:tc>
        <w:tc>
          <w:tcPr>
            <w:tcW w:w="3402" w:type="dxa"/>
            <w:gridSpan w:val="4"/>
            <w:tcBorders>
              <w:top w:val="single" w:sz="6" w:space="0" w:color="auto"/>
              <w:left w:val="nil"/>
              <w:bottom w:val="nil"/>
              <w:right w:val="single" w:sz="6" w:space="0" w:color="auto"/>
            </w:tcBorders>
          </w:tcPr>
          <w:p w14:paraId="4199FE13"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4BB4F8E4"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8A2F28D" w14:textId="77777777" w:rsidTr="00EB2FBE">
        <w:tc>
          <w:tcPr>
            <w:tcW w:w="637" w:type="dxa"/>
            <w:tcBorders>
              <w:top w:val="nil"/>
              <w:left w:val="single" w:sz="6" w:space="0" w:color="auto"/>
              <w:bottom w:val="single" w:sz="6" w:space="0" w:color="auto"/>
              <w:right w:val="nil"/>
            </w:tcBorders>
            <w:hideMark/>
          </w:tcPr>
          <w:p w14:paraId="0ADEF3D7"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6.1</w:t>
            </w:r>
          </w:p>
        </w:tc>
        <w:tc>
          <w:tcPr>
            <w:tcW w:w="4678" w:type="dxa"/>
            <w:tcBorders>
              <w:top w:val="nil"/>
              <w:left w:val="single" w:sz="6" w:space="0" w:color="auto"/>
              <w:bottom w:val="single" w:sz="6" w:space="0" w:color="auto"/>
              <w:right w:val="single" w:sz="6" w:space="0" w:color="auto"/>
            </w:tcBorders>
            <w:hideMark/>
          </w:tcPr>
          <w:p w14:paraId="263D27CB"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Di che tipo di mandato si tratta? </w:t>
            </w:r>
            <w:r w:rsidRPr="004C05E4">
              <w:rPr>
                <w:rFonts w:ascii="KievitPro-Regular" w:hAnsi="KievitPro-Regular"/>
                <w:sz w:val="18"/>
                <w:szCs w:val="16"/>
                <w:lang w:val="it-CH"/>
              </w:rPr>
              <w:br/>
            </w:r>
            <w:r w:rsidRPr="004C05E4">
              <w:rPr>
                <w:rFonts w:ascii="KievitPro-Regular" w:hAnsi="KievitPro-Regular"/>
                <w:sz w:val="14"/>
                <w:szCs w:val="14"/>
                <w:lang w:val="it-CH"/>
              </w:rPr>
              <w:t xml:space="preserve">(revisione ordinaria, revisione limitata, verifica speciale) </w:t>
            </w:r>
          </w:p>
        </w:tc>
        <w:tc>
          <w:tcPr>
            <w:tcW w:w="850" w:type="dxa"/>
            <w:tcBorders>
              <w:top w:val="nil"/>
              <w:left w:val="single" w:sz="6" w:space="0" w:color="auto"/>
              <w:bottom w:val="single" w:sz="6" w:space="0" w:color="auto"/>
              <w:right w:val="single" w:sz="6" w:space="0" w:color="auto"/>
            </w:tcBorders>
          </w:tcPr>
          <w:p w14:paraId="132C626D"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28C8B49C"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36C5835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524B6835"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31E9926B"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05DC41F8" w14:textId="77777777" w:rsidTr="00EB2FBE">
        <w:tc>
          <w:tcPr>
            <w:tcW w:w="637" w:type="dxa"/>
            <w:tcBorders>
              <w:top w:val="nil"/>
              <w:left w:val="single" w:sz="6" w:space="0" w:color="auto"/>
              <w:bottom w:val="single" w:sz="6" w:space="0" w:color="auto"/>
              <w:right w:val="nil"/>
            </w:tcBorders>
            <w:hideMark/>
          </w:tcPr>
          <w:p w14:paraId="4E4009B3"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6.2</w:t>
            </w:r>
          </w:p>
        </w:tc>
        <w:tc>
          <w:tcPr>
            <w:tcW w:w="4678" w:type="dxa"/>
            <w:tcBorders>
              <w:top w:val="nil"/>
              <w:left w:val="single" w:sz="6" w:space="0" w:color="auto"/>
              <w:bottom w:val="single" w:sz="6" w:space="0" w:color="auto"/>
              <w:right w:val="single" w:sz="6" w:space="0" w:color="auto"/>
            </w:tcBorders>
            <w:hideMark/>
          </w:tcPr>
          <w:p w14:paraId="09C1093F" w14:textId="77777777" w:rsidR="00ED4133" w:rsidRPr="004C05E4" w:rsidRDefault="00ED4133" w:rsidP="00EB2FBE">
            <w:pPr>
              <w:rPr>
                <w:rFonts w:ascii="KievitPro-Regular" w:hAnsi="KievitPro-Regular"/>
                <w:sz w:val="18"/>
                <w:szCs w:val="16"/>
                <w:lang w:val="it-CH"/>
              </w:rPr>
            </w:pPr>
            <w:r w:rsidRPr="004C05E4">
              <w:rPr>
                <w:rFonts w:ascii="KievitPro-Regular" w:hAnsi="KievitPro-Regular"/>
                <w:sz w:val="18"/>
                <w:szCs w:val="16"/>
                <w:lang w:val="it-CH"/>
              </w:rPr>
              <w:t xml:space="preserve">Non esistono disposizioni legali speciali. </w:t>
            </w:r>
          </w:p>
          <w:p w14:paraId="4D8C7AF8" w14:textId="77777777" w:rsidR="00ED4133" w:rsidRPr="004C05E4" w:rsidRDefault="00ED4133" w:rsidP="00EB2FBE">
            <w:pPr>
              <w:rPr>
                <w:rFonts w:ascii="KievitPro-Regular" w:hAnsi="KievitPro-Regular"/>
                <w:sz w:val="18"/>
                <w:szCs w:val="16"/>
                <w:lang w:val="it-CH"/>
              </w:rPr>
            </w:pPr>
            <w:r w:rsidRPr="004C05E4">
              <w:rPr>
                <w:rFonts w:ascii="KievitPro-Regular" w:hAnsi="KievitPro-Regular"/>
                <w:sz w:val="14"/>
                <w:szCs w:val="14"/>
                <w:lang w:val="it-CH"/>
              </w:rPr>
              <w:t>(p.es. CFB, OBVM, quotazione in borsa, ecc.)</w:t>
            </w:r>
          </w:p>
          <w:p w14:paraId="21566811"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il mandato non presenta alcuna caratteristica distintiva. </w:t>
            </w:r>
            <w:r w:rsidRPr="004C05E4">
              <w:rPr>
                <w:rFonts w:ascii="KievitPro-Regular" w:hAnsi="KievitPro-Regular"/>
                <w:sz w:val="14"/>
                <w:szCs w:val="14"/>
                <w:lang w:val="it-CH"/>
              </w:rPr>
              <w:br/>
              <w:t xml:space="preserve">(p.es. prestiti arretrati, Start-up con rischi particolari ecc.) </w:t>
            </w:r>
          </w:p>
        </w:tc>
        <w:tc>
          <w:tcPr>
            <w:tcW w:w="850" w:type="dxa"/>
            <w:tcBorders>
              <w:top w:val="nil"/>
              <w:left w:val="single" w:sz="6" w:space="0" w:color="auto"/>
              <w:bottom w:val="single" w:sz="6" w:space="0" w:color="auto"/>
              <w:right w:val="single" w:sz="6" w:space="0" w:color="auto"/>
            </w:tcBorders>
            <w:hideMark/>
          </w:tcPr>
          <w:p w14:paraId="0AE3243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6F0921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1620725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75CF371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298246A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57DEBAC" w14:textId="77777777" w:rsidTr="00EB2FBE">
        <w:tc>
          <w:tcPr>
            <w:tcW w:w="637" w:type="dxa"/>
            <w:tcBorders>
              <w:top w:val="nil"/>
              <w:left w:val="single" w:sz="6" w:space="0" w:color="auto"/>
              <w:bottom w:val="single" w:sz="6" w:space="0" w:color="auto"/>
              <w:right w:val="nil"/>
            </w:tcBorders>
            <w:hideMark/>
          </w:tcPr>
          <w:p w14:paraId="6DDB7266"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6.3</w:t>
            </w:r>
          </w:p>
        </w:tc>
        <w:tc>
          <w:tcPr>
            <w:tcW w:w="4678" w:type="dxa"/>
            <w:tcBorders>
              <w:top w:val="nil"/>
              <w:left w:val="single" w:sz="6" w:space="0" w:color="auto"/>
              <w:bottom w:val="single" w:sz="6" w:space="0" w:color="auto"/>
              <w:right w:val="single" w:sz="6" w:space="0" w:color="auto"/>
            </w:tcBorders>
            <w:hideMark/>
          </w:tcPr>
          <w:p w14:paraId="16C0B2CF" w14:textId="77777777" w:rsidR="00ED4133" w:rsidRPr="004C05E4" w:rsidRDefault="00ED4133" w:rsidP="00EB2FBE">
            <w:pPr>
              <w:pStyle w:val="Referenz"/>
              <w:overflowPunct/>
              <w:autoSpaceDE/>
              <w:adjustRightInd/>
              <w:spacing w:line="264" w:lineRule="auto"/>
              <w:rPr>
                <w:rFonts w:ascii="KievitPro-Regular" w:hAnsi="KievitPro-Regular"/>
                <w:sz w:val="14"/>
                <w:szCs w:val="14"/>
                <w:lang w:val="it-CH"/>
              </w:rPr>
            </w:pPr>
            <w:r w:rsidRPr="004C05E4">
              <w:rPr>
                <w:rFonts w:ascii="KievitPro-Regular" w:hAnsi="KievitPro-Regular"/>
                <w:szCs w:val="16"/>
                <w:lang w:val="it-CH"/>
              </w:rPr>
              <w:t>Si tratta di un mandato a rischio ai sensi delle direttive XYZ?</w:t>
            </w:r>
          </w:p>
        </w:tc>
        <w:tc>
          <w:tcPr>
            <w:tcW w:w="850" w:type="dxa"/>
            <w:tcBorders>
              <w:top w:val="nil"/>
              <w:left w:val="single" w:sz="6" w:space="0" w:color="auto"/>
              <w:bottom w:val="single" w:sz="6" w:space="0" w:color="auto"/>
              <w:right w:val="single" w:sz="6" w:space="0" w:color="auto"/>
            </w:tcBorders>
          </w:tcPr>
          <w:p w14:paraId="79987D7F" w14:textId="77777777" w:rsidR="00ED4133" w:rsidRPr="004C05E4" w:rsidRDefault="00ED4133" w:rsidP="00EB2FBE">
            <w:pPr>
              <w:numPr>
                <w:ilvl w:val="12"/>
                <w:numId w:val="0"/>
              </w:numPr>
              <w:spacing w:before="120" w:after="120"/>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6A136A38" w14:textId="77777777" w:rsidR="00ED4133" w:rsidRPr="004C05E4" w:rsidRDefault="00ED4133" w:rsidP="00EB2FBE">
            <w:pPr>
              <w:numPr>
                <w:ilvl w:val="12"/>
                <w:numId w:val="0"/>
              </w:numPr>
              <w:spacing w:before="120" w:after="120"/>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05DED491" w14:textId="77777777" w:rsidR="00ED4133" w:rsidRPr="004C05E4" w:rsidRDefault="00ED4133" w:rsidP="00EB2FBE">
            <w:pPr>
              <w:numPr>
                <w:ilvl w:val="12"/>
                <w:numId w:val="0"/>
              </w:numPr>
              <w:spacing w:before="120" w:after="120"/>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508D7992" w14:textId="77777777" w:rsidR="00ED4133" w:rsidRPr="004C05E4" w:rsidRDefault="00ED4133" w:rsidP="00EB2FBE">
            <w:pPr>
              <w:numPr>
                <w:ilvl w:val="12"/>
                <w:numId w:val="0"/>
              </w:numPr>
              <w:spacing w:before="120" w:after="120"/>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5E7DA709"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0A2B47E" w14:textId="77777777" w:rsidTr="00EB2FBE">
        <w:tc>
          <w:tcPr>
            <w:tcW w:w="637" w:type="dxa"/>
            <w:tcBorders>
              <w:top w:val="nil"/>
              <w:left w:val="single" w:sz="6" w:space="0" w:color="auto"/>
              <w:bottom w:val="single" w:sz="6" w:space="0" w:color="auto"/>
              <w:right w:val="nil"/>
            </w:tcBorders>
            <w:hideMark/>
          </w:tcPr>
          <w:p w14:paraId="1AC6F270"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6.4</w:t>
            </w:r>
          </w:p>
        </w:tc>
        <w:tc>
          <w:tcPr>
            <w:tcW w:w="4678" w:type="dxa"/>
            <w:tcBorders>
              <w:top w:val="nil"/>
              <w:left w:val="single" w:sz="6" w:space="0" w:color="auto"/>
              <w:bottom w:val="single" w:sz="6" w:space="0" w:color="auto"/>
              <w:right w:val="single" w:sz="6" w:space="0" w:color="auto"/>
            </w:tcBorders>
            <w:hideMark/>
          </w:tcPr>
          <w:p w14:paraId="5D4F7B11"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Disponiamo del numero di collaboratori sufficientemente qualificati necessari al fine di accettare o proseguire il mandato in questione ed eseguirlo in maniera professionale e competente? </w:t>
            </w:r>
          </w:p>
          <w:p w14:paraId="4D3126D9"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 </w:t>
            </w:r>
          </w:p>
        </w:tc>
        <w:tc>
          <w:tcPr>
            <w:tcW w:w="850" w:type="dxa"/>
            <w:tcBorders>
              <w:top w:val="nil"/>
              <w:left w:val="single" w:sz="6" w:space="0" w:color="auto"/>
              <w:bottom w:val="single" w:sz="6" w:space="0" w:color="auto"/>
              <w:right w:val="single" w:sz="6" w:space="0" w:color="auto"/>
            </w:tcBorders>
            <w:hideMark/>
          </w:tcPr>
          <w:p w14:paraId="71AC2D5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755472F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3CC550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10E62CBC"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694ED73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9039529" w14:textId="77777777" w:rsidTr="00EB2FBE">
        <w:tc>
          <w:tcPr>
            <w:tcW w:w="637" w:type="dxa"/>
            <w:tcBorders>
              <w:top w:val="single" w:sz="6" w:space="0" w:color="000000"/>
              <w:left w:val="single" w:sz="6" w:space="0" w:color="auto"/>
              <w:bottom w:val="nil"/>
              <w:right w:val="single" w:sz="6" w:space="0" w:color="auto"/>
            </w:tcBorders>
            <w:hideMark/>
          </w:tcPr>
          <w:p w14:paraId="4CF30E01"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7</w:t>
            </w:r>
          </w:p>
        </w:tc>
        <w:tc>
          <w:tcPr>
            <w:tcW w:w="4678" w:type="dxa"/>
            <w:tcBorders>
              <w:top w:val="single" w:sz="6" w:space="0" w:color="auto"/>
              <w:left w:val="single" w:sz="6" w:space="0" w:color="auto"/>
              <w:bottom w:val="nil"/>
              <w:right w:val="nil"/>
            </w:tcBorders>
            <w:hideMark/>
          </w:tcPr>
          <w:p w14:paraId="236D1A1A"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Indipendenza</w:t>
            </w:r>
          </w:p>
        </w:tc>
        <w:tc>
          <w:tcPr>
            <w:tcW w:w="3402" w:type="dxa"/>
            <w:gridSpan w:val="4"/>
            <w:tcBorders>
              <w:top w:val="single" w:sz="6" w:space="0" w:color="auto"/>
              <w:left w:val="nil"/>
              <w:bottom w:val="nil"/>
              <w:right w:val="single" w:sz="6" w:space="0" w:color="auto"/>
            </w:tcBorders>
          </w:tcPr>
          <w:p w14:paraId="2B8F13D7"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AF8E205"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AAB295D" w14:textId="77777777" w:rsidTr="00EB2FBE">
        <w:tc>
          <w:tcPr>
            <w:tcW w:w="637" w:type="dxa"/>
            <w:tcBorders>
              <w:top w:val="nil"/>
              <w:left w:val="single" w:sz="6" w:space="0" w:color="auto"/>
              <w:bottom w:val="single" w:sz="6" w:space="0" w:color="auto"/>
              <w:right w:val="nil"/>
            </w:tcBorders>
            <w:hideMark/>
          </w:tcPr>
          <w:p w14:paraId="097E1A58"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7.1</w:t>
            </w:r>
          </w:p>
        </w:tc>
        <w:tc>
          <w:tcPr>
            <w:tcW w:w="4678" w:type="dxa"/>
            <w:tcBorders>
              <w:top w:val="nil"/>
              <w:left w:val="single" w:sz="6" w:space="0" w:color="auto"/>
              <w:bottom w:val="single" w:sz="6" w:space="0" w:color="auto"/>
              <w:right w:val="single" w:sz="6" w:space="0" w:color="auto"/>
            </w:tcBorders>
            <w:hideMark/>
          </w:tcPr>
          <w:p w14:paraId="45C54A4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8"/>
                <w:szCs w:val="16"/>
                <w:lang w:val="it-CH"/>
              </w:rPr>
              <w:t xml:space="preserve">Abbiamo garantito il rispetto delle direttive circa l’indipedenza prima dell’accettazione del mandato, risp. del proseguimento? </w:t>
            </w:r>
            <w:r w:rsidRPr="004C05E4">
              <w:rPr>
                <w:rFonts w:ascii="KievitPro-Regular" w:hAnsi="KievitPro-Regular"/>
                <w:sz w:val="16"/>
                <w:szCs w:val="16"/>
                <w:lang w:val="it-CH"/>
              </w:rPr>
              <w:br/>
            </w:r>
            <w:r w:rsidRPr="004C05E4">
              <w:rPr>
                <w:rFonts w:ascii="KievitPro-Regular" w:hAnsi="KievitPro-Regular"/>
                <w:sz w:val="14"/>
                <w:szCs w:val="14"/>
                <w:lang w:val="it-CH"/>
              </w:rPr>
              <w:t>Chiarimenti riguardo l’indipendenza sono da documentare e allegare a questa checklist.</w:t>
            </w:r>
          </w:p>
        </w:tc>
        <w:tc>
          <w:tcPr>
            <w:tcW w:w="850" w:type="dxa"/>
            <w:tcBorders>
              <w:top w:val="nil"/>
              <w:left w:val="single" w:sz="6" w:space="0" w:color="auto"/>
              <w:bottom w:val="single" w:sz="6" w:space="0" w:color="auto"/>
              <w:right w:val="single" w:sz="6" w:space="0" w:color="auto"/>
            </w:tcBorders>
            <w:hideMark/>
          </w:tcPr>
          <w:p w14:paraId="3CBF7B5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18EC2BA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3754489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77294C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1C2D67C" w14:textId="77777777" w:rsidR="00ED4133" w:rsidRPr="004C05E4" w:rsidRDefault="00ED4133" w:rsidP="00EB2FBE">
            <w:pPr>
              <w:spacing w:before="120" w:after="120"/>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06E56B1" w14:textId="77777777" w:rsidTr="00EB2FBE">
        <w:tc>
          <w:tcPr>
            <w:tcW w:w="637" w:type="dxa"/>
            <w:tcBorders>
              <w:top w:val="nil"/>
              <w:left w:val="single" w:sz="6" w:space="0" w:color="auto"/>
              <w:bottom w:val="single" w:sz="6" w:space="0" w:color="auto"/>
              <w:right w:val="nil"/>
            </w:tcBorders>
            <w:hideMark/>
          </w:tcPr>
          <w:p w14:paraId="435EB837"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lastRenderedPageBreak/>
              <w:t>7.2</w:t>
            </w:r>
          </w:p>
        </w:tc>
        <w:tc>
          <w:tcPr>
            <w:tcW w:w="4678" w:type="dxa"/>
            <w:tcBorders>
              <w:top w:val="nil"/>
              <w:left w:val="single" w:sz="6" w:space="0" w:color="auto"/>
              <w:bottom w:val="single" w:sz="6" w:space="0" w:color="auto"/>
              <w:right w:val="single" w:sz="6" w:space="0" w:color="auto"/>
            </w:tcBorders>
            <w:hideMark/>
          </w:tcPr>
          <w:p w14:paraId="23CDF13F"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Nessun partner o collaboratore della Esempio SA intrattiene relazioni familiari o altre relazioni strette con il cliente? </w:t>
            </w:r>
          </w:p>
        </w:tc>
        <w:tc>
          <w:tcPr>
            <w:tcW w:w="850" w:type="dxa"/>
            <w:tcBorders>
              <w:top w:val="nil"/>
              <w:left w:val="single" w:sz="6" w:space="0" w:color="auto"/>
              <w:bottom w:val="single" w:sz="6" w:space="0" w:color="auto"/>
              <w:right w:val="single" w:sz="6" w:space="0" w:color="auto"/>
            </w:tcBorders>
            <w:hideMark/>
          </w:tcPr>
          <w:p w14:paraId="2EACBA8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37BBEA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2D4EEE8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822932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717429A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0EBFBE5" w14:textId="77777777" w:rsidTr="00EB2FBE">
        <w:tc>
          <w:tcPr>
            <w:tcW w:w="637" w:type="dxa"/>
            <w:tcBorders>
              <w:top w:val="nil"/>
              <w:left w:val="single" w:sz="6" w:space="0" w:color="auto"/>
              <w:bottom w:val="single" w:sz="6" w:space="0" w:color="auto"/>
              <w:right w:val="nil"/>
            </w:tcBorders>
            <w:hideMark/>
          </w:tcPr>
          <w:p w14:paraId="74007D2B"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7.3</w:t>
            </w:r>
          </w:p>
        </w:tc>
        <w:tc>
          <w:tcPr>
            <w:tcW w:w="4678" w:type="dxa"/>
            <w:tcBorders>
              <w:top w:val="nil"/>
              <w:left w:val="single" w:sz="6" w:space="0" w:color="auto"/>
              <w:bottom w:val="single" w:sz="6" w:space="0" w:color="auto"/>
              <w:right w:val="single" w:sz="6" w:space="0" w:color="auto"/>
            </w:tcBorders>
            <w:hideMark/>
          </w:tcPr>
          <w:p w14:paraId="51CED5A7"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Nessun partner (o persona vicina alla società), e nessun collaboratore coinvolto nel mandato di verifica detiene o presenta degli interessi di natura finanziaria nei confronti della società da verificare.</w:t>
            </w:r>
          </w:p>
        </w:tc>
        <w:tc>
          <w:tcPr>
            <w:tcW w:w="850" w:type="dxa"/>
            <w:tcBorders>
              <w:top w:val="nil"/>
              <w:left w:val="single" w:sz="6" w:space="0" w:color="auto"/>
              <w:bottom w:val="single" w:sz="6" w:space="0" w:color="auto"/>
              <w:right w:val="single" w:sz="6" w:space="0" w:color="auto"/>
            </w:tcBorders>
            <w:hideMark/>
          </w:tcPr>
          <w:p w14:paraId="06E74B6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724458D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3108F8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D5E6DF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5AAE046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34CE9EB" w14:textId="77777777" w:rsidTr="00EB2FBE">
        <w:tc>
          <w:tcPr>
            <w:tcW w:w="637" w:type="dxa"/>
            <w:tcBorders>
              <w:top w:val="nil"/>
              <w:left w:val="single" w:sz="6" w:space="0" w:color="auto"/>
              <w:bottom w:val="single" w:sz="6" w:space="0" w:color="auto"/>
              <w:right w:val="nil"/>
            </w:tcBorders>
            <w:hideMark/>
          </w:tcPr>
          <w:p w14:paraId="582B7288"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7.4</w:t>
            </w:r>
          </w:p>
        </w:tc>
        <w:tc>
          <w:tcPr>
            <w:tcW w:w="4678" w:type="dxa"/>
            <w:tcBorders>
              <w:top w:val="nil"/>
              <w:left w:val="single" w:sz="6" w:space="0" w:color="auto"/>
              <w:bottom w:val="single" w:sz="6" w:space="0" w:color="auto"/>
              <w:right w:val="single" w:sz="6" w:space="0" w:color="auto"/>
            </w:tcBorders>
            <w:hideMark/>
          </w:tcPr>
          <w:p w14:paraId="15D5AC4B"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Non ci sono conflitti di interesse.</w:t>
            </w:r>
          </w:p>
        </w:tc>
        <w:tc>
          <w:tcPr>
            <w:tcW w:w="850" w:type="dxa"/>
            <w:tcBorders>
              <w:top w:val="nil"/>
              <w:left w:val="single" w:sz="6" w:space="0" w:color="auto"/>
              <w:bottom w:val="single" w:sz="6" w:space="0" w:color="auto"/>
              <w:right w:val="single" w:sz="6" w:space="0" w:color="auto"/>
            </w:tcBorders>
            <w:hideMark/>
          </w:tcPr>
          <w:p w14:paraId="413F676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86EB01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096520E5"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7ABA4D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5EDEC588"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43932830" w14:textId="77777777" w:rsidTr="00EB2FBE">
        <w:tc>
          <w:tcPr>
            <w:tcW w:w="637" w:type="dxa"/>
            <w:tcBorders>
              <w:top w:val="nil"/>
              <w:left w:val="single" w:sz="6" w:space="0" w:color="auto"/>
              <w:bottom w:val="single" w:sz="6" w:space="0" w:color="auto"/>
              <w:right w:val="nil"/>
            </w:tcBorders>
            <w:hideMark/>
          </w:tcPr>
          <w:p w14:paraId="58B6AB58"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7.5</w:t>
            </w:r>
          </w:p>
        </w:tc>
        <w:tc>
          <w:tcPr>
            <w:tcW w:w="4678" w:type="dxa"/>
            <w:tcBorders>
              <w:top w:val="nil"/>
              <w:left w:val="single" w:sz="6" w:space="0" w:color="auto"/>
              <w:bottom w:val="single" w:sz="6" w:space="0" w:color="auto"/>
              <w:right w:val="single" w:sz="6" w:space="0" w:color="auto"/>
            </w:tcBorders>
            <w:hideMark/>
          </w:tcPr>
          <w:p w14:paraId="72D83A0A"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Ci siamo assicurati prima dell’accettazione risp. proseguimento del mandato che il management non abbia posto alcuna limitazione circa la portata della verifica e/o le azioni di verifica pianificate?</w:t>
            </w:r>
          </w:p>
        </w:tc>
        <w:tc>
          <w:tcPr>
            <w:tcW w:w="850" w:type="dxa"/>
            <w:tcBorders>
              <w:top w:val="nil"/>
              <w:left w:val="single" w:sz="6" w:space="0" w:color="auto"/>
              <w:bottom w:val="single" w:sz="6" w:space="0" w:color="auto"/>
              <w:right w:val="single" w:sz="6" w:space="0" w:color="auto"/>
            </w:tcBorders>
            <w:hideMark/>
          </w:tcPr>
          <w:p w14:paraId="6C37812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28618D4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174CE5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91D476F"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334A4704"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BA7C86A" w14:textId="77777777" w:rsidTr="00EB2FBE">
        <w:tc>
          <w:tcPr>
            <w:tcW w:w="637" w:type="dxa"/>
            <w:tcBorders>
              <w:top w:val="nil"/>
              <w:left w:val="single" w:sz="6" w:space="0" w:color="auto"/>
              <w:bottom w:val="single" w:sz="6" w:space="0" w:color="auto"/>
              <w:right w:val="nil"/>
            </w:tcBorders>
            <w:hideMark/>
          </w:tcPr>
          <w:p w14:paraId="7F799B11"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7.6</w:t>
            </w:r>
          </w:p>
        </w:tc>
        <w:tc>
          <w:tcPr>
            <w:tcW w:w="4678" w:type="dxa"/>
            <w:tcBorders>
              <w:top w:val="nil"/>
              <w:left w:val="single" w:sz="6" w:space="0" w:color="auto"/>
              <w:bottom w:val="single" w:sz="6" w:space="0" w:color="auto"/>
              <w:right w:val="single" w:sz="6" w:space="0" w:color="auto"/>
            </w:tcBorders>
            <w:hideMark/>
          </w:tcPr>
          <w:p w14:paraId="773ECF03"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Esistono altri mandati con questo cliente? quali?</w:t>
            </w:r>
          </w:p>
        </w:tc>
        <w:tc>
          <w:tcPr>
            <w:tcW w:w="850" w:type="dxa"/>
            <w:tcBorders>
              <w:top w:val="nil"/>
              <w:left w:val="single" w:sz="6" w:space="0" w:color="auto"/>
              <w:bottom w:val="single" w:sz="6" w:space="0" w:color="auto"/>
              <w:right w:val="single" w:sz="6" w:space="0" w:color="auto"/>
            </w:tcBorders>
          </w:tcPr>
          <w:p w14:paraId="3F989F66"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5D27E8E4"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5F1E4EB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28BDAA4E"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0F3B293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4DE78927" w14:textId="77777777" w:rsidTr="00EB2FBE">
        <w:tc>
          <w:tcPr>
            <w:tcW w:w="637" w:type="dxa"/>
            <w:tcBorders>
              <w:top w:val="nil"/>
              <w:left w:val="single" w:sz="6" w:space="0" w:color="auto"/>
              <w:bottom w:val="single" w:sz="6" w:space="0" w:color="auto"/>
              <w:right w:val="nil"/>
            </w:tcBorders>
            <w:hideMark/>
          </w:tcPr>
          <w:p w14:paraId="1EC06A45"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7.7</w:t>
            </w:r>
          </w:p>
        </w:tc>
        <w:tc>
          <w:tcPr>
            <w:tcW w:w="4678" w:type="dxa"/>
            <w:tcBorders>
              <w:top w:val="nil"/>
              <w:left w:val="single" w:sz="6" w:space="0" w:color="auto"/>
              <w:bottom w:val="single" w:sz="6" w:space="0" w:color="auto"/>
              <w:right w:val="single" w:sz="6" w:space="0" w:color="auto"/>
            </w:tcBorders>
            <w:hideMark/>
          </w:tcPr>
          <w:p w14:paraId="56B991F0"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Ci siamo accertati che non esistono altri fattori che possano interferire con la nostra indipendenza?</w:t>
            </w:r>
          </w:p>
        </w:tc>
        <w:tc>
          <w:tcPr>
            <w:tcW w:w="850" w:type="dxa"/>
            <w:tcBorders>
              <w:top w:val="nil"/>
              <w:left w:val="single" w:sz="6" w:space="0" w:color="auto"/>
              <w:bottom w:val="single" w:sz="6" w:space="0" w:color="auto"/>
              <w:right w:val="single" w:sz="6" w:space="0" w:color="auto"/>
            </w:tcBorders>
            <w:hideMark/>
          </w:tcPr>
          <w:p w14:paraId="282078DC"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0C94D2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5A120E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51788BBF"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1896026B"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D4F7AEA" w14:textId="77777777" w:rsidTr="00EB2FBE">
        <w:tc>
          <w:tcPr>
            <w:tcW w:w="637" w:type="dxa"/>
            <w:tcBorders>
              <w:top w:val="single" w:sz="6" w:space="0" w:color="000000"/>
              <w:left w:val="single" w:sz="6" w:space="0" w:color="auto"/>
              <w:bottom w:val="nil"/>
              <w:right w:val="single" w:sz="6" w:space="0" w:color="auto"/>
            </w:tcBorders>
            <w:hideMark/>
          </w:tcPr>
          <w:p w14:paraId="4685858B"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8.</w:t>
            </w:r>
          </w:p>
        </w:tc>
        <w:tc>
          <w:tcPr>
            <w:tcW w:w="4678" w:type="dxa"/>
            <w:tcBorders>
              <w:top w:val="single" w:sz="6" w:space="0" w:color="auto"/>
              <w:left w:val="single" w:sz="6" w:space="0" w:color="auto"/>
              <w:bottom w:val="nil"/>
              <w:right w:val="nil"/>
            </w:tcBorders>
            <w:hideMark/>
          </w:tcPr>
          <w:p w14:paraId="0B610050"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Reputazione del cliente da verificare</w:t>
            </w:r>
          </w:p>
        </w:tc>
        <w:tc>
          <w:tcPr>
            <w:tcW w:w="3402" w:type="dxa"/>
            <w:gridSpan w:val="4"/>
            <w:tcBorders>
              <w:top w:val="single" w:sz="6" w:space="0" w:color="auto"/>
              <w:left w:val="nil"/>
              <w:bottom w:val="nil"/>
              <w:right w:val="single" w:sz="6" w:space="0" w:color="auto"/>
            </w:tcBorders>
          </w:tcPr>
          <w:p w14:paraId="2355B63C"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A3CE5FA"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80B29C3" w14:textId="77777777" w:rsidTr="00EB2FBE">
        <w:tc>
          <w:tcPr>
            <w:tcW w:w="637" w:type="dxa"/>
            <w:tcBorders>
              <w:top w:val="nil"/>
              <w:left w:val="single" w:sz="6" w:space="0" w:color="auto"/>
              <w:bottom w:val="single" w:sz="6" w:space="0" w:color="auto"/>
              <w:right w:val="nil"/>
            </w:tcBorders>
            <w:hideMark/>
          </w:tcPr>
          <w:p w14:paraId="6D2B4DB4"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8.1</w:t>
            </w:r>
          </w:p>
        </w:tc>
        <w:tc>
          <w:tcPr>
            <w:tcW w:w="4678" w:type="dxa"/>
            <w:tcBorders>
              <w:top w:val="nil"/>
              <w:left w:val="single" w:sz="6" w:space="0" w:color="auto"/>
              <w:bottom w:val="single" w:sz="6" w:space="0" w:color="auto"/>
              <w:right w:val="single" w:sz="6" w:space="0" w:color="auto"/>
            </w:tcBorders>
          </w:tcPr>
          <w:p w14:paraId="3150E568"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Ci siamo informati circa la reputazione del cliente in questione. Possiamo confermare che il cliente gode di una buona reputazione</w:t>
            </w:r>
          </w:p>
          <w:p w14:paraId="077D99BB" w14:textId="77777777" w:rsidR="00ED4133" w:rsidRPr="004C05E4" w:rsidRDefault="00ED4133" w:rsidP="00EB2FBE">
            <w:pPr>
              <w:rPr>
                <w:rFonts w:ascii="KievitPro-Regular" w:hAnsi="KievitPro-Regular"/>
                <w:sz w:val="14"/>
                <w:szCs w:val="14"/>
                <w:lang w:val="it-CH"/>
              </w:rPr>
            </w:pPr>
          </w:p>
        </w:tc>
        <w:tc>
          <w:tcPr>
            <w:tcW w:w="850" w:type="dxa"/>
            <w:tcBorders>
              <w:top w:val="nil"/>
              <w:left w:val="single" w:sz="6" w:space="0" w:color="auto"/>
              <w:bottom w:val="single" w:sz="6" w:space="0" w:color="auto"/>
              <w:right w:val="single" w:sz="6" w:space="0" w:color="auto"/>
            </w:tcBorders>
            <w:hideMark/>
          </w:tcPr>
          <w:p w14:paraId="787F515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75FFEC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8BDC42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319E36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0336CAB5"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4353C231" w14:textId="77777777" w:rsidTr="00EB2FBE">
        <w:tc>
          <w:tcPr>
            <w:tcW w:w="637" w:type="dxa"/>
            <w:tcBorders>
              <w:top w:val="single" w:sz="6" w:space="0" w:color="000000"/>
              <w:left w:val="single" w:sz="6" w:space="0" w:color="auto"/>
              <w:bottom w:val="nil"/>
              <w:right w:val="single" w:sz="6" w:space="0" w:color="auto"/>
            </w:tcBorders>
            <w:hideMark/>
          </w:tcPr>
          <w:p w14:paraId="0F4E1DE6"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9.</w:t>
            </w:r>
          </w:p>
        </w:tc>
        <w:tc>
          <w:tcPr>
            <w:tcW w:w="4678" w:type="dxa"/>
            <w:tcBorders>
              <w:top w:val="single" w:sz="6" w:space="0" w:color="auto"/>
              <w:left w:val="single" w:sz="6" w:space="0" w:color="auto"/>
              <w:bottom w:val="nil"/>
              <w:right w:val="nil"/>
            </w:tcBorders>
            <w:hideMark/>
          </w:tcPr>
          <w:p w14:paraId="42DDB4EE"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Società di revisione precedente</w:t>
            </w:r>
          </w:p>
        </w:tc>
        <w:tc>
          <w:tcPr>
            <w:tcW w:w="3402" w:type="dxa"/>
            <w:gridSpan w:val="4"/>
            <w:tcBorders>
              <w:top w:val="single" w:sz="6" w:space="0" w:color="auto"/>
              <w:left w:val="nil"/>
              <w:bottom w:val="nil"/>
              <w:right w:val="single" w:sz="6" w:space="0" w:color="auto"/>
            </w:tcBorders>
          </w:tcPr>
          <w:p w14:paraId="4E72E707"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2915C5D8"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49D2428F" w14:textId="77777777" w:rsidTr="00EB2FBE">
        <w:tc>
          <w:tcPr>
            <w:tcW w:w="637" w:type="dxa"/>
            <w:tcBorders>
              <w:top w:val="nil"/>
              <w:left w:val="single" w:sz="6" w:space="0" w:color="auto"/>
              <w:bottom w:val="single" w:sz="6" w:space="0" w:color="auto"/>
              <w:right w:val="nil"/>
            </w:tcBorders>
            <w:hideMark/>
          </w:tcPr>
          <w:p w14:paraId="7F4D99A7"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9.1</w:t>
            </w:r>
          </w:p>
        </w:tc>
        <w:tc>
          <w:tcPr>
            <w:tcW w:w="4678" w:type="dxa"/>
            <w:tcBorders>
              <w:top w:val="nil"/>
              <w:left w:val="single" w:sz="6" w:space="0" w:color="auto"/>
              <w:bottom w:val="single" w:sz="6" w:space="0" w:color="auto"/>
              <w:right w:val="single" w:sz="6" w:space="0" w:color="auto"/>
            </w:tcBorders>
            <w:hideMark/>
          </w:tcPr>
          <w:p w14:paraId="5F0CA349" w14:textId="77777777" w:rsidR="00ED4133" w:rsidRPr="004C05E4" w:rsidRDefault="00ED4133" w:rsidP="00EB2FBE">
            <w:pPr>
              <w:pStyle w:val="Referenz"/>
              <w:overflowPunct/>
              <w:autoSpaceDE/>
              <w:adjustRightInd/>
              <w:spacing w:line="264" w:lineRule="auto"/>
              <w:rPr>
                <w:rFonts w:ascii="KievitPro-Regular" w:hAnsi="KievitPro-Regular"/>
                <w:sz w:val="14"/>
                <w:szCs w:val="14"/>
                <w:lang w:val="it-CH"/>
              </w:rPr>
            </w:pPr>
            <w:r w:rsidRPr="004C05E4">
              <w:rPr>
                <w:rFonts w:ascii="KievitPro-Regular" w:hAnsi="KievitPro-Regular"/>
                <w:szCs w:val="16"/>
                <w:lang w:val="it-CH"/>
              </w:rPr>
              <w:t>Quali sono le motivazioni che spingono il nuovo cliente a cambiare l’organo di revisione?</w:t>
            </w:r>
          </w:p>
        </w:tc>
        <w:tc>
          <w:tcPr>
            <w:tcW w:w="850" w:type="dxa"/>
            <w:tcBorders>
              <w:top w:val="nil"/>
              <w:left w:val="single" w:sz="6" w:space="0" w:color="auto"/>
              <w:bottom w:val="single" w:sz="6" w:space="0" w:color="auto"/>
              <w:right w:val="single" w:sz="6" w:space="0" w:color="auto"/>
            </w:tcBorders>
          </w:tcPr>
          <w:p w14:paraId="02E11F09"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117044E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1B0F56D1"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368249B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3F520D3A"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916FB23" w14:textId="77777777" w:rsidTr="00EB2FBE">
        <w:tc>
          <w:tcPr>
            <w:tcW w:w="637" w:type="dxa"/>
            <w:tcBorders>
              <w:top w:val="single" w:sz="6" w:space="0" w:color="000000"/>
              <w:left w:val="single" w:sz="6" w:space="0" w:color="auto"/>
              <w:bottom w:val="nil"/>
              <w:right w:val="single" w:sz="6" w:space="0" w:color="auto"/>
            </w:tcBorders>
            <w:hideMark/>
          </w:tcPr>
          <w:p w14:paraId="225055A5"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10.</w:t>
            </w:r>
          </w:p>
        </w:tc>
        <w:tc>
          <w:tcPr>
            <w:tcW w:w="4678" w:type="dxa"/>
            <w:tcBorders>
              <w:top w:val="single" w:sz="6" w:space="0" w:color="auto"/>
              <w:left w:val="single" w:sz="6" w:space="0" w:color="auto"/>
              <w:bottom w:val="nil"/>
              <w:right w:val="nil"/>
            </w:tcBorders>
            <w:hideMark/>
          </w:tcPr>
          <w:p w14:paraId="7EF271C8"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Finanze e contabilità</w:t>
            </w:r>
          </w:p>
        </w:tc>
        <w:tc>
          <w:tcPr>
            <w:tcW w:w="3402" w:type="dxa"/>
            <w:gridSpan w:val="4"/>
            <w:tcBorders>
              <w:top w:val="single" w:sz="6" w:space="0" w:color="auto"/>
              <w:left w:val="nil"/>
              <w:bottom w:val="nil"/>
              <w:right w:val="single" w:sz="6" w:space="0" w:color="auto"/>
            </w:tcBorders>
          </w:tcPr>
          <w:p w14:paraId="3603F381"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50A15A6D"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5EA590EC" w14:textId="77777777" w:rsidTr="00EB2FBE">
        <w:tc>
          <w:tcPr>
            <w:tcW w:w="637" w:type="dxa"/>
            <w:tcBorders>
              <w:top w:val="nil"/>
              <w:left w:val="single" w:sz="6" w:space="0" w:color="auto"/>
              <w:bottom w:val="single" w:sz="6" w:space="0" w:color="auto"/>
              <w:right w:val="nil"/>
            </w:tcBorders>
            <w:hideMark/>
          </w:tcPr>
          <w:p w14:paraId="61AD4B00"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lastRenderedPageBreak/>
              <w:t>10.1</w:t>
            </w:r>
          </w:p>
        </w:tc>
        <w:tc>
          <w:tcPr>
            <w:tcW w:w="4678" w:type="dxa"/>
            <w:tcBorders>
              <w:top w:val="nil"/>
              <w:left w:val="single" w:sz="6" w:space="0" w:color="auto"/>
              <w:bottom w:val="single" w:sz="6" w:space="0" w:color="auto"/>
              <w:right w:val="single" w:sz="6" w:space="0" w:color="auto"/>
            </w:tcBorders>
            <w:hideMark/>
          </w:tcPr>
          <w:p w14:paraId="50231E4F"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Siamo dell’avviso che il cliente da verificare disponga di una buona organizzazione, in modo che noi in quanto società di revisione non siamo esposti ad un rischio eccessivo?</w:t>
            </w:r>
          </w:p>
        </w:tc>
        <w:tc>
          <w:tcPr>
            <w:tcW w:w="850" w:type="dxa"/>
            <w:tcBorders>
              <w:top w:val="nil"/>
              <w:left w:val="single" w:sz="6" w:space="0" w:color="auto"/>
              <w:bottom w:val="single" w:sz="6" w:space="0" w:color="auto"/>
              <w:right w:val="single" w:sz="6" w:space="0" w:color="auto"/>
            </w:tcBorders>
            <w:hideMark/>
          </w:tcPr>
          <w:p w14:paraId="6E4E985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5836FAB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503C8EC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E3D40E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EEFC000"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93E2B2F" w14:textId="77777777" w:rsidTr="00EB2FBE">
        <w:tc>
          <w:tcPr>
            <w:tcW w:w="637" w:type="dxa"/>
            <w:tcBorders>
              <w:top w:val="single" w:sz="6" w:space="0" w:color="000000"/>
              <w:left w:val="single" w:sz="6" w:space="0" w:color="auto"/>
              <w:bottom w:val="nil"/>
              <w:right w:val="single" w:sz="6" w:space="0" w:color="auto"/>
            </w:tcBorders>
            <w:hideMark/>
          </w:tcPr>
          <w:p w14:paraId="10B58E2C"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11.</w:t>
            </w:r>
          </w:p>
        </w:tc>
        <w:tc>
          <w:tcPr>
            <w:tcW w:w="4678" w:type="dxa"/>
            <w:tcBorders>
              <w:top w:val="single" w:sz="6" w:space="0" w:color="auto"/>
              <w:left w:val="single" w:sz="6" w:space="0" w:color="auto"/>
              <w:bottom w:val="nil"/>
              <w:right w:val="nil"/>
            </w:tcBorders>
            <w:hideMark/>
          </w:tcPr>
          <w:p w14:paraId="201BD8B2"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 xml:space="preserve">Analisi dei fattori di rischio  </w:t>
            </w:r>
          </w:p>
        </w:tc>
        <w:tc>
          <w:tcPr>
            <w:tcW w:w="3402" w:type="dxa"/>
            <w:gridSpan w:val="4"/>
            <w:tcBorders>
              <w:top w:val="single" w:sz="6" w:space="0" w:color="auto"/>
              <w:left w:val="nil"/>
              <w:bottom w:val="nil"/>
              <w:right w:val="single" w:sz="6" w:space="0" w:color="auto"/>
            </w:tcBorders>
          </w:tcPr>
          <w:p w14:paraId="6754ECAB"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40084B51"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906AC88" w14:textId="77777777" w:rsidTr="00EB2FBE">
        <w:tc>
          <w:tcPr>
            <w:tcW w:w="637" w:type="dxa"/>
            <w:tcBorders>
              <w:top w:val="nil"/>
              <w:left w:val="single" w:sz="6" w:space="0" w:color="auto"/>
              <w:bottom w:val="single" w:sz="6" w:space="0" w:color="auto"/>
              <w:right w:val="nil"/>
            </w:tcBorders>
            <w:hideMark/>
          </w:tcPr>
          <w:p w14:paraId="010B6BDE"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11.1</w:t>
            </w:r>
          </w:p>
        </w:tc>
        <w:tc>
          <w:tcPr>
            <w:tcW w:w="4678" w:type="dxa"/>
            <w:tcBorders>
              <w:top w:val="nil"/>
              <w:left w:val="single" w:sz="6" w:space="0" w:color="auto"/>
              <w:bottom w:val="single" w:sz="6" w:space="0" w:color="auto"/>
              <w:right w:val="single" w:sz="6" w:space="0" w:color="auto"/>
            </w:tcBorders>
            <w:hideMark/>
          </w:tcPr>
          <w:p w14:paraId="2E35C332" w14:textId="77777777" w:rsidR="00ED4133" w:rsidRPr="004C05E4" w:rsidRDefault="00ED4133" w:rsidP="00EB2FBE">
            <w:pPr>
              <w:pStyle w:val="Referenz"/>
              <w:overflowPunct/>
              <w:autoSpaceDE/>
              <w:adjustRightInd/>
              <w:spacing w:line="264" w:lineRule="auto"/>
              <w:rPr>
                <w:rFonts w:ascii="KievitPro-Regular" w:hAnsi="KievitPro-Regular"/>
                <w:sz w:val="14"/>
                <w:szCs w:val="14"/>
                <w:lang w:val="it-CH"/>
              </w:rPr>
            </w:pPr>
            <w:r w:rsidRPr="004C05E4">
              <w:rPr>
                <w:rFonts w:ascii="KievitPro-Regular" w:hAnsi="KievitPro-Regular"/>
                <w:szCs w:val="16"/>
                <w:lang w:val="it-CH"/>
              </w:rPr>
              <w:t>Abbiamo eseguito una verifica sommaria, che non lasci alcun dubbio circa la capacità del cliente di proseguire con gli affari almeno per un anno dopo la data di chiusura del bilancio?</w:t>
            </w:r>
          </w:p>
        </w:tc>
        <w:tc>
          <w:tcPr>
            <w:tcW w:w="850" w:type="dxa"/>
            <w:tcBorders>
              <w:top w:val="nil"/>
              <w:left w:val="single" w:sz="6" w:space="0" w:color="auto"/>
              <w:bottom w:val="single" w:sz="6" w:space="0" w:color="auto"/>
              <w:right w:val="single" w:sz="6" w:space="0" w:color="auto"/>
            </w:tcBorders>
            <w:hideMark/>
          </w:tcPr>
          <w:p w14:paraId="5F8E1AB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9A31995"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3119557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3F0F5D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3E136496"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148DA74" w14:textId="77777777" w:rsidTr="00EB2FBE">
        <w:tc>
          <w:tcPr>
            <w:tcW w:w="637" w:type="dxa"/>
            <w:tcBorders>
              <w:top w:val="single" w:sz="6" w:space="0" w:color="000000"/>
              <w:left w:val="single" w:sz="6" w:space="0" w:color="auto"/>
              <w:bottom w:val="nil"/>
              <w:right w:val="single" w:sz="6" w:space="0" w:color="auto"/>
            </w:tcBorders>
            <w:hideMark/>
          </w:tcPr>
          <w:p w14:paraId="60158F4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12.</w:t>
            </w:r>
          </w:p>
        </w:tc>
        <w:tc>
          <w:tcPr>
            <w:tcW w:w="4678" w:type="dxa"/>
            <w:tcBorders>
              <w:top w:val="single" w:sz="6" w:space="0" w:color="auto"/>
              <w:left w:val="single" w:sz="6" w:space="0" w:color="auto"/>
              <w:bottom w:val="nil"/>
              <w:right w:val="nil"/>
            </w:tcBorders>
            <w:hideMark/>
          </w:tcPr>
          <w:p w14:paraId="3627A27D"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Società consociate</w:t>
            </w:r>
          </w:p>
        </w:tc>
        <w:tc>
          <w:tcPr>
            <w:tcW w:w="3402" w:type="dxa"/>
            <w:gridSpan w:val="4"/>
            <w:tcBorders>
              <w:top w:val="single" w:sz="6" w:space="0" w:color="auto"/>
              <w:left w:val="nil"/>
              <w:bottom w:val="nil"/>
              <w:right w:val="single" w:sz="6" w:space="0" w:color="auto"/>
            </w:tcBorders>
          </w:tcPr>
          <w:p w14:paraId="2991789E"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4CCD0BC1"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630AE202" w14:textId="77777777" w:rsidTr="00EB2FBE">
        <w:tc>
          <w:tcPr>
            <w:tcW w:w="637" w:type="dxa"/>
            <w:tcBorders>
              <w:top w:val="nil"/>
              <w:left w:val="single" w:sz="6" w:space="0" w:color="auto"/>
              <w:bottom w:val="single" w:sz="6" w:space="0" w:color="auto"/>
              <w:right w:val="nil"/>
            </w:tcBorders>
            <w:hideMark/>
          </w:tcPr>
          <w:p w14:paraId="12F19133"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12.1</w:t>
            </w:r>
          </w:p>
        </w:tc>
        <w:tc>
          <w:tcPr>
            <w:tcW w:w="4678" w:type="dxa"/>
            <w:tcBorders>
              <w:top w:val="nil"/>
              <w:left w:val="single" w:sz="6" w:space="0" w:color="auto"/>
              <w:bottom w:val="single" w:sz="6" w:space="0" w:color="auto"/>
              <w:right w:val="single" w:sz="6" w:space="0" w:color="auto"/>
            </w:tcBorders>
            <w:hideMark/>
          </w:tcPr>
          <w:p w14:paraId="585C0B25" w14:textId="77777777" w:rsidR="00ED4133" w:rsidRPr="004C05E4" w:rsidRDefault="00ED4133" w:rsidP="00EB2FBE">
            <w:pPr>
              <w:pStyle w:val="Referenz"/>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Il potenziale cliente è una società figlia di una società madre estera?</w:t>
            </w:r>
          </w:p>
        </w:tc>
        <w:tc>
          <w:tcPr>
            <w:tcW w:w="850" w:type="dxa"/>
            <w:tcBorders>
              <w:top w:val="nil"/>
              <w:left w:val="single" w:sz="6" w:space="0" w:color="auto"/>
              <w:bottom w:val="single" w:sz="6" w:space="0" w:color="auto"/>
              <w:right w:val="single" w:sz="6" w:space="0" w:color="auto"/>
            </w:tcBorders>
          </w:tcPr>
          <w:p w14:paraId="5E247E6E"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391322B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single" w:sz="6" w:space="0" w:color="auto"/>
              <w:bottom w:val="single" w:sz="6" w:space="0" w:color="auto"/>
              <w:right w:val="single" w:sz="6" w:space="0" w:color="auto"/>
            </w:tcBorders>
          </w:tcPr>
          <w:p w14:paraId="2E26CD3F"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single" w:sz="6" w:space="0" w:color="auto"/>
              <w:bottom w:val="single" w:sz="6" w:space="0" w:color="auto"/>
              <w:right w:val="single" w:sz="6" w:space="0" w:color="auto"/>
            </w:tcBorders>
          </w:tcPr>
          <w:p w14:paraId="219CC7C6"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single" w:sz="6" w:space="0" w:color="auto"/>
              <w:right w:val="single" w:sz="6" w:space="0" w:color="auto"/>
            </w:tcBorders>
            <w:shd w:val="clear" w:color="auto" w:fill="E6E6E6"/>
            <w:hideMark/>
          </w:tcPr>
          <w:p w14:paraId="16A8C14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8811B82" w14:textId="77777777" w:rsidTr="00EB2FBE">
        <w:tc>
          <w:tcPr>
            <w:tcW w:w="637" w:type="dxa"/>
            <w:tcBorders>
              <w:top w:val="single" w:sz="6" w:space="0" w:color="000000"/>
              <w:left w:val="single" w:sz="6" w:space="0" w:color="auto"/>
              <w:bottom w:val="nil"/>
              <w:right w:val="single" w:sz="6" w:space="0" w:color="auto"/>
            </w:tcBorders>
            <w:hideMark/>
          </w:tcPr>
          <w:p w14:paraId="338D492F"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13.</w:t>
            </w:r>
          </w:p>
        </w:tc>
        <w:tc>
          <w:tcPr>
            <w:tcW w:w="4678" w:type="dxa"/>
            <w:tcBorders>
              <w:top w:val="single" w:sz="6" w:space="0" w:color="auto"/>
              <w:left w:val="single" w:sz="6" w:space="0" w:color="auto"/>
              <w:bottom w:val="nil"/>
              <w:right w:val="nil"/>
            </w:tcBorders>
            <w:hideMark/>
          </w:tcPr>
          <w:p w14:paraId="4E3D5D79"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Altri fattori</w:t>
            </w:r>
          </w:p>
        </w:tc>
        <w:tc>
          <w:tcPr>
            <w:tcW w:w="3402" w:type="dxa"/>
            <w:gridSpan w:val="4"/>
            <w:tcBorders>
              <w:top w:val="single" w:sz="6" w:space="0" w:color="auto"/>
              <w:left w:val="nil"/>
              <w:bottom w:val="nil"/>
              <w:right w:val="single" w:sz="6" w:space="0" w:color="auto"/>
            </w:tcBorders>
          </w:tcPr>
          <w:p w14:paraId="2337DD26" w14:textId="77777777" w:rsidR="00ED4133" w:rsidRPr="004C05E4" w:rsidRDefault="00ED4133" w:rsidP="00EB2FBE">
            <w:pPr>
              <w:spacing w:before="120" w:after="120"/>
              <w:rPr>
                <w:rFonts w:ascii="KievitPro-Regular" w:hAnsi="KievitPro-Regular"/>
                <w:lang w:val="it-CH"/>
              </w:rPr>
            </w:pPr>
          </w:p>
        </w:tc>
        <w:tc>
          <w:tcPr>
            <w:tcW w:w="6095" w:type="dxa"/>
            <w:tcBorders>
              <w:top w:val="single" w:sz="6" w:space="0" w:color="auto"/>
              <w:left w:val="nil"/>
              <w:bottom w:val="nil"/>
              <w:right w:val="single" w:sz="6" w:space="0" w:color="auto"/>
            </w:tcBorders>
          </w:tcPr>
          <w:p w14:paraId="312BCDC0"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2AB565A9" w14:textId="77777777" w:rsidTr="00EB2FBE">
        <w:tc>
          <w:tcPr>
            <w:tcW w:w="637" w:type="dxa"/>
            <w:tcBorders>
              <w:top w:val="nil"/>
              <w:left w:val="single" w:sz="6" w:space="0" w:color="auto"/>
              <w:bottom w:val="single" w:sz="6" w:space="0" w:color="auto"/>
              <w:right w:val="nil"/>
            </w:tcBorders>
            <w:hideMark/>
          </w:tcPr>
          <w:p w14:paraId="0C09457D" w14:textId="77777777" w:rsidR="00ED4133" w:rsidRPr="004C05E4" w:rsidRDefault="00ED4133" w:rsidP="00EB2FBE">
            <w:pPr>
              <w:jc w:val="center"/>
              <w:rPr>
                <w:rFonts w:ascii="KievitPro-Regular" w:hAnsi="KievitPro-Regular"/>
                <w:sz w:val="18"/>
                <w:szCs w:val="16"/>
                <w:lang w:val="it-CH"/>
              </w:rPr>
            </w:pPr>
            <w:r w:rsidRPr="004C05E4">
              <w:rPr>
                <w:rFonts w:ascii="KievitPro-Regular" w:hAnsi="KievitPro-Regular"/>
                <w:sz w:val="18"/>
                <w:szCs w:val="16"/>
                <w:lang w:val="it-CH"/>
              </w:rPr>
              <w:t>13.1</w:t>
            </w:r>
          </w:p>
        </w:tc>
        <w:tc>
          <w:tcPr>
            <w:tcW w:w="4678" w:type="dxa"/>
            <w:tcBorders>
              <w:top w:val="nil"/>
              <w:left w:val="single" w:sz="6" w:space="0" w:color="auto"/>
              <w:bottom w:val="single" w:sz="6" w:space="0" w:color="auto"/>
              <w:right w:val="single" w:sz="6" w:space="0" w:color="auto"/>
            </w:tcBorders>
            <w:hideMark/>
          </w:tcPr>
          <w:p w14:paraId="5ABB783E" w14:textId="77777777" w:rsidR="00ED4133" w:rsidRPr="004C05E4" w:rsidRDefault="00ED4133" w:rsidP="00EB2FBE">
            <w:pPr>
              <w:pStyle w:val="Referenz"/>
              <w:overflowPunct/>
              <w:autoSpaceDE/>
              <w:adjustRightInd/>
              <w:spacing w:line="264" w:lineRule="auto"/>
              <w:rPr>
                <w:rFonts w:ascii="KievitPro-Regular" w:hAnsi="KievitPro-Regular"/>
                <w:sz w:val="20"/>
                <w:lang w:val="it-CH"/>
              </w:rPr>
            </w:pPr>
            <w:r w:rsidRPr="004C05E4">
              <w:rPr>
                <w:rFonts w:ascii="KievitPro-Regular" w:hAnsi="KievitPro-Regular"/>
                <w:szCs w:val="16"/>
                <w:lang w:val="it-CH"/>
              </w:rPr>
              <w:t>Esistono motivazioni per le quali non dovremmo assumere il mandato? In caso di risposta affermativa, occorre qui di seguito spiegare queste motivazioni.</w:t>
            </w:r>
          </w:p>
        </w:tc>
        <w:tc>
          <w:tcPr>
            <w:tcW w:w="850" w:type="dxa"/>
            <w:tcBorders>
              <w:top w:val="nil"/>
              <w:left w:val="single" w:sz="6" w:space="0" w:color="auto"/>
              <w:bottom w:val="single" w:sz="6" w:space="0" w:color="auto"/>
              <w:right w:val="single" w:sz="6" w:space="0" w:color="auto"/>
            </w:tcBorders>
            <w:hideMark/>
          </w:tcPr>
          <w:p w14:paraId="6500C65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69C55C41"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53711E5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5A63C6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456765B3" w14:textId="77777777" w:rsidR="00ED4133" w:rsidRPr="004C05E4" w:rsidRDefault="00ED4133" w:rsidP="00EB2FBE">
            <w:p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341C151" w14:textId="77777777" w:rsidTr="00EB2FBE">
        <w:tc>
          <w:tcPr>
            <w:tcW w:w="637" w:type="dxa"/>
            <w:tcBorders>
              <w:top w:val="single" w:sz="6" w:space="0" w:color="auto"/>
              <w:left w:val="single" w:sz="6" w:space="0" w:color="auto"/>
              <w:bottom w:val="nil"/>
              <w:right w:val="nil"/>
            </w:tcBorders>
            <w:hideMark/>
          </w:tcPr>
          <w:p w14:paraId="0C09D1E0" w14:textId="77777777" w:rsidR="00ED4133" w:rsidRPr="004C05E4" w:rsidRDefault="00ED4133" w:rsidP="00EB2FBE">
            <w:pPr>
              <w:spacing w:before="120" w:after="120"/>
              <w:jc w:val="center"/>
              <w:rPr>
                <w:rFonts w:ascii="KievitPro-Regular" w:hAnsi="KievitPro-Regular"/>
                <w:b/>
                <w:lang w:val="it-CH"/>
              </w:rPr>
            </w:pPr>
            <w:r w:rsidRPr="004C05E4">
              <w:rPr>
                <w:rFonts w:ascii="KievitPro-Regular" w:hAnsi="KievitPro-Regular"/>
                <w:b/>
                <w:lang w:val="it-CH"/>
              </w:rPr>
              <w:t>14.</w:t>
            </w:r>
          </w:p>
        </w:tc>
        <w:tc>
          <w:tcPr>
            <w:tcW w:w="8080" w:type="dxa"/>
            <w:gridSpan w:val="5"/>
            <w:tcBorders>
              <w:top w:val="single" w:sz="6" w:space="0" w:color="auto"/>
              <w:left w:val="single" w:sz="6" w:space="0" w:color="auto"/>
              <w:bottom w:val="nil"/>
              <w:right w:val="single" w:sz="6" w:space="0" w:color="auto"/>
            </w:tcBorders>
            <w:hideMark/>
          </w:tcPr>
          <w:p w14:paraId="6FC52ACE" w14:textId="77777777" w:rsidR="00ED4133" w:rsidRPr="004C05E4" w:rsidRDefault="00ED4133" w:rsidP="00EB2FBE">
            <w:pPr>
              <w:spacing w:before="120" w:after="120"/>
              <w:rPr>
                <w:rFonts w:ascii="KievitPro-Regular" w:hAnsi="KievitPro-Regular"/>
                <w:b/>
                <w:lang w:val="it-CH"/>
              </w:rPr>
            </w:pPr>
            <w:r w:rsidRPr="004C05E4">
              <w:rPr>
                <w:rFonts w:ascii="KievitPro-Regular" w:hAnsi="KievitPro-Regular"/>
                <w:b/>
                <w:lang w:val="it-CH"/>
              </w:rPr>
              <w:t>Documenti e valutazioni generali</w:t>
            </w:r>
          </w:p>
        </w:tc>
        <w:tc>
          <w:tcPr>
            <w:tcW w:w="6095" w:type="dxa"/>
            <w:tcBorders>
              <w:top w:val="single" w:sz="6" w:space="0" w:color="auto"/>
              <w:left w:val="nil"/>
              <w:bottom w:val="nil"/>
              <w:right w:val="single" w:sz="6" w:space="0" w:color="auto"/>
            </w:tcBorders>
          </w:tcPr>
          <w:p w14:paraId="7A081605" w14:textId="77777777" w:rsidR="00ED4133" w:rsidRPr="004C05E4" w:rsidRDefault="00ED4133" w:rsidP="00EB2FBE">
            <w:pPr>
              <w:spacing w:before="120" w:after="120"/>
              <w:rPr>
                <w:rFonts w:ascii="KievitPro-Regular" w:hAnsi="KievitPro-Regular"/>
                <w:sz w:val="16"/>
                <w:szCs w:val="16"/>
                <w:lang w:val="it-CH"/>
              </w:rPr>
            </w:pPr>
          </w:p>
        </w:tc>
      </w:tr>
      <w:tr w:rsidR="00ED4133" w:rsidRPr="004C05E4" w14:paraId="00A012A3" w14:textId="77777777" w:rsidTr="00EB2FBE">
        <w:trPr>
          <w:trHeight w:val="480"/>
        </w:trPr>
        <w:tc>
          <w:tcPr>
            <w:tcW w:w="637" w:type="dxa"/>
            <w:tcBorders>
              <w:top w:val="nil"/>
              <w:left w:val="single" w:sz="6" w:space="0" w:color="auto"/>
              <w:bottom w:val="single" w:sz="6" w:space="0" w:color="auto"/>
              <w:right w:val="single" w:sz="6" w:space="0" w:color="auto"/>
            </w:tcBorders>
            <w:hideMark/>
          </w:tcPr>
          <w:p w14:paraId="2CA211E0"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14.1</w:t>
            </w:r>
          </w:p>
        </w:tc>
        <w:tc>
          <w:tcPr>
            <w:tcW w:w="4678" w:type="dxa"/>
            <w:tcBorders>
              <w:top w:val="nil"/>
              <w:left w:val="single" w:sz="6" w:space="0" w:color="auto"/>
              <w:bottom w:val="single" w:sz="6" w:space="0" w:color="auto"/>
              <w:right w:val="single" w:sz="6" w:space="0" w:color="auto"/>
            </w:tcBorders>
            <w:hideMark/>
          </w:tcPr>
          <w:p w14:paraId="609482DC"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Estratto RC</w:t>
            </w:r>
          </w:p>
          <w:p w14:paraId="3C6D0C83"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Scopo della società </w:t>
            </w:r>
          </w:p>
          <w:p w14:paraId="3E85C838"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Statuti</w:t>
            </w:r>
          </w:p>
        </w:tc>
        <w:tc>
          <w:tcPr>
            <w:tcW w:w="850" w:type="dxa"/>
            <w:tcBorders>
              <w:top w:val="nil"/>
              <w:left w:val="single" w:sz="6" w:space="0" w:color="auto"/>
              <w:bottom w:val="single" w:sz="6" w:space="0" w:color="auto"/>
              <w:right w:val="single" w:sz="6" w:space="0" w:color="auto"/>
            </w:tcBorders>
            <w:hideMark/>
          </w:tcPr>
          <w:p w14:paraId="2D5EE2E3"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2C32F07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393EC79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387BA99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single" w:sz="6" w:space="0" w:color="auto"/>
              <w:bottom w:val="single" w:sz="6" w:space="0" w:color="auto"/>
              <w:right w:val="single" w:sz="6" w:space="0" w:color="auto"/>
            </w:tcBorders>
            <w:shd w:val="clear" w:color="auto" w:fill="E6E6E6"/>
            <w:hideMark/>
          </w:tcPr>
          <w:p w14:paraId="7B261FD4"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89E95A0" w14:textId="77777777" w:rsidTr="00EB2FBE">
        <w:trPr>
          <w:trHeight w:val="480"/>
        </w:trPr>
        <w:tc>
          <w:tcPr>
            <w:tcW w:w="637" w:type="dxa"/>
            <w:tcBorders>
              <w:top w:val="nil"/>
              <w:left w:val="single" w:sz="6" w:space="0" w:color="auto"/>
              <w:bottom w:val="single" w:sz="6" w:space="0" w:color="auto"/>
              <w:right w:val="single" w:sz="6" w:space="0" w:color="auto"/>
            </w:tcBorders>
            <w:hideMark/>
          </w:tcPr>
          <w:p w14:paraId="17F7AC31"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14.2</w:t>
            </w:r>
          </w:p>
        </w:tc>
        <w:tc>
          <w:tcPr>
            <w:tcW w:w="4678" w:type="dxa"/>
            <w:tcBorders>
              <w:top w:val="nil"/>
              <w:left w:val="single" w:sz="6" w:space="0" w:color="auto"/>
              <w:bottom w:val="single" w:sz="6" w:space="0" w:color="auto"/>
              <w:right w:val="single" w:sz="6" w:space="0" w:color="auto"/>
            </w:tcBorders>
            <w:hideMark/>
          </w:tcPr>
          <w:p w14:paraId="13959764"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Fondatori / Azionisti</w:t>
            </w:r>
          </w:p>
        </w:tc>
        <w:tc>
          <w:tcPr>
            <w:tcW w:w="850" w:type="dxa"/>
            <w:tcBorders>
              <w:top w:val="nil"/>
              <w:left w:val="single" w:sz="6" w:space="0" w:color="auto"/>
              <w:bottom w:val="single" w:sz="6" w:space="0" w:color="auto"/>
              <w:right w:val="single" w:sz="6" w:space="0" w:color="auto"/>
            </w:tcBorders>
            <w:hideMark/>
          </w:tcPr>
          <w:p w14:paraId="6CDD9029"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0AF0594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single" w:sz="6" w:space="0" w:color="auto"/>
              <w:bottom w:val="single" w:sz="6" w:space="0" w:color="auto"/>
              <w:right w:val="single" w:sz="6" w:space="0" w:color="auto"/>
            </w:tcBorders>
            <w:hideMark/>
          </w:tcPr>
          <w:p w14:paraId="419D31D6"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single" w:sz="6" w:space="0" w:color="auto"/>
              <w:bottom w:val="single" w:sz="6" w:space="0" w:color="auto"/>
              <w:right w:val="single" w:sz="6" w:space="0" w:color="auto"/>
            </w:tcBorders>
            <w:hideMark/>
          </w:tcPr>
          <w:p w14:paraId="468DB80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45DADEB5"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F8AC2C9"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76DF0D17"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14.3</w:t>
            </w:r>
          </w:p>
        </w:tc>
        <w:tc>
          <w:tcPr>
            <w:tcW w:w="4678" w:type="dxa"/>
            <w:tcBorders>
              <w:top w:val="single" w:sz="6" w:space="0" w:color="auto"/>
              <w:left w:val="single" w:sz="6" w:space="0" w:color="auto"/>
              <w:bottom w:val="single" w:sz="6" w:space="0" w:color="auto"/>
              <w:right w:val="single" w:sz="6" w:space="0" w:color="auto"/>
            </w:tcBorders>
            <w:hideMark/>
          </w:tcPr>
          <w:p w14:paraId="66060FD5"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Consiglio di amministrazione</w:t>
            </w:r>
          </w:p>
        </w:tc>
        <w:tc>
          <w:tcPr>
            <w:tcW w:w="850" w:type="dxa"/>
            <w:tcBorders>
              <w:top w:val="single" w:sz="6" w:space="0" w:color="auto"/>
              <w:left w:val="single" w:sz="6" w:space="0" w:color="auto"/>
              <w:bottom w:val="single" w:sz="6" w:space="0" w:color="auto"/>
              <w:right w:val="single" w:sz="6" w:space="0" w:color="auto"/>
            </w:tcBorders>
            <w:hideMark/>
          </w:tcPr>
          <w:p w14:paraId="119A4E8D"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67C4277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6B2B4C4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7719711E"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26157087"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00D82439"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295F6765"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14.4</w:t>
            </w:r>
          </w:p>
        </w:tc>
        <w:tc>
          <w:tcPr>
            <w:tcW w:w="4678" w:type="dxa"/>
            <w:tcBorders>
              <w:top w:val="single" w:sz="6" w:space="0" w:color="auto"/>
              <w:left w:val="single" w:sz="6" w:space="0" w:color="auto"/>
              <w:bottom w:val="single" w:sz="6" w:space="0" w:color="auto"/>
              <w:right w:val="single" w:sz="6" w:space="0" w:color="auto"/>
            </w:tcBorders>
            <w:hideMark/>
          </w:tcPr>
          <w:p w14:paraId="4C0E6761"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Direzione e collaboratori responsabili  </w:t>
            </w:r>
          </w:p>
        </w:tc>
        <w:tc>
          <w:tcPr>
            <w:tcW w:w="850" w:type="dxa"/>
            <w:tcBorders>
              <w:top w:val="single" w:sz="6" w:space="0" w:color="auto"/>
              <w:left w:val="single" w:sz="6" w:space="0" w:color="auto"/>
              <w:bottom w:val="single" w:sz="6" w:space="0" w:color="auto"/>
              <w:right w:val="single" w:sz="6" w:space="0" w:color="auto"/>
            </w:tcBorders>
            <w:hideMark/>
          </w:tcPr>
          <w:p w14:paraId="5FA0DE56"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397E6AE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41D6E0DA"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6B7CDDF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305D2819"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64453ADA"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7EF249B6"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lastRenderedPageBreak/>
              <w:t>14.5</w:t>
            </w:r>
          </w:p>
        </w:tc>
        <w:tc>
          <w:tcPr>
            <w:tcW w:w="4678" w:type="dxa"/>
            <w:tcBorders>
              <w:top w:val="single" w:sz="6" w:space="0" w:color="auto"/>
              <w:left w:val="single" w:sz="6" w:space="0" w:color="auto"/>
              <w:bottom w:val="single" w:sz="6" w:space="0" w:color="auto"/>
              <w:right w:val="single" w:sz="6" w:space="0" w:color="auto"/>
            </w:tcBorders>
            <w:hideMark/>
          </w:tcPr>
          <w:p w14:paraId="3002D55D"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Ammontare del capitale / quota di capitale proprio / situazione delle perdite/profitti</w:t>
            </w:r>
          </w:p>
        </w:tc>
        <w:tc>
          <w:tcPr>
            <w:tcW w:w="850" w:type="dxa"/>
            <w:tcBorders>
              <w:top w:val="single" w:sz="6" w:space="0" w:color="auto"/>
              <w:left w:val="single" w:sz="6" w:space="0" w:color="auto"/>
              <w:bottom w:val="single" w:sz="6" w:space="0" w:color="auto"/>
              <w:right w:val="single" w:sz="6" w:space="0" w:color="auto"/>
            </w:tcBorders>
            <w:hideMark/>
          </w:tcPr>
          <w:p w14:paraId="77C014BE"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1EE8B39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603D5C9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2D15554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2674A75C"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23F806ED"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4EEFB382"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14.6</w:t>
            </w:r>
          </w:p>
        </w:tc>
        <w:tc>
          <w:tcPr>
            <w:tcW w:w="4678" w:type="dxa"/>
            <w:tcBorders>
              <w:top w:val="single" w:sz="6" w:space="0" w:color="auto"/>
              <w:left w:val="single" w:sz="6" w:space="0" w:color="auto"/>
              <w:bottom w:val="single" w:sz="6" w:space="0" w:color="auto"/>
              <w:right w:val="single" w:sz="6" w:space="0" w:color="auto"/>
            </w:tcBorders>
            <w:hideMark/>
          </w:tcPr>
          <w:p w14:paraId="5CC654CC"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Conferimenti in natura risp. assunzione di beni incl. valutazione  </w:t>
            </w:r>
          </w:p>
        </w:tc>
        <w:tc>
          <w:tcPr>
            <w:tcW w:w="850" w:type="dxa"/>
            <w:tcBorders>
              <w:top w:val="single" w:sz="6" w:space="0" w:color="auto"/>
              <w:left w:val="single" w:sz="6" w:space="0" w:color="auto"/>
              <w:bottom w:val="single" w:sz="6" w:space="0" w:color="auto"/>
              <w:right w:val="single" w:sz="6" w:space="0" w:color="auto"/>
            </w:tcBorders>
            <w:hideMark/>
          </w:tcPr>
          <w:p w14:paraId="3FAFF664"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5C8C43D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0C12EC4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4CFEB4C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626A52D1"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750F1C7"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7D2E7442"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14.7</w:t>
            </w:r>
          </w:p>
        </w:tc>
        <w:tc>
          <w:tcPr>
            <w:tcW w:w="4678" w:type="dxa"/>
            <w:tcBorders>
              <w:top w:val="single" w:sz="6" w:space="0" w:color="auto"/>
              <w:left w:val="single" w:sz="6" w:space="0" w:color="auto"/>
              <w:bottom w:val="single" w:sz="6" w:space="0" w:color="auto"/>
              <w:right w:val="single" w:sz="6" w:space="0" w:color="auto"/>
            </w:tcBorders>
            <w:hideMark/>
          </w:tcPr>
          <w:p w14:paraId="7A2EF0B9"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Ulteriori documenti: </w:t>
            </w:r>
          </w:p>
        </w:tc>
        <w:tc>
          <w:tcPr>
            <w:tcW w:w="850" w:type="dxa"/>
            <w:tcBorders>
              <w:top w:val="single" w:sz="6" w:space="0" w:color="auto"/>
              <w:left w:val="single" w:sz="6" w:space="0" w:color="auto"/>
              <w:bottom w:val="single" w:sz="6" w:space="0" w:color="auto"/>
              <w:right w:val="single" w:sz="6" w:space="0" w:color="auto"/>
            </w:tcBorders>
            <w:hideMark/>
          </w:tcPr>
          <w:p w14:paraId="75D5E702"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2A0C370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31A7F8C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13FF15E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3BF8EAB5"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B307EE0" w14:textId="77777777" w:rsidTr="00EB2FBE">
        <w:tc>
          <w:tcPr>
            <w:tcW w:w="637" w:type="dxa"/>
            <w:tcBorders>
              <w:top w:val="single" w:sz="6" w:space="0" w:color="FFFFFF"/>
              <w:left w:val="single" w:sz="6" w:space="0" w:color="auto"/>
              <w:bottom w:val="nil"/>
              <w:right w:val="nil"/>
            </w:tcBorders>
            <w:hideMark/>
          </w:tcPr>
          <w:p w14:paraId="575838D5" w14:textId="77777777" w:rsidR="00ED4133" w:rsidRPr="004C05E4" w:rsidRDefault="00ED4133" w:rsidP="00EB2FBE">
            <w:pPr>
              <w:numPr>
                <w:ilvl w:val="12"/>
                <w:numId w:val="0"/>
              </w:numPr>
              <w:spacing w:before="120" w:after="120"/>
              <w:jc w:val="center"/>
              <w:rPr>
                <w:rFonts w:ascii="KievitPro-Regular" w:hAnsi="KievitPro-Regular"/>
                <w:b/>
                <w:lang w:val="it-CH"/>
              </w:rPr>
            </w:pPr>
            <w:r w:rsidRPr="004C05E4">
              <w:rPr>
                <w:rFonts w:ascii="KievitPro-Regular" w:hAnsi="KievitPro-Regular"/>
                <w:b/>
                <w:lang w:val="it-CH"/>
              </w:rPr>
              <w:t>15.</w:t>
            </w:r>
          </w:p>
        </w:tc>
        <w:tc>
          <w:tcPr>
            <w:tcW w:w="4678" w:type="dxa"/>
            <w:tcBorders>
              <w:top w:val="single" w:sz="6" w:space="0" w:color="FFFFFF"/>
              <w:left w:val="single" w:sz="6" w:space="0" w:color="auto"/>
              <w:bottom w:val="nil"/>
              <w:right w:val="nil"/>
            </w:tcBorders>
            <w:hideMark/>
          </w:tcPr>
          <w:p w14:paraId="6E891F8A" w14:textId="77777777" w:rsidR="00ED4133" w:rsidRPr="004C05E4" w:rsidRDefault="00ED4133" w:rsidP="00EB2FBE">
            <w:pPr>
              <w:numPr>
                <w:ilvl w:val="12"/>
                <w:numId w:val="0"/>
              </w:numPr>
              <w:spacing w:before="120" w:after="120"/>
              <w:rPr>
                <w:rFonts w:ascii="KievitPro-Regular" w:hAnsi="KievitPro-Regular"/>
                <w:b/>
                <w:lang w:val="it-CH"/>
              </w:rPr>
            </w:pPr>
            <w:r w:rsidRPr="004C05E4">
              <w:rPr>
                <w:rFonts w:ascii="KievitPro-Regular" w:hAnsi="KievitPro-Regular"/>
                <w:b/>
                <w:lang w:val="it-CH"/>
              </w:rPr>
              <w:t>Rendiconto finanziario</w:t>
            </w:r>
          </w:p>
        </w:tc>
        <w:tc>
          <w:tcPr>
            <w:tcW w:w="850" w:type="dxa"/>
            <w:tcBorders>
              <w:top w:val="single" w:sz="6" w:space="0" w:color="FFFFFF"/>
              <w:left w:val="nil"/>
              <w:bottom w:val="nil"/>
              <w:right w:val="nil"/>
            </w:tcBorders>
          </w:tcPr>
          <w:p w14:paraId="1D8BDB02"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single" w:sz="6" w:space="0" w:color="FFFFFF"/>
              <w:left w:val="nil"/>
              <w:bottom w:val="nil"/>
              <w:right w:val="nil"/>
            </w:tcBorders>
          </w:tcPr>
          <w:p w14:paraId="195DA888"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single" w:sz="6" w:space="0" w:color="FFFFFF"/>
              <w:left w:val="nil"/>
              <w:bottom w:val="nil"/>
              <w:right w:val="nil"/>
            </w:tcBorders>
          </w:tcPr>
          <w:p w14:paraId="391723DA"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single" w:sz="6" w:space="0" w:color="FFFFFF"/>
              <w:left w:val="nil"/>
              <w:bottom w:val="nil"/>
              <w:right w:val="single" w:sz="6" w:space="0" w:color="auto"/>
            </w:tcBorders>
          </w:tcPr>
          <w:p w14:paraId="47C72FBF"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single" w:sz="6" w:space="0" w:color="FFFFFF"/>
              <w:left w:val="nil"/>
              <w:bottom w:val="nil"/>
              <w:right w:val="single" w:sz="6" w:space="0" w:color="auto"/>
            </w:tcBorders>
          </w:tcPr>
          <w:p w14:paraId="3F7F8C27" w14:textId="77777777" w:rsidR="00ED4133" w:rsidRPr="004C05E4" w:rsidRDefault="00ED4133" w:rsidP="00EB2FBE">
            <w:pPr>
              <w:numPr>
                <w:ilvl w:val="12"/>
                <w:numId w:val="0"/>
              </w:numPr>
              <w:spacing w:before="120" w:after="120"/>
              <w:rPr>
                <w:rFonts w:ascii="KievitPro-Regular" w:hAnsi="KievitPro-Regular"/>
                <w:sz w:val="16"/>
                <w:szCs w:val="16"/>
                <w:lang w:val="it-CH"/>
              </w:rPr>
            </w:pPr>
          </w:p>
        </w:tc>
      </w:tr>
      <w:tr w:rsidR="00ED4133" w:rsidRPr="004C05E4" w14:paraId="574E9EC5" w14:textId="77777777" w:rsidTr="00EB2FBE">
        <w:trPr>
          <w:trHeight w:val="480"/>
        </w:trPr>
        <w:tc>
          <w:tcPr>
            <w:tcW w:w="637" w:type="dxa"/>
            <w:tcBorders>
              <w:top w:val="nil"/>
              <w:left w:val="single" w:sz="6" w:space="0" w:color="auto"/>
              <w:bottom w:val="nil"/>
              <w:right w:val="nil"/>
            </w:tcBorders>
            <w:hideMark/>
          </w:tcPr>
          <w:p w14:paraId="2E800E86"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15.1</w:t>
            </w:r>
          </w:p>
        </w:tc>
        <w:tc>
          <w:tcPr>
            <w:tcW w:w="4678" w:type="dxa"/>
            <w:tcBorders>
              <w:top w:val="nil"/>
              <w:left w:val="single" w:sz="6" w:space="0" w:color="auto"/>
              <w:bottom w:val="nil"/>
              <w:right w:val="nil"/>
            </w:tcBorders>
            <w:hideMark/>
          </w:tcPr>
          <w:p w14:paraId="01B9F889"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Ultimi due conti annuali risp. chiusure intermedie </w:t>
            </w:r>
          </w:p>
        </w:tc>
        <w:tc>
          <w:tcPr>
            <w:tcW w:w="850" w:type="dxa"/>
            <w:tcBorders>
              <w:top w:val="nil"/>
              <w:left w:val="single" w:sz="6" w:space="0" w:color="auto"/>
              <w:bottom w:val="nil"/>
              <w:right w:val="single" w:sz="6" w:space="0" w:color="auto"/>
            </w:tcBorders>
            <w:hideMark/>
          </w:tcPr>
          <w:p w14:paraId="568048AE"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nil"/>
              <w:bottom w:val="nil"/>
              <w:right w:val="single" w:sz="6" w:space="0" w:color="auto"/>
            </w:tcBorders>
            <w:hideMark/>
          </w:tcPr>
          <w:p w14:paraId="12711BCD"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nil"/>
              <w:bottom w:val="nil"/>
              <w:right w:val="single" w:sz="6" w:space="0" w:color="auto"/>
            </w:tcBorders>
            <w:hideMark/>
          </w:tcPr>
          <w:p w14:paraId="184430C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nil"/>
              <w:bottom w:val="nil"/>
              <w:right w:val="single" w:sz="6" w:space="0" w:color="auto"/>
            </w:tcBorders>
            <w:hideMark/>
          </w:tcPr>
          <w:p w14:paraId="0B0F5F8B"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67D0FB89"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8158423" w14:textId="77777777" w:rsidTr="00EB2FBE">
        <w:trPr>
          <w:trHeight w:val="480"/>
        </w:trPr>
        <w:tc>
          <w:tcPr>
            <w:tcW w:w="637" w:type="dxa"/>
            <w:tcBorders>
              <w:top w:val="single" w:sz="6" w:space="0" w:color="auto"/>
              <w:left w:val="single" w:sz="6" w:space="0" w:color="auto"/>
              <w:bottom w:val="single" w:sz="6" w:space="0" w:color="auto"/>
              <w:right w:val="nil"/>
            </w:tcBorders>
            <w:hideMark/>
          </w:tcPr>
          <w:p w14:paraId="7E2DC9E6"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15.2</w:t>
            </w:r>
          </w:p>
        </w:tc>
        <w:tc>
          <w:tcPr>
            <w:tcW w:w="4678" w:type="dxa"/>
            <w:tcBorders>
              <w:top w:val="single" w:sz="6" w:space="0" w:color="auto"/>
              <w:left w:val="single" w:sz="6" w:space="0" w:color="auto"/>
              <w:bottom w:val="single" w:sz="6" w:space="0" w:color="auto"/>
              <w:right w:val="nil"/>
            </w:tcBorders>
            <w:hideMark/>
          </w:tcPr>
          <w:p w14:paraId="3DA770B2"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Ultimi due rapporti della società di revisione </w:t>
            </w:r>
          </w:p>
        </w:tc>
        <w:tc>
          <w:tcPr>
            <w:tcW w:w="850" w:type="dxa"/>
            <w:tcBorders>
              <w:top w:val="single" w:sz="6" w:space="0" w:color="auto"/>
              <w:left w:val="single" w:sz="6" w:space="0" w:color="auto"/>
              <w:bottom w:val="single" w:sz="6" w:space="0" w:color="auto"/>
              <w:right w:val="single" w:sz="6" w:space="0" w:color="auto"/>
            </w:tcBorders>
            <w:hideMark/>
          </w:tcPr>
          <w:p w14:paraId="5B9B251E"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nil"/>
              <w:bottom w:val="single" w:sz="6" w:space="0" w:color="auto"/>
              <w:right w:val="single" w:sz="6" w:space="0" w:color="auto"/>
            </w:tcBorders>
            <w:hideMark/>
          </w:tcPr>
          <w:p w14:paraId="69EBE28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nil"/>
              <w:bottom w:val="single" w:sz="6" w:space="0" w:color="auto"/>
              <w:right w:val="single" w:sz="6" w:space="0" w:color="auto"/>
            </w:tcBorders>
            <w:hideMark/>
          </w:tcPr>
          <w:p w14:paraId="195E9E87"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nil"/>
              <w:bottom w:val="single" w:sz="6" w:space="0" w:color="auto"/>
              <w:right w:val="single" w:sz="6" w:space="0" w:color="auto"/>
            </w:tcBorders>
            <w:hideMark/>
          </w:tcPr>
          <w:p w14:paraId="5DF46514"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nil"/>
              <w:bottom w:val="single" w:sz="6" w:space="0" w:color="auto"/>
              <w:right w:val="single" w:sz="6" w:space="0" w:color="auto"/>
            </w:tcBorders>
            <w:shd w:val="clear" w:color="auto" w:fill="E6E6E6"/>
            <w:hideMark/>
          </w:tcPr>
          <w:p w14:paraId="03D68769"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71F8AB26"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4C7B0702"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15.3</w:t>
            </w:r>
          </w:p>
        </w:tc>
        <w:tc>
          <w:tcPr>
            <w:tcW w:w="4678" w:type="dxa"/>
            <w:tcBorders>
              <w:top w:val="single" w:sz="6" w:space="0" w:color="auto"/>
              <w:left w:val="single" w:sz="6" w:space="0" w:color="auto"/>
              <w:bottom w:val="single" w:sz="6" w:space="0" w:color="auto"/>
              <w:right w:val="single" w:sz="6" w:space="0" w:color="auto"/>
            </w:tcBorders>
            <w:hideMark/>
          </w:tcPr>
          <w:p w14:paraId="26C8BED4"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en-GB"/>
              </w:rPr>
            </w:pPr>
            <w:r w:rsidRPr="004C05E4">
              <w:rPr>
                <w:rFonts w:ascii="KievitPro-Regular" w:hAnsi="KievitPro-Regular"/>
                <w:sz w:val="18"/>
                <w:szCs w:val="16"/>
                <w:lang w:val="en-GB"/>
              </w:rPr>
              <w:t>Budget / piano finanziario / Business Plan</w:t>
            </w:r>
          </w:p>
        </w:tc>
        <w:tc>
          <w:tcPr>
            <w:tcW w:w="850" w:type="dxa"/>
            <w:tcBorders>
              <w:top w:val="single" w:sz="6" w:space="0" w:color="auto"/>
              <w:left w:val="single" w:sz="6" w:space="0" w:color="auto"/>
              <w:bottom w:val="single" w:sz="6" w:space="0" w:color="auto"/>
              <w:right w:val="single" w:sz="6" w:space="0" w:color="auto"/>
            </w:tcBorders>
            <w:hideMark/>
          </w:tcPr>
          <w:p w14:paraId="7E4DA274"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035E3B5F"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51186F79"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31794522"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145DEA78"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B31D3AB"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6BCABB6D"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15.4</w:t>
            </w:r>
          </w:p>
        </w:tc>
        <w:tc>
          <w:tcPr>
            <w:tcW w:w="4678" w:type="dxa"/>
            <w:tcBorders>
              <w:top w:val="single" w:sz="6" w:space="0" w:color="auto"/>
              <w:left w:val="single" w:sz="6" w:space="0" w:color="auto"/>
              <w:bottom w:val="single" w:sz="6" w:space="0" w:color="auto"/>
              <w:right w:val="single" w:sz="6" w:space="0" w:color="auto"/>
            </w:tcBorders>
            <w:hideMark/>
          </w:tcPr>
          <w:p w14:paraId="5B8530B8"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Management Letter</w:t>
            </w:r>
          </w:p>
        </w:tc>
        <w:tc>
          <w:tcPr>
            <w:tcW w:w="850" w:type="dxa"/>
            <w:tcBorders>
              <w:top w:val="single" w:sz="6" w:space="0" w:color="auto"/>
              <w:left w:val="single" w:sz="6" w:space="0" w:color="auto"/>
              <w:bottom w:val="single" w:sz="6" w:space="0" w:color="auto"/>
              <w:right w:val="single" w:sz="6" w:space="0" w:color="auto"/>
            </w:tcBorders>
            <w:hideMark/>
          </w:tcPr>
          <w:p w14:paraId="1FAAE0E2" w14:textId="77777777" w:rsidR="00ED4133" w:rsidRPr="004C05E4" w:rsidRDefault="00ED4133" w:rsidP="00EB2FBE">
            <w:p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7981F000"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08E12F28"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41DACE7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022EDF1C"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5B5AF416" w14:textId="77777777" w:rsidTr="00EB2FBE">
        <w:trPr>
          <w:trHeight w:val="480"/>
        </w:trPr>
        <w:tc>
          <w:tcPr>
            <w:tcW w:w="637" w:type="dxa"/>
            <w:tcBorders>
              <w:top w:val="single" w:sz="6" w:space="0" w:color="auto"/>
              <w:left w:val="single" w:sz="6" w:space="0" w:color="auto"/>
              <w:bottom w:val="single" w:sz="6" w:space="0" w:color="auto"/>
              <w:right w:val="single" w:sz="6" w:space="0" w:color="auto"/>
            </w:tcBorders>
            <w:hideMark/>
          </w:tcPr>
          <w:p w14:paraId="21921E31"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15.5</w:t>
            </w:r>
          </w:p>
        </w:tc>
        <w:tc>
          <w:tcPr>
            <w:tcW w:w="4678" w:type="dxa"/>
            <w:tcBorders>
              <w:top w:val="single" w:sz="6" w:space="0" w:color="auto"/>
              <w:left w:val="single" w:sz="6" w:space="0" w:color="auto"/>
              <w:bottom w:val="single" w:sz="6" w:space="0" w:color="auto"/>
              <w:right w:val="single" w:sz="6" w:space="0" w:color="auto"/>
            </w:tcBorders>
            <w:hideMark/>
          </w:tcPr>
          <w:p w14:paraId="7D9D0AD3" w14:textId="77777777" w:rsidR="00ED4133" w:rsidRPr="004C05E4" w:rsidRDefault="00ED4133" w:rsidP="00ED4133">
            <w:pPr>
              <w:numPr>
                <w:ilvl w:val="0"/>
                <w:numId w:val="27"/>
              </w:numPr>
              <w:spacing w:before="120" w:after="120" w:line="264" w:lineRule="auto"/>
              <w:ind w:left="284" w:hanging="284"/>
              <w:jc w:val="left"/>
              <w:rPr>
                <w:rFonts w:ascii="KievitPro-Regular" w:hAnsi="KievitPro-Regular"/>
                <w:sz w:val="18"/>
                <w:szCs w:val="16"/>
                <w:lang w:val="it-CH"/>
              </w:rPr>
            </w:pPr>
            <w:r w:rsidRPr="004C05E4">
              <w:rPr>
                <w:rFonts w:ascii="KievitPro-Regular" w:hAnsi="KievitPro-Regular"/>
                <w:sz w:val="18"/>
                <w:szCs w:val="16"/>
                <w:lang w:val="it-CH"/>
              </w:rPr>
              <w:t xml:space="preserve">Ulteriori documenti: </w:t>
            </w:r>
          </w:p>
        </w:tc>
        <w:tc>
          <w:tcPr>
            <w:tcW w:w="850" w:type="dxa"/>
            <w:tcBorders>
              <w:top w:val="single" w:sz="6" w:space="0" w:color="auto"/>
              <w:left w:val="single" w:sz="6" w:space="0" w:color="auto"/>
              <w:bottom w:val="single" w:sz="6" w:space="0" w:color="auto"/>
              <w:right w:val="single" w:sz="6" w:space="0" w:color="auto"/>
            </w:tcBorders>
            <w:hideMark/>
          </w:tcPr>
          <w:p w14:paraId="0CB5365E" w14:textId="77777777" w:rsidR="00ED4133" w:rsidRPr="004C05E4" w:rsidRDefault="00ED4133" w:rsidP="00EB2FBE">
            <w:p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1EF3756A" w14:textId="77777777" w:rsidR="00ED4133" w:rsidRPr="004C05E4" w:rsidRDefault="00ED4133" w:rsidP="00EB2FBE">
            <w:pPr>
              <w:numPr>
                <w:ilvl w:val="12"/>
                <w:numId w:val="0"/>
              </w:num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single" w:sz="6" w:space="0" w:color="auto"/>
              <w:left w:val="single" w:sz="6" w:space="0" w:color="auto"/>
              <w:bottom w:val="single" w:sz="6" w:space="0" w:color="auto"/>
              <w:right w:val="single" w:sz="6" w:space="0" w:color="auto"/>
            </w:tcBorders>
            <w:hideMark/>
          </w:tcPr>
          <w:p w14:paraId="7CEC1EFF" w14:textId="77777777" w:rsidR="00ED4133" w:rsidRPr="004C05E4" w:rsidRDefault="00ED4133" w:rsidP="00EB2FBE">
            <w:pPr>
              <w:numPr>
                <w:ilvl w:val="12"/>
                <w:numId w:val="0"/>
              </w:num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single" w:sz="6" w:space="0" w:color="auto"/>
              <w:left w:val="single" w:sz="6" w:space="0" w:color="auto"/>
              <w:bottom w:val="single" w:sz="6" w:space="0" w:color="auto"/>
              <w:right w:val="single" w:sz="6" w:space="0" w:color="auto"/>
            </w:tcBorders>
            <w:hideMark/>
          </w:tcPr>
          <w:p w14:paraId="096E2562" w14:textId="77777777" w:rsidR="00ED4133" w:rsidRPr="004C05E4" w:rsidRDefault="00ED4133" w:rsidP="00EB2FBE">
            <w:pPr>
              <w:numPr>
                <w:ilvl w:val="12"/>
                <w:numId w:val="0"/>
              </w:numPr>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hideMark/>
          </w:tcPr>
          <w:p w14:paraId="619CE71B"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r w:rsidR="00ED4133" w:rsidRPr="004C05E4" w14:paraId="17D50D3D" w14:textId="77777777" w:rsidTr="00EB2FBE">
        <w:trPr>
          <w:trHeight w:val="309"/>
        </w:trPr>
        <w:tc>
          <w:tcPr>
            <w:tcW w:w="637" w:type="dxa"/>
            <w:tcBorders>
              <w:top w:val="nil"/>
              <w:left w:val="single" w:sz="6" w:space="0" w:color="auto"/>
              <w:bottom w:val="nil"/>
              <w:right w:val="nil"/>
            </w:tcBorders>
            <w:hideMark/>
          </w:tcPr>
          <w:p w14:paraId="4B52E4CE" w14:textId="77777777" w:rsidR="00ED4133" w:rsidRPr="004C05E4" w:rsidRDefault="00ED4133" w:rsidP="00EB2FBE">
            <w:pPr>
              <w:numPr>
                <w:ilvl w:val="12"/>
                <w:numId w:val="0"/>
              </w:numPr>
              <w:spacing w:before="120" w:after="120"/>
              <w:jc w:val="center"/>
              <w:rPr>
                <w:rFonts w:ascii="KievitPro-Regular" w:hAnsi="KievitPro-Regular"/>
                <w:b/>
                <w:lang w:val="it-CH"/>
              </w:rPr>
            </w:pPr>
            <w:r w:rsidRPr="004C05E4">
              <w:rPr>
                <w:rFonts w:ascii="KievitPro-Regular" w:hAnsi="KievitPro-Regular"/>
                <w:b/>
                <w:lang w:val="it-CH"/>
              </w:rPr>
              <w:t>16.</w:t>
            </w:r>
          </w:p>
        </w:tc>
        <w:tc>
          <w:tcPr>
            <w:tcW w:w="4678" w:type="dxa"/>
            <w:tcBorders>
              <w:top w:val="nil"/>
              <w:left w:val="single" w:sz="6" w:space="0" w:color="auto"/>
              <w:bottom w:val="nil"/>
              <w:right w:val="nil"/>
            </w:tcBorders>
            <w:hideMark/>
          </w:tcPr>
          <w:p w14:paraId="4620937E" w14:textId="77777777" w:rsidR="00ED4133" w:rsidRPr="004C05E4" w:rsidRDefault="00ED4133" w:rsidP="00EB2FBE">
            <w:pPr>
              <w:numPr>
                <w:ilvl w:val="12"/>
                <w:numId w:val="0"/>
              </w:numPr>
              <w:spacing w:before="120" w:after="120"/>
              <w:rPr>
                <w:rFonts w:ascii="KievitPro-Regular" w:hAnsi="KievitPro-Regular"/>
                <w:b/>
                <w:lang w:val="it-CH"/>
              </w:rPr>
            </w:pPr>
            <w:r w:rsidRPr="004C05E4">
              <w:rPr>
                <w:rFonts w:ascii="KievitPro-Regular" w:hAnsi="KievitPro-Regular"/>
                <w:b/>
                <w:lang w:val="it-CH"/>
              </w:rPr>
              <w:t>Conclusioni / valutazione d’insieme</w:t>
            </w:r>
          </w:p>
        </w:tc>
        <w:tc>
          <w:tcPr>
            <w:tcW w:w="850" w:type="dxa"/>
            <w:tcBorders>
              <w:top w:val="nil"/>
              <w:left w:val="single" w:sz="6" w:space="0" w:color="auto"/>
              <w:bottom w:val="nil"/>
              <w:right w:val="single" w:sz="6" w:space="0" w:color="auto"/>
            </w:tcBorders>
          </w:tcPr>
          <w:p w14:paraId="6AC72EC0"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nil"/>
              <w:bottom w:val="nil"/>
              <w:right w:val="single" w:sz="6" w:space="0" w:color="auto"/>
            </w:tcBorders>
          </w:tcPr>
          <w:p w14:paraId="76595DC1"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0" w:type="dxa"/>
            <w:tcBorders>
              <w:top w:val="nil"/>
              <w:left w:val="nil"/>
              <w:bottom w:val="nil"/>
              <w:right w:val="single" w:sz="6" w:space="0" w:color="auto"/>
            </w:tcBorders>
          </w:tcPr>
          <w:p w14:paraId="5D6EA56E"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851" w:type="dxa"/>
            <w:tcBorders>
              <w:top w:val="nil"/>
              <w:left w:val="nil"/>
              <w:bottom w:val="nil"/>
              <w:right w:val="single" w:sz="6" w:space="0" w:color="auto"/>
            </w:tcBorders>
          </w:tcPr>
          <w:p w14:paraId="78CD5196" w14:textId="77777777" w:rsidR="00ED4133" w:rsidRPr="004C05E4" w:rsidRDefault="00ED4133" w:rsidP="00EB2FBE">
            <w:pPr>
              <w:numPr>
                <w:ilvl w:val="12"/>
                <w:numId w:val="0"/>
              </w:numPr>
              <w:spacing w:before="120" w:after="120"/>
              <w:jc w:val="center"/>
              <w:rPr>
                <w:rFonts w:ascii="KievitPro-Regular" w:hAnsi="KievitPro-Regular"/>
                <w:lang w:val="it-CH"/>
              </w:rPr>
            </w:pPr>
          </w:p>
        </w:tc>
        <w:tc>
          <w:tcPr>
            <w:tcW w:w="6095" w:type="dxa"/>
            <w:tcBorders>
              <w:top w:val="nil"/>
              <w:left w:val="nil"/>
              <w:bottom w:val="nil"/>
              <w:right w:val="single" w:sz="6" w:space="0" w:color="auto"/>
            </w:tcBorders>
            <w:shd w:val="clear" w:color="auto" w:fill="FFFFFF"/>
            <w:hideMark/>
          </w:tcPr>
          <w:p w14:paraId="77BFE585" w14:textId="77777777" w:rsidR="00ED4133" w:rsidRPr="004C05E4" w:rsidRDefault="00ED4133" w:rsidP="00EB2FBE">
            <w:pPr>
              <w:numPr>
                <w:ilvl w:val="12"/>
                <w:numId w:val="0"/>
              </w:numPr>
              <w:rPr>
                <w:rFonts w:ascii="KievitPro-Regular" w:hAnsi="KievitPro-Regular"/>
                <w:sz w:val="14"/>
                <w:szCs w:val="14"/>
                <w:lang w:val="it-CH"/>
              </w:rPr>
            </w:pPr>
            <w:r w:rsidRPr="004C05E4">
              <w:rPr>
                <w:rFonts w:ascii="KievitPro-Regular" w:hAnsi="KievitPro-Regular"/>
                <w:sz w:val="14"/>
                <w:szCs w:val="14"/>
                <w:lang w:val="it-CH"/>
              </w:rPr>
              <w:t xml:space="preserve">In ogni caso per le conclusioni è necessario inserire una presa di posizione riguardo l’accettazione risp. il diniego del mandato  </w:t>
            </w:r>
          </w:p>
        </w:tc>
      </w:tr>
      <w:tr w:rsidR="00ED4133" w:rsidRPr="004C05E4" w14:paraId="606D7565" w14:textId="77777777" w:rsidTr="00EB2FBE">
        <w:trPr>
          <w:trHeight w:val="1068"/>
        </w:trPr>
        <w:tc>
          <w:tcPr>
            <w:tcW w:w="637" w:type="dxa"/>
            <w:tcBorders>
              <w:top w:val="nil"/>
              <w:left w:val="single" w:sz="6" w:space="0" w:color="auto"/>
              <w:bottom w:val="single" w:sz="6" w:space="0" w:color="auto"/>
              <w:right w:val="nil"/>
            </w:tcBorders>
            <w:hideMark/>
          </w:tcPr>
          <w:p w14:paraId="6369A29E" w14:textId="77777777" w:rsidR="00ED4133" w:rsidRPr="004C05E4" w:rsidRDefault="00ED4133" w:rsidP="00EB2FBE">
            <w:pPr>
              <w:numPr>
                <w:ilvl w:val="12"/>
                <w:numId w:val="0"/>
              </w:numPr>
              <w:spacing w:before="120" w:after="120"/>
              <w:jc w:val="center"/>
              <w:rPr>
                <w:rFonts w:ascii="KievitPro-Regular" w:hAnsi="KievitPro-Regular"/>
                <w:sz w:val="18"/>
                <w:szCs w:val="16"/>
                <w:lang w:val="it-CH"/>
              </w:rPr>
            </w:pPr>
            <w:r w:rsidRPr="004C05E4">
              <w:rPr>
                <w:rFonts w:ascii="KievitPro-Regular" w:hAnsi="KievitPro-Regular"/>
                <w:sz w:val="18"/>
                <w:szCs w:val="16"/>
                <w:lang w:val="it-CH"/>
              </w:rPr>
              <w:t>16.1</w:t>
            </w:r>
          </w:p>
        </w:tc>
        <w:tc>
          <w:tcPr>
            <w:tcW w:w="4678" w:type="dxa"/>
            <w:tcBorders>
              <w:top w:val="nil"/>
              <w:left w:val="single" w:sz="6" w:space="0" w:color="auto"/>
              <w:bottom w:val="single" w:sz="6" w:space="0" w:color="auto"/>
              <w:right w:val="nil"/>
            </w:tcBorders>
            <w:hideMark/>
          </w:tcPr>
          <w:p w14:paraId="66906FD9" w14:textId="77777777" w:rsidR="00ED4133" w:rsidRPr="004C05E4" w:rsidRDefault="00ED4133" w:rsidP="00EB2FBE">
            <w:pPr>
              <w:pStyle w:val="Referenz"/>
              <w:numPr>
                <w:ilvl w:val="12"/>
                <w:numId w:val="0"/>
              </w:numPr>
              <w:overflowPunct/>
              <w:autoSpaceDE/>
              <w:adjustRightInd/>
              <w:spacing w:line="264" w:lineRule="auto"/>
              <w:rPr>
                <w:rFonts w:ascii="KievitPro-Regular" w:hAnsi="KievitPro-Regular"/>
                <w:szCs w:val="16"/>
                <w:lang w:val="it-CH"/>
              </w:rPr>
            </w:pPr>
            <w:r w:rsidRPr="004C05E4">
              <w:rPr>
                <w:rFonts w:ascii="KievitPro-Regular" w:hAnsi="KievitPro-Regular"/>
                <w:szCs w:val="16"/>
                <w:lang w:val="it-CH"/>
              </w:rPr>
              <w:t xml:space="preserve">Sulle basi delle domande e dei chiarimenti di cui sopra, siamo giunti alla conclusione che una accettazione risp. proseguimento del mandato per questo cliente è da valutarsi come segue: </w:t>
            </w:r>
            <w:r w:rsidRPr="004C05E4">
              <w:rPr>
                <w:rFonts w:ascii="KievitPro-Regular" w:hAnsi="KievitPro-Regular"/>
                <w:szCs w:val="16"/>
                <w:lang w:val="it-CH"/>
              </w:rPr>
              <w:sym w:font="Wingdings" w:char="F0E0"/>
            </w:r>
          </w:p>
        </w:tc>
        <w:tc>
          <w:tcPr>
            <w:tcW w:w="850" w:type="dxa"/>
            <w:tcBorders>
              <w:top w:val="nil"/>
              <w:left w:val="single" w:sz="6" w:space="0" w:color="auto"/>
              <w:bottom w:val="single" w:sz="6" w:space="0" w:color="auto"/>
              <w:right w:val="single" w:sz="6" w:space="0" w:color="auto"/>
            </w:tcBorders>
          </w:tcPr>
          <w:p w14:paraId="4E1FB99D" w14:textId="77777777" w:rsidR="00ED4133" w:rsidRPr="004C05E4" w:rsidRDefault="00ED4133" w:rsidP="00EB2FBE">
            <w:pPr>
              <w:numPr>
                <w:ilvl w:val="12"/>
                <w:numId w:val="0"/>
              </w:numPr>
              <w:rPr>
                <w:rFonts w:ascii="KievitPro-Regular" w:hAnsi="KievitPro-Regular"/>
                <w:lang w:val="it-CH"/>
              </w:rPr>
            </w:pPr>
          </w:p>
        </w:tc>
        <w:tc>
          <w:tcPr>
            <w:tcW w:w="851" w:type="dxa"/>
            <w:tcBorders>
              <w:top w:val="nil"/>
              <w:left w:val="nil"/>
              <w:bottom w:val="single" w:sz="6" w:space="0" w:color="auto"/>
              <w:right w:val="single" w:sz="6" w:space="0" w:color="auto"/>
            </w:tcBorders>
            <w:hideMark/>
          </w:tcPr>
          <w:p w14:paraId="3220977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0" w:type="dxa"/>
            <w:tcBorders>
              <w:top w:val="nil"/>
              <w:left w:val="nil"/>
              <w:bottom w:val="single" w:sz="6" w:space="0" w:color="auto"/>
              <w:right w:val="single" w:sz="6" w:space="0" w:color="auto"/>
            </w:tcBorders>
            <w:hideMark/>
          </w:tcPr>
          <w:p w14:paraId="275EE155"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851" w:type="dxa"/>
            <w:tcBorders>
              <w:top w:val="nil"/>
              <w:left w:val="nil"/>
              <w:bottom w:val="single" w:sz="6" w:space="0" w:color="auto"/>
              <w:right w:val="single" w:sz="6" w:space="0" w:color="auto"/>
            </w:tcBorders>
            <w:hideMark/>
          </w:tcPr>
          <w:p w14:paraId="7DF74973" w14:textId="77777777" w:rsidR="00ED4133" w:rsidRPr="004C05E4" w:rsidRDefault="00ED4133" w:rsidP="00EB2FBE">
            <w:pPr>
              <w:numPr>
                <w:ilvl w:val="12"/>
                <w:numId w:val="0"/>
              </w:numPr>
              <w:spacing w:before="120" w:after="120"/>
              <w:jc w:val="center"/>
              <w:rPr>
                <w:rFonts w:ascii="KievitPro-Regular" w:hAnsi="KievitPro-Regular"/>
                <w:lang w:val="it-CH"/>
              </w:rPr>
            </w:pPr>
            <w:r w:rsidRPr="004C05E4">
              <w:rPr>
                <w:rFonts w:ascii="KievitPro-Regular" w:hAnsi="KievitPro-Regular"/>
                <w:lang w:val="it-CH"/>
              </w:rPr>
              <w:fldChar w:fldCharType="begin">
                <w:ffData>
                  <w:name w:val="Kontrollkästchen1"/>
                  <w:enabled/>
                  <w:calcOnExit w:val="0"/>
                  <w:checkBox>
                    <w:sizeAuto/>
                    <w:default w:val="0"/>
                  </w:checkBox>
                </w:ffData>
              </w:fldChar>
            </w:r>
            <w:r w:rsidRPr="004C05E4">
              <w:rPr>
                <w:rFonts w:ascii="KievitPro-Regular" w:hAnsi="KievitPro-Regular"/>
                <w:lang w:val="it-CH"/>
              </w:rPr>
              <w:instrText xml:space="preserve"> FORMCHECKBOX </w:instrText>
            </w:r>
            <w:r w:rsidR="0041024D">
              <w:rPr>
                <w:rFonts w:ascii="KievitPro-Regular" w:hAnsi="KievitPro-Regular"/>
                <w:lang w:val="it-CH"/>
              </w:rPr>
            </w:r>
            <w:r w:rsidR="0041024D">
              <w:rPr>
                <w:rFonts w:ascii="KievitPro-Regular" w:hAnsi="KievitPro-Regular"/>
                <w:lang w:val="it-CH"/>
              </w:rPr>
              <w:fldChar w:fldCharType="separate"/>
            </w:r>
            <w:r w:rsidRPr="004C05E4">
              <w:rPr>
                <w:rFonts w:ascii="KievitPro-Regular" w:hAnsi="KievitPro-Regular"/>
                <w:lang w:val="it-CH"/>
              </w:rPr>
              <w:fldChar w:fldCharType="end"/>
            </w:r>
          </w:p>
        </w:tc>
        <w:tc>
          <w:tcPr>
            <w:tcW w:w="6095" w:type="dxa"/>
            <w:tcBorders>
              <w:top w:val="nil"/>
              <w:left w:val="nil"/>
              <w:bottom w:val="single" w:sz="6" w:space="0" w:color="auto"/>
              <w:right w:val="single" w:sz="6" w:space="0" w:color="auto"/>
            </w:tcBorders>
            <w:shd w:val="clear" w:color="auto" w:fill="E6E6E6"/>
            <w:hideMark/>
          </w:tcPr>
          <w:p w14:paraId="12C9BD3C" w14:textId="77777777" w:rsidR="00ED4133" w:rsidRPr="004C05E4" w:rsidRDefault="00ED4133" w:rsidP="00EB2FBE">
            <w:pPr>
              <w:numPr>
                <w:ilvl w:val="12"/>
                <w:numId w:val="0"/>
              </w:numPr>
              <w:rPr>
                <w:rFonts w:ascii="KievitPro-Regular" w:hAnsi="KievitPro-Regular"/>
                <w:sz w:val="16"/>
                <w:szCs w:val="16"/>
                <w:lang w:val="it-CH"/>
              </w:rPr>
            </w:pPr>
            <w:r w:rsidRPr="004C05E4">
              <w:rPr>
                <w:rFonts w:ascii="KievitPro-Regular" w:hAnsi="KievitPro-Regular"/>
                <w:sz w:val="16"/>
                <w:szCs w:val="16"/>
                <w:lang w:val="it-CH"/>
              </w:rPr>
              <w:fldChar w:fldCharType="begin">
                <w:ffData>
                  <w:name w:val="Text3"/>
                  <w:enabled/>
                  <w:calcOnExit w:val="0"/>
                  <w:textInput/>
                </w:ffData>
              </w:fldChar>
            </w:r>
            <w:r w:rsidRPr="004C05E4">
              <w:rPr>
                <w:rFonts w:ascii="KievitPro-Regular" w:hAnsi="KievitPro-Regular"/>
                <w:sz w:val="16"/>
                <w:szCs w:val="16"/>
                <w:lang w:val="it-CH"/>
              </w:rPr>
              <w:instrText xml:space="preserve"> FORMTEXT </w:instrText>
            </w:r>
            <w:r w:rsidRPr="004C05E4">
              <w:rPr>
                <w:rFonts w:ascii="KievitPro-Regular" w:hAnsi="KievitPro-Regular"/>
                <w:sz w:val="16"/>
                <w:szCs w:val="16"/>
                <w:lang w:val="it-CH"/>
              </w:rPr>
            </w:r>
            <w:r w:rsidRPr="004C05E4">
              <w:rPr>
                <w:rFonts w:ascii="KievitPro-Regular" w:hAnsi="KievitPro-Regular"/>
                <w:sz w:val="16"/>
                <w:szCs w:val="16"/>
                <w:lang w:val="it-CH"/>
              </w:rPr>
              <w:fldChar w:fldCharType="separate"/>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noProof/>
                <w:sz w:val="16"/>
                <w:szCs w:val="16"/>
                <w:lang w:val="it-CH"/>
              </w:rPr>
              <w:t> </w:t>
            </w:r>
            <w:r w:rsidRPr="004C05E4">
              <w:rPr>
                <w:rFonts w:ascii="KievitPro-Regular" w:hAnsi="KievitPro-Regular"/>
                <w:sz w:val="16"/>
                <w:szCs w:val="16"/>
                <w:lang w:val="it-CH"/>
              </w:rPr>
              <w:fldChar w:fldCharType="end"/>
            </w:r>
          </w:p>
        </w:tc>
      </w:tr>
    </w:tbl>
    <w:p w14:paraId="7071EA40" w14:textId="77777777" w:rsidR="00ED4133" w:rsidRDefault="00ED4133" w:rsidP="00E63749">
      <w:pPr>
        <w:rPr>
          <w:rFonts w:ascii="Avenir LT Std 35 Light" w:hAnsi="Avenir LT Std 35 Light"/>
          <w:lang w:val="it-CH"/>
        </w:rPr>
        <w:sectPr w:rsidR="00ED4133" w:rsidSect="00E63749">
          <w:footerReference w:type="default" r:id="rId14"/>
          <w:pgSz w:w="16840" w:h="11907" w:orient="landscape"/>
          <w:pgMar w:top="1418" w:right="1418" w:bottom="992" w:left="851" w:header="0" w:footer="170" w:gutter="0"/>
          <w:cols w:space="720"/>
          <w:docGrid w:linePitch="272"/>
        </w:sectPr>
      </w:pPr>
      <w:r w:rsidRPr="004C05E4">
        <w:rPr>
          <w:rFonts w:ascii="KievitPro-Regular" w:hAnsi="KievitPro-Regular"/>
          <w:lang w:val="it-CH"/>
        </w:rPr>
        <w:t>Questo documento deve essere stampato e firmato da un partner del cliente in questione e/o dal revisore responsabile così come dal capo dipartimento revisione</w:t>
      </w:r>
      <w:r w:rsidRPr="002858E4">
        <w:rPr>
          <w:rFonts w:ascii="Avenir LT Std 35 Light" w:hAnsi="Avenir LT Std 35 Light"/>
          <w:lang w:val="it-CH"/>
        </w:rPr>
        <w:t>:</w:t>
      </w:r>
    </w:p>
    <w:p w14:paraId="43561EA5" w14:textId="77777777" w:rsidR="00ED4133" w:rsidRPr="000E27FB" w:rsidRDefault="00ED41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4" w:name="_Toc126737277"/>
      <w:r w:rsidRPr="000E27FB">
        <w:rPr>
          <w:rFonts w:ascii="Avenir LT Std 35 Light" w:hAnsi="Avenir LT Std 35 Light"/>
          <w:smallCaps/>
          <w:snapToGrid/>
          <w:sz w:val="24"/>
          <w:szCs w:val="28"/>
          <w:lang w:val="it-CH" w:eastAsia="en-US"/>
        </w:rPr>
        <w:lastRenderedPageBreak/>
        <w:t>5.6</w:t>
      </w:r>
      <w:r w:rsidRPr="000E27FB">
        <w:rPr>
          <w:rFonts w:ascii="Avenir LT Std 35 Light" w:hAnsi="Avenir LT Std 35 Light"/>
          <w:smallCaps/>
          <w:snapToGrid/>
          <w:sz w:val="24"/>
          <w:szCs w:val="28"/>
          <w:lang w:val="it-CH" w:eastAsia="en-US"/>
        </w:rPr>
        <w:tab/>
        <w:t>Checklist in merito alla continuazione del mandato</w:t>
      </w:r>
      <w:bookmarkEnd w:id="104"/>
    </w:p>
    <w:p w14:paraId="59E27356" w14:textId="44702D8D" w:rsidR="00ED4133" w:rsidRPr="00DB3299" w:rsidRDefault="00ED4133" w:rsidP="00DB3299">
      <w:pPr>
        <w:spacing w:line="276" w:lineRule="auto"/>
        <w:rPr>
          <w:rFonts w:ascii="KievitPro-Regular" w:hAnsi="KievitPro-Regular"/>
          <w:sz w:val="22"/>
          <w:szCs w:val="22"/>
          <w:lang w:val="it-CH"/>
        </w:rPr>
      </w:pPr>
      <w:r w:rsidRPr="00DB3299">
        <w:rPr>
          <w:rFonts w:ascii="KievitPro-Regular" w:hAnsi="KievitPro-Regular"/>
          <w:sz w:val="22"/>
          <w:szCs w:val="22"/>
          <w:lang w:val="it-CH"/>
        </w:rPr>
        <w:t>Le condizioni che determinano la continuazione del mandato o un'eventuale dimissione vengono riesaminate annualmente prima dell'elezione o della rielezione dall'assemblea generale annuale del cliente. I risultati e le conclusioni tratte al riguardo devono essere documentati in modo adeguato.</w:t>
      </w:r>
    </w:p>
    <w:p w14:paraId="1E9059FC" w14:textId="77777777" w:rsidR="00DB3299" w:rsidRPr="00DB3299" w:rsidRDefault="00DB3299" w:rsidP="00ED4133">
      <w:pPr>
        <w:rPr>
          <w:rFonts w:ascii="KievitPro-Regular" w:hAnsi="KievitPro-Regular"/>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992"/>
        <w:gridCol w:w="1135"/>
        <w:gridCol w:w="1134"/>
        <w:gridCol w:w="3686"/>
      </w:tblGrid>
      <w:tr w:rsidR="00ED4133" w:rsidRPr="000E27FB" w14:paraId="4430D93F" w14:textId="77777777" w:rsidTr="00EB2FBE">
        <w:tc>
          <w:tcPr>
            <w:tcW w:w="28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6F8A73" w14:textId="77777777" w:rsidR="00ED4133" w:rsidRPr="000E27FB" w:rsidRDefault="00ED4133" w:rsidP="00EB2FBE">
            <w:pPr>
              <w:spacing w:before="60" w:after="60"/>
              <w:rPr>
                <w:rFonts w:ascii="KievitPro-Regular" w:hAnsi="KievitPro-Regular" w:cs="Arial"/>
                <w:b/>
                <w:sz w:val="18"/>
                <w:szCs w:val="18"/>
                <w:lang w:val="it-CH"/>
              </w:rPr>
            </w:pPr>
            <w:r w:rsidRPr="000E27FB">
              <w:rPr>
                <w:rFonts w:ascii="KievitPro-Regular" w:hAnsi="KievitPro-Regular" w:cs="Arial"/>
                <w:b/>
                <w:sz w:val="18"/>
                <w:szCs w:val="18"/>
                <w:lang w:val="it-CH"/>
              </w:rPr>
              <w:t>Mandato</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1F404F"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Categoria di rischio</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F2EB12"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FA02F57" w14:textId="77777777" w:rsidTr="00EB2FBE">
        <w:tc>
          <w:tcPr>
            <w:tcW w:w="2801" w:type="dxa"/>
            <w:vMerge/>
            <w:tcBorders>
              <w:top w:val="single" w:sz="4" w:space="0" w:color="auto"/>
              <w:left w:val="single" w:sz="4" w:space="0" w:color="auto"/>
              <w:bottom w:val="single" w:sz="4" w:space="0" w:color="auto"/>
              <w:right w:val="single" w:sz="4" w:space="0" w:color="auto"/>
            </w:tcBorders>
            <w:vAlign w:val="center"/>
            <w:hideMark/>
          </w:tcPr>
          <w:p w14:paraId="210B1936" w14:textId="77777777" w:rsidR="00ED4133" w:rsidRPr="000E27FB" w:rsidRDefault="00ED4133" w:rsidP="00EB2FBE">
            <w:pPr>
              <w:rPr>
                <w:rFonts w:ascii="KievitPro-Regular" w:hAnsi="KievitPro-Regular" w:cs="Arial"/>
                <w:b/>
                <w:sz w:val="18"/>
                <w:szCs w:val="18"/>
                <w:lang w:val="it-CH"/>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2DF7E"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basso</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4CB6D"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alto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CE897" w14:textId="77777777" w:rsidR="00ED4133" w:rsidRPr="000E27FB" w:rsidRDefault="00ED4133" w:rsidP="00EB2FBE">
            <w:pPr>
              <w:spacing w:before="60" w:after="60"/>
              <w:jc w:val="center"/>
              <w:rPr>
                <w:rFonts w:ascii="KievitPro-Regular" w:hAnsi="KievitPro-Regular" w:cs="Arial"/>
                <w:b/>
                <w:sz w:val="18"/>
                <w:szCs w:val="18"/>
                <w:lang w:val="it-CH"/>
              </w:rPr>
            </w:pPr>
            <w:r w:rsidRPr="000E27FB">
              <w:rPr>
                <w:rFonts w:ascii="KievitPro-Regular" w:hAnsi="KievitPro-Regular" w:cs="Arial"/>
                <w:b/>
                <w:sz w:val="18"/>
                <w:szCs w:val="18"/>
                <w:lang w:val="it-CH"/>
              </w:rPr>
              <w:t>medio</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7C3DA73" w14:textId="77777777" w:rsidR="00ED4133" w:rsidRPr="000E27FB" w:rsidRDefault="00ED4133" w:rsidP="00EB2FBE">
            <w:pPr>
              <w:rPr>
                <w:rFonts w:ascii="KievitPro-Regular" w:hAnsi="KievitPro-Regular" w:cs="Arial"/>
                <w:b/>
                <w:sz w:val="18"/>
                <w:szCs w:val="18"/>
                <w:lang w:val="it-CH"/>
              </w:rPr>
            </w:pPr>
          </w:p>
        </w:tc>
      </w:tr>
      <w:tr w:rsidR="00ED4133" w:rsidRPr="000E27FB" w14:paraId="037D34A3" w14:textId="77777777" w:rsidTr="00EB2FBE">
        <w:tc>
          <w:tcPr>
            <w:tcW w:w="2801" w:type="dxa"/>
            <w:tcBorders>
              <w:top w:val="single" w:sz="4" w:space="0" w:color="auto"/>
              <w:left w:val="single" w:sz="4" w:space="0" w:color="auto"/>
              <w:bottom w:val="single" w:sz="4" w:space="0" w:color="auto"/>
              <w:right w:val="single" w:sz="4" w:space="0" w:color="auto"/>
            </w:tcBorders>
            <w:hideMark/>
          </w:tcPr>
          <w:p w14:paraId="4F44F3F9" w14:textId="77777777" w:rsidR="00ED4133" w:rsidRPr="000E27FB" w:rsidRDefault="00ED4133" w:rsidP="00EB2FBE">
            <w:pPr>
              <w:spacing w:before="60" w:after="60"/>
              <w:rPr>
                <w:rFonts w:ascii="KievitPro-Regular" w:hAnsi="KievitPro-Regular" w:cs="Arial"/>
                <w:b/>
                <w:sz w:val="18"/>
                <w:szCs w:val="18"/>
                <w:lang w:val="it-CH"/>
              </w:rPr>
            </w:pPr>
            <w:r w:rsidRPr="000E27FB">
              <w:rPr>
                <w:rFonts w:ascii="KievitPro-Regular" w:hAnsi="KievitPro-Regular" w:cs="Arial"/>
                <w:b/>
                <w:sz w:val="18"/>
                <w:szCs w:val="18"/>
                <w:lang w:val="it-CH"/>
              </w:rPr>
              <w:t>Società xyz</w:t>
            </w:r>
          </w:p>
        </w:tc>
        <w:tc>
          <w:tcPr>
            <w:tcW w:w="992" w:type="dxa"/>
            <w:tcBorders>
              <w:top w:val="single" w:sz="4" w:space="0" w:color="auto"/>
              <w:left w:val="single" w:sz="4" w:space="0" w:color="auto"/>
              <w:bottom w:val="single" w:sz="4" w:space="0" w:color="auto"/>
              <w:right w:val="single" w:sz="4" w:space="0" w:color="auto"/>
            </w:tcBorders>
          </w:tcPr>
          <w:p w14:paraId="2350695B" w14:textId="77777777" w:rsidR="00ED4133" w:rsidRPr="000E27FB" w:rsidRDefault="00ED4133" w:rsidP="00EB2FBE">
            <w:pPr>
              <w:spacing w:before="60" w:after="60"/>
              <w:rPr>
                <w:rFonts w:ascii="KievitPro-Regular" w:hAnsi="KievitPro-Regular" w:cs="Arial"/>
                <w:sz w:val="18"/>
                <w:szCs w:val="18"/>
                <w:lang w:val="it-CH"/>
              </w:rPr>
            </w:pPr>
          </w:p>
        </w:tc>
        <w:tc>
          <w:tcPr>
            <w:tcW w:w="1135" w:type="dxa"/>
            <w:tcBorders>
              <w:top w:val="single" w:sz="4" w:space="0" w:color="auto"/>
              <w:left w:val="single" w:sz="4" w:space="0" w:color="auto"/>
              <w:bottom w:val="single" w:sz="4" w:space="0" w:color="auto"/>
              <w:right w:val="single" w:sz="4" w:space="0" w:color="auto"/>
            </w:tcBorders>
          </w:tcPr>
          <w:p w14:paraId="5EE68FFD" w14:textId="77777777" w:rsidR="00ED4133" w:rsidRPr="000E27FB" w:rsidRDefault="00ED4133" w:rsidP="00EB2FBE">
            <w:pPr>
              <w:spacing w:before="60" w:after="60"/>
              <w:rPr>
                <w:rFonts w:ascii="KievitPro-Regular" w:hAnsi="KievitPro-Regular" w:cs="Arial"/>
                <w:sz w:val="18"/>
                <w:szCs w:val="18"/>
                <w:lang w:val="it-CH"/>
              </w:rPr>
            </w:pPr>
          </w:p>
        </w:tc>
        <w:tc>
          <w:tcPr>
            <w:tcW w:w="1134" w:type="dxa"/>
            <w:tcBorders>
              <w:top w:val="single" w:sz="4" w:space="0" w:color="auto"/>
              <w:left w:val="single" w:sz="4" w:space="0" w:color="auto"/>
              <w:bottom w:val="single" w:sz="4" w:space="0" w:color="auto"/>
              <w:right w:val="single" w:sz="4" w:space="0" w:color="auto"/>
            </w:tcBorders>
          </w:tcPr>
          <w:p w14:paraId="4E2EC523" w14:textId="77777777" w:rsidR="00ED4133" w:rsidRPr="000E27FB" w:rsidRDefault="00ED4133" w:rsidP="00EB2FBE">
            <w:pPr>
              <w:spacing w:before="60" w:after="60"/>
              <w:rPr>
                <w:rFonts w:ascii="KievitPro-Regular" w:hAnsi="KievitPro-Regular" w:cs="Arial"/>
                <w:sz w:val="18"/>
                <w:szCs w:val="18"/>
                <w:lang w:val="it-CH"/>
              </w:rPr>
            </w:pPr>
          </w:p>
        </w:tc>
        <w:tc>
          <w:tcPr>
            <w:tcW w:w="3685" w:type="dxa"/>
            <w:tcBorders>
              <w:top w:val="single" w:sz="4" w:space="0" w:color="auto"/>
              <w:left w:val="single" w:sz="4" w:space="0" w:color="auto"/>
              <w:bottom w:val="single" w:sz="4" w:space="0" w:color="auto"/>
              <w:right w:val="single" w:sz="4" w:space="0" w:color="auto"/>
            </w:tcBorders>
          </w:tcPr>
          <w:p w14:paraId="734D9C97" w14:textId="77777777" w:rsidR="00ED4133" w:rsidRPr="000E27FB" w:rsidRDefault="00ED4133" w:rsidP="00EB2FBE">
            <w:pPr>
              <w:spacing w:before="60" w:after="60"/>
              <w:rPr>
                <w:rFonts w:ascii="KievitPro-Regular" w:hAnsi="KievitPro-Regular" w:cs="Arial"/>
                <w:sz w:val="18"/>
                <w:szCs w:val="18"/>
                <w:lang w:val="it-CH"/>
              </w:rPr>
            </w:pPr>
          </w:p>
        </w:tc>
      </w:tr>
    </w:tbl>
    <w:p w14:paraId="7558F45A" w14:textId="77777777" w:rsidR="00ED4133" w:rsidRPr="00DB3299" w:rsidRDefault="00ED4133" w:rsidP="00ED4133">
      <w:pPr>
        <w:rPr>
          <w:rFonts w:ascii="KievitPro-Regular" w:hAnsi="KievitPro-Regular" w:cs="Arial"/>
          <w:b/>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1134"/>
        <w:gridCol w:w="993"/>
        <w:gridCol w:w="2410"/>
      </w:tblGrid>
      <w:tr w:rsidR="00ED4133" w:rsidRPr="000E27FB" w14:paraId="3E48BCAF" w14:textId="77777777" w:rsidTr="00EB2FBE">
        <w:tc>
          <w:tcPr>
            <w:tcW w:w="9747"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70A3282A"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 xml:space="preserve">Domande in merito alla condotta del mandato </w:t>
            </w:r>
          </w:p>
        </w:tc>
      </w:tr>
      <w:tr w:rsidR="00ED4133" w:rsidRPr="000E27FB" w14:paraId="3F77C50F"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7B4EEF"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Condizioni per la revisione limitata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8FD3A2"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B6B92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E9FC10"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76738CBB"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0CFA2B8"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ancora soddisfatte le condizioni per la revisione limitata?</w:t>
            </w:r>
          </w:p>
        </w:tc>
        <w:tc>
          <w:tcPr>
            <w:tcW w:w="1134" w:type="dxa"/>
            <w:tcBorders>
              <w:top w:val="single" w:sz="4" w:space="0" w:color="auto"/>
              <w:left w:val="single" w:sz="4" w:space="0" w:color="auto"/>
              <w:bottom w:val="single" w:sz="4" w:space="0" w:color="auto"/>
              <w:right w:val="single" w:sz="4" w:space="0" w:color="auto"/>
            </w:tcBorders>
          </w:tcPr>
          <w:p w14:paraId="68A2579D"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37081C18"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D2A9A70"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3F3F0C1F"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EADE2A"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Competenze, qualità e risorse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59D164"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2C4E4"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083751"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7999D218"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0C0D81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abbastanza personale (revisori) con le competenze e le capacità necessarie per effettuare la revisione?</w:t>
            </w:r>
          </w:p>
        </w:tc>
        <w:tc>
          <w:tcPr>
            <w:tcW w:w="1134" w:type="dxa"/>
            <w:tcBorders>
              <w:top w:val="single" w:sz="4" w:space="0" w:color="auto"/>
              <w:left w:val="single" w:sz="4" w:space="0" w:color="auto"/>
              <w:bottom w:val="single" w:sz="4" w:space="0" w:color="auto"/>
              <w:right w:val="single" w:sz="4" w:space="0" w:color="auto"/>
            </w:tcBorders>
          </w:tcPr>
          <w:p w14:paraId="312F4B4B"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7E683ACF"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FA50ABC"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5C7FD496"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D1DD00B"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Se necessario, sono disponibili esperti (interni/esterni/esterni)?</w:t>
            </w:r>
          </w:p>
        </w:tc>
        <w:tc>
          <w:tcPr>
            <w:tcW w:w="1134" w:type="dxa"/>
            <w:tcBorders>
              <w:top w:val="single" w:sz="4" w:space="0" w:color="auto"/>
              <w:left w:val="single" w:sz="4" w:space="0" w:color="auto"/>
              <w:bottom w:val="single" w:sz="4" w:space="0" w:color="auto"/>
              <w:right w:val="single" w:sz="4" w:space="0" w:color="auto"/>
            </w:tcBorders>
          </w:tcPr>
          <w:p w14:paraId="1BC2EA13"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F9A9799"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8B68102"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D95DFE7"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0B5470"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Integrità del cliente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B30D46"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1264C"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F712B8"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197505DE"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29BB9090"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L'integrità del cliente è garantita?</w:t>
            </w:r>
          </w:p>
        </w:tc>
        <w:tc>
          <w:tcPr>
            <w:tcW w:w="1134" w:type="dxa"/>
            <w:tcBorders>
              <w:top w:val="single" w:sz="4" w:space="0" w:color="auto"/>
              <w:left w:val="single" w:sz="4" w:space="0" w:color="auto"/>
              <w:bottom w:val="single" w:sz="4" w:space="0" w:color="auto"/>
              <w:right w:val="single" w:sz="4" w:space="0" w:color="auto"/>
            </w:tcBorders>
          </w:tcPr>
          <w:p w14:paraId="1BA5B0AB"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3E77471E"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0F0302E"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0149185"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96ECF1F"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cambiati i rischi legati al contesto economico e giuridico del cliente (rischio economico globale, rischio settoriale, quadro giuridico, ecc.) Si sono aggiunti nuovi rischi?</w:t>
            </w:r>
          </w:p>
        </w:tc>
        <w:tc>
          <w:tcPr>
            <w:tcW w:w="1134" w:type="dxa"/>
            <w:tcBorders>
              <w:top w:val="single" w:sz="4" w:space="0" w:color="auto"/>
              <w:left w:val="single" w:sz="4" w:space="0" w:color="auto"/>
              <w:bottom w:val="single" w:sz="4" w:space="0" w:color="auto"/>
              <w:right w:val="single" w:sz="4" w:space="0" w:color="auto"/>
            </w:tcBorders>
          </w:tcPr>
          <w:p w14:paraId="6B0CA373"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EE76A5D"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6EE847BA"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51F119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01F8B56"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Ci sono stati dei cambiamenti nella gestione delle funzioni chiave?</w:t>
            </w:r>
          </w:p>
        </w:tc>
        <w:tc>
          <w:tcPr>
            <w:tcW w:w="1134" w:type="dxa"/>
            <w:tcBorders>
              <w:top w:val="single" w:sz="4" w:space="0" w:color="auto"/>
              <w:left w:val="single" w:sz="4" w:space="0" w:color="auto"/>
              <w:bottom w:val="single" w:sz="4" w:space="0" w:color="auto"/>
              <w:right w:val="single" w:sz="4" w:space="0" w:color="auto"/>
            </w:tcBorders>
          </w:tcPr>
          <w:p w14:paraId="25312AED"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A4880EA"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A868166"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06878D4D"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63F2276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Valutare se l'attività del cliente è conforme alla legge ed eticamente giustificabile.</w:t>
            </w:r>
          </w:p>
        </w:tc>
        <w:tc>
          <w:tcPr>
            <w:tcW w:w="1134" w:type="dxa"/>
            <w:tcBorders>
              <w:top w:val="single" w:sz="4" w:space="0" w:color="auto"/>
              <w:left w:val="single" w:sz="4" w:space="0" w:color="auto"/>
              <w:bottom w:val="single" w:sz="4" w:space="0" w:color="auto"/>
              <w:right w:val="single" w:sz="4" w:space="0" w:color="auto"/>
            </w:tcBorders>
          </w:tcPr>
          <w:p w14:paraId="5BDF06BE"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6127CD2"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E4B36F0"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5D6A78B0"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9447CF8"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Riteniamo che le competenze e l'esperienza contabile del cliente siano sufficienti?</w:t>
            </w:r>
          </w:p>
        </w:tc>
        <w:tc>
          <w:tcPr>
            <w:tcW w:w="1134" w:type="dxa"/>
            <w:tcBorders>
              <w:top w:val="single" w:sz="4" w:space="0" w:color="auto"/>
              <w:left w:val="single" w:sz="4" w:space="0" w:color="auto"/>
              <w:bottom w:val="single" w:sz="4" w:space="0" w:color="auto"/>
              <w:right w:val="single" w:sz="4" w:space="0" w:color="auto"/>
            </w:tcBorders>
          </w:tcPr>
          <w:p w14:paraId="737B0032"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0C370A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4C5A57C"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0059EED"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58A4CE7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Il cliente ci fornisce tutte le informazioni commerciali importanti?</w:t>
            </w:r>
          </w:p>
        </w:tc>
        <w:tc>
          <w:tcPr>
            <w:tcW w:w="1134" w:type="dxa"/>
            <w:tcBorders>
              <w:top w:val="single" w:sz="4" w:space="0" w:color="auto"/>
              <w:left w:val="single" w:sz="4" w:space="0" w:color="auto"/>
              <w:bottom w:val="single" w:sz="4" w:space="0" w:color="auto"/>
              <w:right w:val="single" w:sz="4" w:space="0" w:color="auto"/>
            </w:tcBorders>
          </w:tcPr>
          <w:p w14:paraId="459216A8"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07BF9EF"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F300390" w14:textId="77777777" w:rsidR="00ED4133" w:rsidRPr="000E27FB" w:rsidRDefault="00ED4133" w:rsidP="00EB2FBE">
            <w:pPr>
              <w:spacing w:before="120" w:after="120"/>
              <w:rPr>
                <w:rFonts w:ascii="KievitPro-Regular" w:hAnsi="KievitPro-Regular" w:cs="Arial"/>
                <w:sz w:val="18"/>
                <w:szCs w:val="18"/>
                <w:lang w:val="it-CH"/>
              </w:rPr>
            </w:pPr>
          </w:p>
        </w:tc>
      </w:tr>
    </w:tbl>
    <w:p w14:paraId="22AECE6E" w14:textId="77777777" w:rsidR="00ED4133" w:rsidRPr="00DB3299" w:rsidRDefault="00ED4133" w:rsidP="00ED4133">
      <w:pPr>
        <w:rPr>
          <w:rFonts w:ascii="KievitPro-Regular" w:hAnsi="KievitPro-Regular"/>
          <w:lang w:val="it-CH"/>
        </w:rPr>
      </w:pPr>
    </w:p>
    <w:p w14:paraId="27320DD5" w14:textId="77777777" w:rsidR="00ED4133" w:rsidRPr="00DB3299" w:rsidRDefault="00ED4133" w:rsidP="00ED4133">
      <w:pPr>
        <w:rPr>
          <w:rFonts w:ascii="KievitPro-Regular" w:hAnsi="KievitPro-Regular"/>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1134"/>
        <w:gridCol w:w="993"/>
        <w:gridCol w:w="2410"/>
      </w:tblGrid>
      <w:tr w:rsidR="00ED4133" w:rsidRPr="000E27FB" w14:paraId="31868337"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495CE0"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Indipendenza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7CD592"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9ED7F"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B9087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5C4AA655"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064A17C"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Le condizioni di indipendenza sono sempre soddisfatte?</w:t>
            </w:r>
          </w:p>
        </w:tc>
        <w:tc>
          <w:tcPr>
            <w:tcW w:w="1134" w:type="dxa"/>
            <w:tcBorders>
              <w:top w:val="single" w:sz="4" w:space="0" w:color="auto"/>
              <w:left w:val="single" w:sz="4" w:space="0" w:color="auto"/>
              <w:bottom w:val="single" w:sz="4" w:space="0" w:color="auto"/>
              <w:right w:val="single" w:sz="4" w:space="0" w:color="auto"/>
            </w:tcBorders>
          </w:tcPr>
          <w:p w14:paraId="7F93D6FA"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5AB393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74BEF1AE"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31CA37C"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6DBEA1D"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Possiamo confermare che non siamo coinvolti nella contabilità o in altri servizi in cui esiste un rischio di verifica del nostro lavoro?</w:t>
            </w:r>
          </w:p>
        </w:tc>
        <w:tc>
          <w:tcPr>
            <w:tcW w:w="1134" w:type="dxa"/>
            <w:tcBorders>
              <w:top w:val="single" w:sz="4" w:space="0" w:color="auto"/>
              <w:left w:val="single" w:sz="4" w:space="0" w:color="auto"/>
              <w:bottom w:val="single" w:sz="4" w:space="0" w:color="auto"/>
              <w:right w:val="single" w:sz="4" w:space="0" w:color="auto"/>
            </w:tcBorders>
          </w:tcPr>
          <w:p w14:paraId="2DB12F35"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016CC179"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44701CB"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C70CC68"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2CB8B014"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In caso di risposta negativa alla domanda precedente, abbiamo assicurato una separazione organizzativa e personale tra contabilità/altri servizi e revisione?</w:t>
            </w:r>
          </w:p>
        </w:tc>
        <w:tc>
          <w:tcPr>
            <w:tcW w:w="1134" w:type="dxa"/>
            <w:tcBorders>
              <w:top w:val="single" w:sz="4" w:space="0" w:color="auto"/>
              <w:left w:val="single" w:sz="4" w:space="0" w:color="auto"/>
              <w:bottom w:val="single" w:sz="4" w:space="0" w:color="auto"/>
              <w:right w:val="single" w:sz="4" w:space="0" w:color="auto"/>
            </w:tcBorders>
          </w:tcPr>
          <w:p w14:paraId="4447B5A0"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0E0F841C"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44BD681"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534F32C"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5E9ECD"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Abilitazione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FF036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325399"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BDCB82"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576D48D0"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B61BA9F"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lastRenderedPageBreak/>
              <w:t>Possiamo confermare che il lead auditor ha soddisfatto i requisiti di abilitazione?</w:t>
            </w:r>
          </w:p>
        </w:tc>
        <w:tc>
          <w:tcPr>
            <w:tcW w:w="1134" w:type="dxa"/>
            <w:tcBorders>
              <w:top w:val="single" w:sz="4" w:space="0" w:color="auto"/>
              <w:left w:val="single" w:sz="4" w:space="0" w:color="auto"/>
              <w:bottom w:val="single" w:sz="4" w:space="0" w:color="auto"/>
              <w:right w:val="single" w:sz="4" w:space="0" w:color="auto"/>
            </w:tcBorders>
          </w:tcPr>
          <w:p w14:paraId="2F414539"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76095EEA"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608B3496"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97F071E"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8F4A1A"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Risultati della revisione dell’anno precedente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1A8890"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F5A9DF"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829445"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A80A90E"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3940BA87"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state effettuate ulteriori registrazioni significative sulla base dei risultati dei revisori?</w:t>
            </w:r>
          </w:p>
        </w:tc>
        <w:tc>
          <w:tcPr>
            <w:tcW w:w="1134" w:type="dxa"/>
            <w:tcBorders>
              <w:top w:val="single" w:sz="4" w:space="0" w:color="auto"/>
              <w:left w:val="single" w:sz="4" w:space="0" w:color="auto"/>
              <w:bottom w:val="single" w:sz="4" w:space="0" w:color="auto"/>
              <w:right w:val="single" w:sz="4" w:space="0" w:color="auto"/>
            </w:tcBorders>
          </w:tcPr>
          <w:p w14:paraId="0340A277"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1A5656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213006C6"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E4DAEC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44E250BB"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C'è una violazione della legge o un atto fraudolento?</w:t>
            </w:r>
          </w:p>
        </w:tc>
        <w:tc>
          <w:tcPr>
            <w:tcW w:w="1134" w:type="dxa"/>
            <w:tcBorders>
              <w:top w:val="single" w:sz="4" w:space="0" w:color="auto"/>
              <w:left w:val="single" w:sz="4" w:space="0" w:color="auto"/>
              <w:bottom w:val="single" w:sz="4" w:space="0" w:color="auto"/>
              <w:right w:val="single" w:sz="4" w:space="0" w:color="auto"/>
            </w:tcBorders>
          </w:tcPr>
          <w:p w14:paraId="393FFD2F"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6E0D973"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B0307C3"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405A4DC2"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25365066"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emesso un parere modificato (qualificato, negativo, impossibile)?</w:t>
            </w:r>
          </w:p>
        </w:tc>
        <w:tc>
          <w:tcPr>
            <w:tcW w:w="1134" w:type="dxa"/>
            <w:tcBorders>
              <w:top w:val="single" w:sz="4" w:space="0" w:color="auto"/>
              <w:left w:val="single" w:sz="4" w:space="0" w:color="auto"/>
              <w:bottom w:val="single" w:sz="4" w:space="0" w:color="auto"/>
              <w:right w:val="single" w:sz="4" w:space="0" w:color="auto"/>
            </w:tcBorders>
          </w:tcPr>
          <w:p w14:paraId="2FB71F90"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F42AE3B"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C22DBE2"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230669A"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6365F174"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raccomandato di rigettare i conti?</w:t>
            </w:r>
          </w:p>
        </w:tc>
        <w:tc>
          <w:tcPr>
            <w:tcW w:w="1134" w:type="dxa"/>
            <w:tcBorders>
              <w:top w:val="single" w:sz="4" w:space="0" w:color="auto"/>
              <w:left w:val="single" w:sz="4" w:space="0" w:color="auto"/>
              <w:bottom w:val="single" w:sz="4" w:space="0" w:color="auto"/>
              <w:right w:val="single" w:sz="4" w:space="0" w:color="auto"/>
            </w:tcBorders>
          </w:tcPr>
          <w:p w14:paraId="58ECD125"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02068C3"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65FBF08"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36A03422"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5DD13D5"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avuto altre esperienze negative che ci avrebbero portato alla dimissione del mandato?</w:t>
            </w:r>
          </w:p>
        </w:tc>
        <w:tc>
          <w:tcPr>
            <w:tcW w:w="1134" w:type="dxa"/>
            <w:tcBorders>
              <w:top w:val="single" w:sz="4" w:space="0" w:color="auto"/>
              <w:left w:val="single" w:sz="4" w:space="0" w:color="auto"/>
              <w:bottom w:val="single" w:sz="4" w:space="0" w:color="auto"/>
              <w:right w:val="single" w:sz="4" w:space="0" w:color="auto"/>
            </w:tcBorders>
          </w:tcPr>
          <w:p w14:paraId="3D4ED62E"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47B69AC"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D919F7C"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B92AF5A"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FCDF42"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 xml:space="preserve">Situazione finanziaria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0DB7D4"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51F31E"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E89B17"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F7EA820"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655DDC0C"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Ci sono segnali d’incertezza sulla capacità dell'azienda di continuare le proprie attività?</w:t>
            </w:r>
          </w:p>
        </w:tc>
        <w:tc>
          <w:tcPr>
            <w:tcW w:w="1134" w:type="dxa"/>
            <w:tcBorders>
              <w:top w:val="single" w:sz="4" w:space="0" w:color="auto"/>
              <w:left w:val="single" w:sz="4" w:space="0" w:color="auto"/>
              <w:bottom w:val="single" w:sz="4" w:space="0" w:color="auto"/>
              <w:right w:val="single" w:sz="4" w:space="0" w:color="auto"/>
            </w:tcBorders>
          </w:tcPr>
          <w:p w14:paraId="5CCF95B8"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22AF9A1F"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5B86EC7"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69B9EEFF"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4904B9AD"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La situazione patrimoniale della società è problematica? (vedi anche art. 725 CO)</w:t>
            </w:r>
          </w:p>
        </w:tc>
        <w:tc>
          <w:tcPr>
            <w:tcW w:w="1134" w:type="dxa"/>
            <w:tcBorders>
              <w:top w:val="single" w:sz="4" w:space="0" w:color="auto"/>
              <w:left w:val="single" w:sz="4" w:space="0" w:color="auto"/>
              <w:bottom w:val="single" w:sz="4" w:space="0" w:color="auto"/>
              <w:right w:val="single" w:sz="4" w:space="0" w:color="auto"/>
            </w:tcBorders>
          </w:tcPr>
          <w:p w14:paraId="55540AD2"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1430067D"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1175A7FA"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DB8C12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1D1289ED"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La situazione di liquidità della società è problematica?</w:t>
            </w:r>
          </w:p>
        </w:tc>
        <w:tc>
          <w:tcPr>
            <w:tcW w:w="1134" w:type="dxa"/>
            <w:tcBorders>
              <w:top w:val="single" w:sz="4" w:space="0" w:color="auto"/>
              <w:left w:val="single" w:sz="4" w:space="0" w:color="auto"/>
              <w:bottom w:val="single" w:sz="4" w:space="0" w:color="auto"/>
              <w:right w:val="single" w:sz="4" w:space="0" w:color="auto"/>
            </w:tcBorders>
          </w:tcPr>
          <w:p w14:paraId="6B42020A"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E553BA2"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06DD9564"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1CA03C7A"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D67B8A"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Conferma del mandato</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4E218B"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69A51E"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03EA5"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3CA76395"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4A3CC39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Abbiamo una conferma firmata del mandato nei nostri documenti</w:t>
            </w:r>
          </w:p>
        </w:tc>
        <w:tc>
          <w:tcPr>
            <w:tcW w:w="1134" w:type="dxa"/>
            <w:tcBorders>
              <w:top w:val="single" w:sz="4" w:space="0" w:color="auto"/>
              <w:left w:val="single" w:sz="4" w:space="0" w:color="auto"/>
              <w:bottom w:val="single" w:sz="4" w:space="0" w:color="auto"/>
              <w:right w:val="single" w:sz="4" w:space="0" w:color="auto"/>
            </w:tcBorders>
          </w:tcPr>
          <w:p w14:paraId="1828B607"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6CDBDE2B"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49E6F73B"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7562B28D"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CA41A1A"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Per i doppi mandati: abbiamo un'ulteriore conferma del mandato per la partecipazione alla contabilità / altri servizi (vedi modello nel software SQA)?</w:t>
            </w:r>
          </w:p>
        </w:tc>
        <w:tc>
          <w:tcPr>
            <w:tcW w:w="1134" w:type="dxa"/>
            <w:tcBorders>
              <w:top w:val="single" w:sz="4" w:space="0" w:color="auto"/>
              <w:left w:val="single" w:sz="4" w:space="0" w:color="auto"/>
              <w:bottom w:val="single" w:sz="4" w:space="0" w:color="auto"/>
              <w:right w:val="single" w:sz="4" w:space="0" w:color="auto"/>
            </w:tcBorders>
          </w:tcPr>
          <w:p w14:paraId="3E8A4285"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5926B185"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3C7526EA" w14:textId="77777777" w:rsidR="00ED4133" w:rsidRPr="000E27FB" w:rsidRDefault="00ED4133" w:rsidP="00EB2FBE">
            <w:pPr>
              <w:spacing w:before="120" w:after="120"/>
              <w:rPr>
                <w:rFonts w:ascii="KievitPro-Regular" w:hAnsi="KievitPro-Regular" w:cs="Arial"/>
                <w:sz w:val="18"/>
                <w:szCs w:val="18"/>
                <w:lang w:val="it-CH"/>
              </w:rPr>
            </w:pPr>
          </w:p>
        </w:tc>
      </w:tr>
      <w:tr w:rsidR="00ED4133" w:rsidRPr="000E27FB" w14:paraId="0B091E2B" w14:textId="77777777" w:rsidTr="00EB2FBE">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68B95E" w14:textId="77777777" w:rsidR="00ED4133" w:rsidRPr="000E27FB" w:rsidRDefault="00ED4133" w:rsidP="00ED4133">
            <w:pPr>
              <w:numPr>
                <w:ilvl w:val="0"/>
                <w:numId w:val="28"/>
              </w:numPr>
              <w:spacing w:line="276" w:lineRule="auto"/>
              <w:contextualSpacing/>
              <w:jc w:val="left"/>
              <w:rPr>
                <w:rFonts w:ascii="KievitPro-Regular" w:hAnsi="KievitPro-Regular" w:cs="Arial"/>
                <w:b/>
                <w:sz w:val="18"/>
                <w:szCs w:val="18"/>
                <w:lang w:val="it-CH"/>
              </w:rPr>
            </w:pPr>
            <w:r w:rsidRPr="000E27FB">
              <w:rPr>
                <w:rFonts w:ascii="KievitPro-Regular" w:hAnsi="KievitPro-Regular" w:cs="Arial"/>
                <w:b/>
                <w:sz w:val="18"/>
                <w:szCs w:val="18"/>
                <w:lang w:val="it-CH"/>
              </w:rPr>
              <w:t>Conclusioni</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9C2596"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Si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5ACE8C"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No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B2AFA5" w14:textId="77777777" w:rsidR="00ED4133" w:rsidRPr="000E27FB" w:rsidRDefault="00ED4133" w:rsidP="00EB2FBE">
            <w:pPr>
              <w:spacing w:before="120" w:after="120"/>
              <w:rPr>
                <w:rFonts w:ascii="KievitPro-Regular" w:hAnsi="KievitPro-Regular" w:cs="Arial"/>
                <w:b/>
                <w:sz w:val="18"/>
                <w:szCs w:val="18"/>
                <w:lang w:val="it-CH"/>
              </w:rPr>
            </w:pPr>
            <w:r w:rsidRPr="000E27FB">
              <w:rPr>
                <w:rFonts w:ascii="KievitPro-Regular" w:hAnsi="KievitPro-Regular" w:cs="Arial"/>
                <w:b/>
                <w:sz w:val="18"/>
                <w:szCs w:val="18"/>
                <w:lang w:val="it-CH"/>
              </w:rPr>
              <w:t>Osservazioni</w:t>
            </w:r>
          </w:p>
        </w:tc>
      </w:tr>
      <w:tr w:rsidR="00ED4133" w:rsidRPr="000E27FB" w14:paraId="47DC81B4" w14:textId="77777777" w:rsidTr="00EB2FBE">
        <w:tc>
          <w:tcPr>
            <w:tcW w:w="5211" w:type="dxa"/>
            <w:tcBorders>
              <w:top w:val="single" w:sz="4" w:space="0" w:color="auto"/>
              <w:left w:val="single" w:sz="4" w:space="0" w:color="auto"/>
              <w:bottom w:val="single" w:sz="4" w:space="0" w:color="auto"/>
              <w:right w:val="single" w:sz="4" w:space="0" w:color="auto"/>
            </w:tcBorders>
            <w:hideMark/>
          </w:tcPr>
          <w:p w14:paraId="77D70733" w14:textId="77777777" w:rsidR="00ED4133" w:rsidRPr="000E27FB" w:rsidRDefault="00ED4133" w:rsidP="00EB2FBE">
            <w:pPr>
              <w:spacing w:before="120" w:after="120"/>
              <w:rPr>
                <w:rFonts w:ascii="KievitPro-Regular" w:hAnsi="KievitPro-Regular" w:cs="Arial"/>
                <w:sz w:val="18"/>
                <w:szCs w:val="18"/>
                <w:lang w:val="it-CH"/>
              </w:rPr>
            </w:pPr>
            <w:r w:rsidRPr="000E27FB">
              <w:rPr>
                <w:rFonts w:ascii="KievitPro-Regular" w:hAnsi="KievitPro-Regular" w:cs="Arial"/>
                <w:sz w:val="18"/>
                <w:szCs w:val="18"/>
                <w:lang w:val="it-CH"/>
              </w:rPr>
              <w:t>Sono soddisfatte le condizioni per l'esecuzione del mandato?</w:t>
            </w:r>
          </w:p>
        </w:tc>
        <w:tc>
          <w:tcPr>
            <w:tcW w:w="1134" w:type="dxa"/>
            <w:tcBorders>
              <w:top w:val="single" w:sz="4" w:space="0" w:color="auto"/>
              <w:left w:val="single" w:sz="4" w:space="0" w:color="auto"/>
              <w:bottom w:val="single" w:sz="4" w:space="0" w:color="auto"/>
              <w:right w:val="single" w:sz="4" w:space="0" w:color="auto"/>
            </w:tcBorders>
          </w:tcPr>
          <w:p w14:paraId="0F3C167B" w14:textId="77777777" w:rsidR="00ED4133" w:rsidRPr="000E27FB" w:rsidRDefault="00ED4133" w:rsidP="00EB2FBE">
            <w:pPr>
              <w:spacing w:before="120" w:after="120"/>
              <w:rPr>
                <w:rFonts w:ascii="KievitPro-Regular" w:hAnsi="KievitPro-Regular" w:cs="Arial"/>
                <w:sz w:val="18"/>
                <w:szCs w:val="18"/>
                <w:lang w:val="it-CH"/>
              </w:rPr>
            </w:pPr>
          </w:p>
        </w:tc>
        <w:tc>
          <w:tcPr>
            <w:tcW w:w="993" w:type="dxa"/>
            <w:tcBorders>
              <w:top w:val="single" w:sz="4" w:space="0" w:color="auto"/>
              <w:left w:val="single" w:sz="4" w:space="0" w:color="auto"/>
              <w:bottom w:val="single" w:sz="4" w:space="0" w:color="auto"/>
              <w:right w:val="single" w:sz="4" w:space="0" w:color="auto"/>
            </w:tcBorders>
          </w:tcPr>
          <w:p w14:paraId="0F373657" w14:textId="77777777" w:rsidR="00ED4133" w:rsidRPr="000E27FB" w:rsidRDefault="00ED4133" w:rsidP="00EB2FBE">
            <w:pPr>
              <w:spacing w:before="120" w:after="120"/>
              <w:rPr>
                <w:rFonts w:ascii="KievitPro-Regular" w:hAnsi="KievitPro-Regular" w:cs="Arial"/>
                <w:sz w:val="18"/>
                <w:szCs w:val="18"/>
                <w:lang w:val="it-CH"/>
              </w:rPr>
            </w:pPr>
          </w:p>
        </w:tc>
        <w:tc>
          <w:tcPr>
            <w:tcW w:w="2409" w:type="dxa"/>
            <w:tcBorders>
              <w:top w:val="single" w:sz="4" w:space="0" w:color="auto"/>
              <w:left w:val="single" w:sz="4" w:space="0" w:color="auto"/>
              <w:bottom w:val="single" w:sz="4" w:space="0" w:color="auto"/>
              <w:right w:val="single" w:sz="4" w:space="0" w:color="auto"/>
            </w:tcBorders>
          </w:tcPr>
          <w:p w14:paraId="542C7049" w14:textId="77777777" w:rsidR="00ED4133" w:rsidRPr="000E27FB" w:rsidRDefault="00ED4133" w:rsidP="00EB2FBE">
            <w:pPr>
              <w:spacing w:before="120" w:after="120"/>
              <w:rPr>
                <w:rFonts w:ascii="KievitPro-Regular" w:hAnsi="KievitPro-Regular" w:cs="Arial"/>
                <w:sz w:val="18"/>
                <w:szCs w:val="18"/>
                <w:lang w:val="it-CH"/>
              </w:rPr>
            </w:pPr>
          </w:p>
        </w:tc>
      </w:tr>
    </w:tbl>
    <w:p w14:paraId="7168A06B" w14:textId="77777777" w:rsidR="00ED4133" w:rsidRPr="00DB3299" w:rsidRDefault="00ED4133" w:rsidP="00ED4133">
      <w:pPr>
        <w:rPr>
          <w:rFonts w:ascii="KievitPro-Regular" w:hAnsi="KievitPro-Regular" w:cs="Arial"/>
          <w:lang w:val="it-CH"/>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0"/>
      </w:tblGrid>
      <w:tr w:rsidR="00ED4133" w:rsidRPr="00DB3299" w14:paraId="6A1E3357" w14:textId="77777777" w:rsidTr="00EB2FBE">
        <w:tc>
          <w:tcPr>
            <w:tcW w:w="9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F1464" w14:textId="77777777" w:rsidR="00ED4133" w:rsidRPr="00DB3299" w:rsidRDefault="00ED4133" w:rsidP="00EB2FBE">
            <w:pPr>
              <w:spacing w:before="120" w:after="120"/>
              <w:rPr>
                <w:rFonts w:ascii="KievitPro-Regular" w:hAnsi="KievitPro-Regular" w:cs="Arial"/>
                <w:b/>
                <w:lang w:val="it-CH"/>
              </w:rPr>
            </w:pPr>
            <w:r w:rsidRPr="00DB3299">
              <w:rPr>
                <w:rFonts w:ascii="KievitPro-Regular" w:hAnsi="KievitPro-Regular" w:cs="Arial"/>
                <w:b/>
                <w:lang w:val="it-CH"/>
              </w:rPr>
              <w:t>Altre osservazioni</w:t>
            </w:r>
          </w:p>
        </w:tc>
      </w:tr>
      <w:tr w:rsidR="00ED4133" w:rsidRPr="00DB3299" w14:paraId="7A48D2E5" w14:textId="77777777" w:rsidTr="00EB2FBE">
        <w:tc>
          <w:tcPr>
            <w:tcW w:w="9747" w:type="dxa"/>
            <w:tcBorders>
              <w:top w:val="single" w:sz="4" w:space="0" w:color="auto"/>
              <w:left w:val="single" w:sz="4" w:space="0" w:color="auto"/>
              <w:bottom w:val="single" w:sz="4" w:space="0" w:color="auto"/>
              <w:right w:val="single" w:sz="4" w:space="0" w:color="auto"/>
            </w:tcBorders>
          </w:tcPr>
          <w:p w14:paraId="23A489D7" w14:textId="77777777" w:rsidR="00ED4133" w:rsidRPr="00DB3299" w:rsidRDefault="00ED4133" w:rsidP="00EB2FBE">
            <w:pPr>
              <w:spacing w:before="120" w:after="120"/>
              <w:rPr>
                <w:rFonts w:ascii="KievitPro-Regular" w:hAnsi="KievitPro-Regular" w:cs="Arial"/>
                <w:lang w:val="it-CH"/>
              </w:rPr>
            </w:pPr>
          </w:p>
        </w:tc>
      </w:tr>
      <w:tr w:rsidR="00ED4133" w:rsidRPr="00DB3299" w14:paraId="7569A4C8" w14:textId="77777777" w:rsidTr="00EB2FBE">
        <w:tc>
          <w:tcPr>
            <w:tcW w:w="9747" w:type="dxa"/>
            <w:tcBorders>
              <w:top w:val="single" w:sz="4" w:space="0" w:color="auto"/>
              <w:left w:val="single" w:sz="4" w:space="0" w:color="auto"/>
              <w:bottom w:val="single" w:sz="4" w:space="0" w:color="auto"/>
              <w:right w:val="single" w:sz="4" w:space="0" w:color="auto"/>
            </w:tcBorders>
          </w:tcPr>
          <w:p w14:paraId="56CF9A92" w14:textId="77777777" w:rsidR="00ED4133" w:rsidRPr="00DB3299" w:rsidRDefault="00ED4133" w:rsidP="00EB2FBE">
            <w:pPr>
              <w:spacing w:before="120" w:after="120"/>
              <w:rPr>
                <w:rFonts w:ascii="KievitPro-Regular" w:hAnsi="KievitPro-Regular" w:cs="Arial"/>
                <w:lang w:val="it-CH"/>
              </w:rPr>
            </w:pPr>
          </w:p>
        </w:tc>
      </w:tr>
      <w:tr w:rsidR="00ED4133" w:rsidRPr="00DB3299" w14:paraId="6599BA7E" w14:textId="77777777" w:rsidTr="00EB2FBE">
        <w:tc>
          <w:tcPr>
            <w:tcW w:w="9747" w:type="dxa"/>
            <w:tcBorders>
              <w:top w:val="single" w:sz="4" w:space="0" w:color="auto"/>
              <w:left w:val="single" w:sz="4" w:space="0" w:color="auto"/>
              <w:bottom w:val="single" w:sz="4" w:space="0" w:color="auto"/>
              <w:right w:val="single" w:sz="4" w:space="0" w:color="auto"/>
            </w:tcBorders>
          </w:tcPr>
          <w:p w14:paraId="70E39360" w14:textId="77777777" w:rsidR="00ED4133" w:rsidRPr="00DB3299" w:rsidRDefault="00ED4133" w:rsidP="00EB2FBE">
            <w:pPr>
              <w:spacing w:before="120" w:after="120"/>
              <w:rPr>
                <w:rFonts w:ascii="KievitPro-Regular" w:hAnsi="KievitPro-Regular" w:cs="Arial"/>
                <w:lang w:val="it-CH"/>
              </w:rPr>
            </w:pPr>
          </w:p>
        </w:tc>
      </w:tr>
    </w:tbl>
    <w:p w14:paraId="55944DE9" w14:textId="77777777" w:rsidR="00ED4133" w:rsidRPr="00DB3299" w:rsidRDefault="00ED4133" w:rsidP="00ED4133">
      <w:pPr>
        <w:rPr>
          <w:rFonts w:ascii="KievitPro-Regular" w:hAnsi="KievitPro-Regular" w:cs="Arial"/>
          <w:lang w:val="it-CH"/>
        </w:rPr>
      </w:pPr>
    </w:p>
    <w:p w14:paraId="357DD131" w14:textId="77777777" w:rsidR="00ED4133" w:rsidRPr="00DB3299" w:rsidRDefault="00ED4133" w:rsidP="00ED4133">
      <w:pPr>
        <w:rPr>
          <w:rFonts w:ascii="KievitPro-Regular" w:hAnsi="KievitPro-Regular" w:cs="Arial"/>
          <w:lang w:val="it-CH"/>
        </w:rPr>
      </w:pPr>
    </w:p>
    <w:p w14:paraId="36CF0DB5"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Data:</w:t>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Firma:</w:t>
      </w:r>
    </w:p>
    <w:p w14:paraId="404DA87A" w14:textId="77777777" w:rsidR="00ED4133" w:rsidRPr="00DB3299" w:rsidRDefault="00ED4133" w:rsidP="00ED4133">
      <w:pPr>
        <w:rPr>
          <w:rFonts w:ascii="KievitPro-Regular" w:hAnsi="KievitPro-Regular" w:cs="Arial"/>
          <w:lang w:val="it-CH"/>
        </w:rPr>
      </w:pPr>
    </w:p>
    <w:p w14:paraId="7E453459"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w:t>
      </w:r>
      <w:r w:rsidRPr="00DB3299">
        <w:rPr>
          <w:rFonts w:ascii="KievitPro-Regular" w:hAnsi="KievitPro-Regular" w:cs="Arial"/>
          <w:lang w:val="it-CH"/>
        </w:rPr>
        <w:tab/>
      </w:r>
      <w:r w:rsidRPr="00DB3299">
        <w:rPr>
          <w:rFonts w:ascii="KievitPro-Regular" w:hAnsi="KievitPro-Regular" w:cs="Arial"/>
          <w:lang w:val="it-CH"/>
        </w:rPr>
        <w:tab/>
        <w:t>………………………………………………………………………………….</w:t>
      </w:r>
    </w:p>
    <w:p w14:paraId="3FF626FA"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Revisore responsabile</w:t>
      </w:r>
    </w:p>
    <w:p w14:paraId="61422D58" w14:textId="77777777" w:rsidR="00ED4133" w:rsidRPr="00DB3299" w:rsidRDefault="00ED4133" w:rsidP="00ED4133">
      <w:pPr>
        <w:rPr>
          <w:rFonts w:ascii="KievitPro-Regular" w:hAnsi="KievitPro-Regular" w:cs="Arial"/>
          <w:lang w:val="it-CH"/>
        </w:rPr>
      </w:pPr>
    </w:p>
    <w:p w14:paraId="42D271B8" w14:textId="77777777" w:rsidR="00ED4133" w:rsidRPr="00DB3299" w:rsidRDefault="00ED4133" w:rsidP="00ED4133">
      <w:pPr>
        <w:rPr>
          <w:rFonts w:ascii="KievitPro-Regular" w:hAnsi="KievitPro-Regular" w:cs="Arial"/>
          <w:lang w:val="it-CH"/>
        </w:rPr>
      </w:pPr>
    </w:p>
    <w:p w14:paraId="1E617723"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Data:</w:t>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Firma</w:t>
      </w:r>
    </w:p>
    <w:p w14:paraId="1C2444A5" w14:textId="77777777" w:rsidR="00ED4133" w:rsidRPr="00DB3299" w:rsidRDefault="00ED4133" w:rsidP="00ED4133">
      <w:pPr>
        <w:rPr>
          <w:rFonts w:ascii="KievitPro-Regular" w:hAnsi="KievitPro-Regular" w:cs="Arial"/>
          <w:lang w:val="it-CH"/>
        </w:rPr>
      </w:pPr>
    </w:p>
    <w:p w14:paraId="366A39FF" w14:textId="77777777" w:rsidR="00ED4133" w:rsidRPr="00DB3299" w:rsidRDefault="00ED4133" w:rsidP="00ED4133">
      <w:pPr>
        <w:rPr>
          <w:rFonts w:ascii="KievitPro-Regular" w:hAnsi="KievitPro-Regular" w:cs="Arial"/>
          <w:lang w:val="it-CH"/>
        </w:rPr>
      </w:pPr>
      <w:r w:rsidRPr="00DB3299">
        <w:rPr>
          <w:rFonts w:ascii="KievitPro-Regular" w:hAnsi="KievitPro-Regular" w:cs="Arial"/>
          <w:lang w:val="it-CH"/>
        </w:rPr>
        <w:t>……………………………………</w:t>
      </w:r>
      <w:r w:rsidRPr="00DB3299">
        <w:rPr>
          <w:rFonts w:ascii="KievitPro-Regular" w:hAnsi="KievitPro-Regular" w:cs="Arial"/>
          <w:lang w:val="it-CH"/>
        </w:rPr>
        <w:tab/>
      </w:r>
      <w:r w:rsidRPr="00DB3299">
        <w:rPr>
          <w:rFonts w:ascii="KievitPro-Regular" w:hAnsi="KievitPro-Regular" w:cs="Arial"/>
          <w:lang w:val="it-CH"/>
        </w:rPr>
        <w:tab/>
        <w:t>………………………………………………………………………………..</w:t>
      </w:r>
    </w:p>
    <w:p w14:paraId="4704391C" w14:textId="0A9011D1" w:rsidR="00ED4133" w:rsidRDefault="00ED4133" w:rsidP="00ED4133">
      <w:pPr>
        <w:rPr>
          <w:rFonts w:ascii="Avenir LT Std 35 Light" w:hAnsi="Avenir LT Std 35 Light" w:cs="Arial"/>
          <w:lang w:val="it-CH"/>
        </w:rPr>
      </w:pP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r>
      <w:r w:rsidRPr="00DB3299">
        <w:rPr>
          <w:rFonts w:ascii="KievitPro-Regular" w:hAnsi="KievitPro-Regular" w:cs="Arial"/>
          <w:lang w:val="it-CH"/>
        </w:rPr>
        <w:tab/>
        <w:t>Direzione / Direzione della revisione</w:t>
      </w:r>
    </w:p>
    <w:p w14:paraId="5C4D1586" w14:textId="77777777" w:rsidR="00ED4133" w:rsidRDefault="00ED4133" w:rsidP="00ED4133">
      <w:pPr>
        <w:rPr>
          <w:rFonts w:ascii="Avenir LT Std 35 Light" w:hAnsi="Avenir LT Std 35 Light" w:cs="Arial"/>
          <w:lang w:val="it-CH"/>
        </w:rPr>
        <w:sectPr w:rsidR="00ED4133" w:rsidSect="00ED4133">
          <w:pgSz w:w="11907" w:h="16840"/>
          <w:pgMar w:top="1418" w:right="992" w:bottom="851" w:left="1418" w:header="0" w:footer="170" w:gutter="0"/>
          <w:cols w:space="720"/>
          <w:docGrid w:linePitch="272"/>
        </w:sectPr>
      </w:pPr>
    </w:p>
    <w:p w14:paraId="4D6B0E45" w14:textId="05064AED" w:rsidR="00ED4133" w:rsidRPr="000E27FB" w:rsidRDefault="00ED41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5" w:name="_Toc126737278"/>
      <w:r w:rsidRPr="000E27FB">
        <w:rPr>
          <w:rFonts w:ascii="Avenir LT Std 35 Light" w:hAnsi="Avenir LT Std 35 Light"/>
          <w:smallCaps/>
          <w:snapToGrid/>
          <w:sz w:val="24"/>
          <w:szCs w:val="28"/>
          <w:lang w:val="it-CH" w:eastAsia="en-US"/>
        </w:rPr>
        <w:lastRenderedPageBreak/>
        <w:t>5.7</w:t>
      </w:r>
      <w:r w:rsidRPr="000E27FB">
        <w:rPr>
          <w:rFonts w:ascii="Avenir LT Std 35 Light" w:hAnsi="Avenir LT Std 35 Light"/>
          <w:smallCaps/>
          <w:snapToGrid/>
          <w:sz w:val="24"/>
          <w:szCs w:val="28"/>
          <w:lang w:val="it-CH" w:eastAsia="en-US"/>
        </w:rPr>
        <w:tab/>
        <w:t>Lista di controllo dei mandati di revisione</w:t>
      </w:r>
      <w:bookmarkEnd w:id="105"/>
    </w:p>
    <w:p w14:paraId="5D750EB6" w14:textId="77777777" w:rsidR="00ED4133" w:rsidRPr="00ED4133" w:rsidRDefault="00ED4133" w:rsidP="00ED4133">
      <w:pPr>
        <w:rPr>
          <w:lang w:val="it-CH"/>
        </w:rPr>
      </w:pPr>
    </w:p>
    <w:p w14:paraId="1F0F40D7" w14:textId="77777777" w:rsidR="00ED4133" w:rsidRPr="00DB3299" w:rsidRDefault="00ED4133" w:rsidP="00ED4133">
      <w:pPr>
        <w:rPr>
          <w:rFonts w:ascii="KievitPro-Regular" w:hAnsi="KievitPro-Regular"/>
          <w:sz w:val="22"/>
          <w:szCs w:val="22"/>
          <w:lang w:val="it-CH"/>
        </w:rPr>
      </w:pPr>
      <w:r w:rsidRPr="00DB3299">
        <w:rPr>
          <w:rFonts w:ascii="KievitPro-Regular" w:hAnsi="KievitPro-Regular"/>
          <w:b/>
          <w:sz w:val="22"/>
          <w:szCs w:val="22"/>
          <w:lang w:val="it-CH"/>
        </w:rPr>
        <w:t xml:space="preserve">Modello esemplificativo: </w:t>
      </w:r>
    </w:p>
    <w:tbl>
      <w:tblPr>
        <w:tblW w:w="15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8"/>
        <w:gridCol w:w="1473"/>
        <w:gridCol w:w="1309"/>
        <w:gridCol w:w="991"/>
        <w:gridCol w:w="1309"/>
        <w:gridCol w:w="1066"/>
        <w:gridCol w:w="1146"/>
        <w:gridCol w:w="1145"/>
        <w:gridCol w:w="1004"/>
        <w:gridCol w:w="971"/>
        <w:gridCol w:w="1023"/>
        <w:gridCol w:w="1125"/>
        <w:gridCol w:w="1090"/>
      </w:tblGrid>
      <w:tr w:rsidR="00ED4133" w:rsidRPr="00EB2FBE" w14:paraId="1EFC549E" w14:textId="77777777" w:rsidTr="00EB2FBE">
        <w:tc>
          <w:tcPr>
            <w:tcW w:w="1467" w:type="dxa"/>
            <w:tcBorders>
              <w:top w:val="single" w:sz="4" w:space="0" w:color="000000"/>
              <w:left w:val="single" w:sz="4" w:space="0" w:color="000000"/>
              <w:bottom w:val="single" w:sz="4" w:space="0" w:color="000000"/>
              <w:right w:val="single" w:sz="4" w:space="0" w:color="000000"/>
            </w:tcBorders>
            <w:hideMark/>
          </w:tcPr>
          <w:p w14:paraId="27372E6E" w14:textId="77777777" w:rsidR="00ED4133" w:rsidRPr="00DB3299" w:rsidRDefault="00ED4133" w:rsidP="00EB2FBE">
            <w:pPr>
              <w:rPr>
                <w:rFonts w:ascii="KievitPro-Regular" w:hAnsi="KievitPro-Regular"/>
                <w:lang w:val="it-CH"/>
              </w:rPr>
            </w:pPr>
            <w:r w:rsidRPr="00DB3299">
              <w:rPr>
                <w:rFonts w:ascii="KievitPro-Regular" w:hAnsi="KievitPro-Regular"/>
                <w:lang w:val="it-CH"/>
              </w:rPr>
              <w:t>Impresa / Luogo</w:t>
            </w:r>
          </w:p>
        </w:tc>
        <w:tc>
          <w:tcPr>
            <w:tcW w:w="1473" w:type="dxa"/>
            <w:tcBorders>
              <w:top w:val="single" w:sz="4" w:space="0" w:color="000000"/>
              <w:left w:val="single" w:sz="4" w:space="0" w:color="000000"/>
              <w:bottom w:val="single" w:sz="4" w:space="0" w:color="000000"/>
              <w:right w:val="single" w:sz="4" w:space="0" w:color="000000"/>
            </w:tcBorders>
            <w:hideMark/>
          </w:tcPr>
          <w:p w14:paraId="0AFCFFE4" w14:textId="77777777" w:rsidR="00ED4133" w:rsidRPr="00DB3299" w:rsidRDefault="00ED4133" w:rsidP="00EB2FBE">
            <w:pPr>
              <w:rPr>
                <w:rFonts w:ascii="KievitPro-Regular" w:hAnsi="KievitPro-Regular"/>
                <w:lang w:val="it-CH"/>
              </w:rPr>
            </w:pPr>
            <w:r w:rsidRPr="00DB3299">
              <w:rPr>
                <w:rFonts w:ascii="KievitPro-Regular" w:hAnsi="KievitPro-Regular"/>
                <w:lang w:val="it-CH"/>
              </w:rPr>
              <w:t>Rischio (basso, medio, alto)</w:t>
            </w:r>
          </w:p>
        </w:tc>
        <w:tc>
          <w:tcPr>
            <w:tcW w:w="1309" w:type="dxa"/>
            <w:tcBorders>
              <w:top w:val="single" w:sz="4" w:space="0" w:color="000000"/>
              <w:left w:val="single" w:sz="4" w:space="0" w:color="000000"/>
              <w:bottom w:val="single" w:sz="4" w:space="0" w:color="000000"/>
              <w:right w:val="single" w:sz="4" w:space="0" w:color="000000"/>
            </w:tcBorders>
            <w:hideMark/>
          </w:tcPr>
          <w:p w14:paraId="26F17DB6" w14:textId="77777777" w:rsidR="00ED4133" w:rsidRPr="00DB3299" w:rsidRDefault="00ED4133" w:rsidP="00EB2FBE">
            <w:pPr>
              <w:rPr>
                <w:rFonts w:ascii="KievitPro-Regular" w:hAnsi="KievitPro-Regular"/>
                <w:lang w:val="it-CH"/>
              </w:rPr>
            </w:pPr>
            <w:r w:rsidRPr="00DB3299">
              <w:rPr>
                <w:rFonts w:ascii="KievitPro-Regular" w:hAnsi="KievitPro-Regular"/>
                <w:lang w:val="it-CH"/>
              </w:rPr>
              <w:t>Data di chiusura</w:t>
            </w:r>
          </w:p>
        </w:tc>
        <w:tc>
          <w:tcPr>
            <w:tcW w:w="991" w:type="dxa"/>
            <w:tcBorders>
              <w:top w:val="single" w:sz="4" w:space="0" w:color="000000"/>
              <w:left w:val="single" w:sz="4" w:space="0" w:color="000000"/>
              <w:bottom w:val="single" w:sz="4" w:space="0" w:color="000000"/>
              <w:right w:val="single" w:sz="4" w:space="0" w:color="000000"/>
            </w:tcBorders>
            <w:hideMark/>
          </w:tcPr>
          <w:p w14:paraId="19706538" w14:textId="77777777" w:rsidR="00ED4133" w:rsidRPr="00DB3299" w:rsidRDefault="00ED4133" w:rsidP="00EB2FBE">
            <w:pPr>
              <w:rPr>
                <w:rFonts w:ascii="KievitPro-Regular" w:hAnsi="KievitPro-Regular"/>
                <w:lang w:val="it-CH"/>
              </w:rPr>
            </w:pPr>
            <w:r w:rsidRPr="00DB3299">
              <w:rPr>
                <w:rFonts w:ascii="KievitPro-Regular" w:hAnsi="KievitPro-Regular"/>
                <w:lang w:val="it-CH"/>
              </w:rPr>
              <w:t>Tipo di revisione</w:t>
            </w:r>
          </w:p>
        </w:tc>
        <w:tc>
          <w:tcPr>
            <w:tcW w:w="1309" w:type="dxa"/>
            <w:tcBorders>
              <w:top w:val="single" w:sz="4" w:space="0" w:color="000000"/>
              <w:left w:val="single" w:sz="4" w:space="0" w:color="000000"/>
              <w:bottom w:val="single" w:sz="4" w:space="0" w:color="000000"/>
              <w:right w:val="single" w:sz="4" w:space="0" w:color="000000"/>
            </w:tcBorders>
            <w:hideMark/>
          </w:tcPr>
          <w:p w14:paraId="07E7CE5E" w14:textId="77777777" w:rsidR="00ED4133" w:rsidRPr="00DB3299" w:rsidRDefault="00ED4133" w:rsidP="00EB2FBE">
            <w:pPr>
              <w:rPr>
                <w:rFonts w:ascii="KievitPro-Regular" w:hAnsi="KievitPro-Regular"/>
                <w:lang w:val="it-CH"/>
              </w:rPr>
            </w:pPr>
            <w:r w:rsidRPr="00DB3299">
              <w:rPr>
                <w:rFonts w:ascii="KievitPro-Regular" w:hAnsi="KievitPro-Regular"/>
                <w:lang w:val="it-CH"/>
              </w:rPr>
              <w:t>Data del rapporto</w:t>
            </w:r>
          </w:p>
        </w:tc>
        <w:tc>
          <w:tcPr>
            <w:tcW w:w="1066" w:type="dxa"/>
            <w:tcBorders>
              <w:top w:val="single" w:sz="4" w:space="0" w:color="000000"/>
              <w:left w:val="single" w:sz="4" w:space="0" w:color="000000"/>
              <w:bottom w:val="single" w:sz="4" w:space="0" w:color="000000"/>
              <w:right w:val="single" w:sz="4" w:space="0" w:color="000000"/>
            </w:tcBorders>
            <w:hideMark/>
          </w:tcPr>
          <w:p w14:paraId="62E4A864" w14:textId="77777777" w:rsidR="00ED4133" w:rsidRPr="00DB3299" w:rsidRDefault="00ED4133" w:rsidP="00EB2FBE">
            <w:pPr>
              <w:rPr>
                <w:rFonts w:ascii="KievitPro-Regular" w:hAnsi="KievitPro-Regular"/>
                <w:lang w:val="it-CH"/>
              </w:rPr>
            </w:pPr>
            <w:r w:rsidRPr="00DB3299">
              <w:rPr>
                <w:rFonts w:ascii="KievitPro-Regular" w:hAnsi="KievitPro-Regular"/>
                <w:lang w:val="it-CH"/>
              </w:rPr>
              <w:t>Perdita di capitale/ eccessivo indebitamento</w:t>
            </w:r>
          </w:p>
        </w:tc>
        <w:tc>
          <w:tcPr>
            <w:tcW w:w="1146" w:type="dxa"/>
            <w:tcBorders>
              <w:top w:val="single" w:sz="4" w:space="0" w:color="000000"/>
              <w:left w:val="single" w:sz="4" w:space="0" w:color="000000"/>
              <w:bottom w:val="single" w:sz="4" w:space="0" w:color="000000"/>
              <w:right w:val="single" w:sz="4" w:space="0" w:color="000000"/>
            </w:tcBorders>
            <w:hideMark/>
          </w:tcPr>
          <w:p w14:paraId="791CDFAA" w14:textId="77777777" w:rsidR="00ED4133" w:rsidRPr="00DB3299" w:rsidRDefault="00ED4133" w:rsidP="00EB2FBE">
            <w:pPr>
              <w:rPr>
                <w:rFonts w:ascii="KievitPro-Regular" w:hAnsi="KievitPro-Regular"/>
                <w:lang w:val="it-CH"/>
              </w:rPr>
            </w:pPr>
            <w:r w:rsidRPr="00DB3299">
              <w:rPr>
                <w:rFonts w:ascii="KievitPro-Regular" w:hAnsi="KievitPro-Regular"/>
                <w:lang w:val="it-CH"/>
              </w:rPr>
              <w:t>Indipendenza</w:t>
            </w:r>
          </w:p>
        </w:tc>
        <w:tc>
          <w:tcPr>
            <w:tcW w:w="1145" w:type="dxa"/>
            <w:tcBorders>
              <w:top w:val="single" w:sz="4" w:space="0" w:color="000000"/>
              <w:left w:val="single" w:sz="4" w:space="0" w:color="000000"/>
              <w:bottom w:val="single" w:sz="4" w:space="0" w:color="000000"/>
              <w:right w:val="single" w:sz="4" w:space="0" w:color="000000"/>
            </w:tcBorders>
            <w:hideMark/>
          </w:tcPr>
          <w:p w14:paraId="63BD66B4" w14:textId="77777777" w:rsidR="00ED4133" w:rsidRPr="00DB3299" w:rsidRDefault="00ED4133" w:rsidP="00EB2FBE">
            <w:pPr>
              <w:rPr>
                <w:rFonts w:ascii="KievitPro-Regular" w:hAnsi="KievitPro-Regular"/>
                <w:lang w:val="it-CH"/>
              </w:rPr>
            </w:pPr>
            <w:r w:rsidRPr="00DB3299">
              <w:rPr>
                <w:rFonts w:ascii="KievitPro-Regular" w:hAnsi="KievitPro-Regular"/>
                <w:lang w:val="it-CH"/>
              </w:rPr>
              <w:t>Mandati doppi</w:t>
            </w:r>
          </w:p>
        </w:tc>
        <w:tc>
          <w:tcPr>
            <w:tcW w:w="1004" w:type="dxa"/>
            <w:tcBorders>
              <w:top w:val="single" w:sz="4" w:space="0" w:color="000000"/>
              <w:left w:val="single" w:sz="4" w:space="0" w:color="000000"/>
              <w:bottom w:val="single" w:sz="4" w:space="0" w:color="000000"/>
              <w:right w:val="single" w:sz="4" w:space="0" w:color="000000"/>
            </w:tcBorders>
            <w:hideMark/>
          </w:tcPr>
          <w:p w14:paraId="741A0199" w14:textId="77777777" w:rsidR="00ED4133" w:rsidRPr="00DB3299" w:rsidRDefault="00ED4133" w:rsidP="00EB2FBE">
            <w:pPr>
              <w:rPr>
                <w:rFonts w:ascii="KievitPro-Regular" w:hAnsi="KievitPro-Regular"/>
                <w:lang w:val="it-CH"/>
              </w:rPr>
            </w:pPr>
            <w:r w:rsidRPr="00DB3299">
              <w:rPr>
                <w:rFonts w:ascii="KievitPro-Regular" w:hAnsi="KievitPro-Regular"/>
                <w:lang w:val="it-CH"/>
              </w:rPr>
              <w:t>Onorario in CHF</w:t>
            </w:r>
          </w:p>
        </w:tc>
        <w:tc>
          <w:tcPr>
            <w:tcW w:w="971" w:type="dxa"/>
            <w:tcBorders>
              <w:top w:val="single" w:sz="4" w:space="0" w:color="000000"/>
              <w:left w:val="single" w:sz="4" w:space="0" w:color="000000"/>
              <w:bottom w:val="single" w:sz="4" w:space="0" w:color="000000"/>
              <w:right w:val="single" w:sz="4" w:space="0" w:color="000000"/>
            </w:tcBorders>
            <w:hideMark/>
          </w:tcPr>
          <w:p w14:paraId="24BC2E3D" w14:textId="77777777" w:rsidR="00ED4133" w:rsidRPr="00DB3299" w:rsidRDefault="00ED4133" w:rsidP="00EB2FBE">
            <w:pPr>
              <w:rPr>
                <w:rFonts w:ascii="KievitPro-Regular" w:hAnsi="KievitPro-Regular"/>
                <w:lang w:val="it-CH"/>
              </w:rPr>
            </w:pPr>
            <w:r w:rsidRPr="00DB3299">
              <w:rPr>
                <w:rFonts w:ascii="KievitPro-Regular" w:hAnsi="KievitPro-Regular"/>
                <w:lang w:val="it-CH"/>
              </w:rPr>
              <w:t>Revisore responsabile</w:t>
            </w:r>
          </w:p>
        </w:tc>
        <w:tc>
          <w:tcPr>
            <w:tcW w:w="1023" w:type="dxa"/>
            <w:tcBorders>
              <w:top w:val="single" w:sz="4" w:space="0" w:color="000000"/>
              <w:left w:val="single" w:sz="4" w:space="0" w:color="000000"/>
              <w:bottom w:val="single" w:sz="4" w:space="0" w:color="000000"/>
              <w:right w:val="single" w:sz="4" w:space="0" w:color="000000"/>
            </w:tcBorders>
            <w:hideMark/>
          </w:tcPr>
          <w:p w14:paraId="6246A41D" w14:textId="77777777" w:rsidR="00ED4133" w:rsidRPr="00DB3299" w:rsidRDefault="00ED4133" w:rsidP="00EB2FBE">
            <w:pPr>
              <w:rPr>
                <w:rFonts w:ascii="KievitPro-Regular" w:hAnsi="KievitPro-Regular"/>
                <w:color w:val="ED7D31" w:themeColor="accent2"/>
                <w:lang w:val="it-CH"/>
              </w:rPr>
            </w:pPr>
            <w:r w:rsidRPr="00DB3299">
              <w:rPr>
                <w:rFonts w:ascii="KievitPro-Regular" w:hAnsi="KievitPro-Regular"/>
                <w:lang w:val="it-CH"/>
              </w:rPr>
              <w:t>Secondo revisore</w:t>
            </w:r>
          </w:p>
        </w:tc>
        <w:tc>
          <w:tcPr>
            <w:tcW w:w="1125" w:type="dxa"/>
            <w:tcBorders>
              <w:top w:val="single" w:sz="4" w:space="0" w:color="000000"/>
              <w:left w:val="single" w:sz="4" w:space="0" w:color="000000"/>
              <w:bottom w:val="single" w:sz="4" w:space="0" w:color="000000"/>
              <w:right w:val="single" w:sz="4" w:space="0" w:color="000000"/>
            </w:tcBorders>
            <w:hideMark/>
          </w:tcPr>
          <w:p w14:paraId="4B12D117" w14:textId="77777777" w:rsidR="00ED4133" w:rsidRPr="00DB3299" w:rsidRDefault="00ED4133" w:rsidP="00EB2FBE">
            <w:pPr>
              <w:rPr>
                <w:rFonts w:ascii="KievitPro-Regular" w:hAnsi="KievitPro-Regular"/>
                <w:lang w:val="it-CH"/>
              </w:rPr>
            </w:pPr>
            <w:r w:rsidRPr="00DB3299">
              <w:rPr>
                <w:rFonts w:ascii="KievitPro-Regular" w:hAnsi="KievitPro-Regular"/>
                <w:lang w:val="it-CH"/>
              </w:rPr>
              <w:t>Rotazione del revisore (revisione ordinaria)</w:t>
            </w:r>
          </w:p>
        </w:tc>
        <w:tc>
          <w:tcPr>
            <w:tcW w:w="1090" w:type="dxa"/>
            <w:tcBorders>
              <w:top w:val="single" w:sz="4" w:space="0" w:color="000000"/>
              <w:left w:val="single" w:sz="4" w:space="0" w:color="000000"/>
              <w:bottom w:val="single" w:sz="4" w:space="0" w:color="000000"/>
              <w:right w:val="single" w:sz="4" w:space="0" w:color="000000"/>
            </w:tcBorders>
            <w:hideMark/>
          </w:tcPr>
          <w:p w14:paraId="2BEC300E" w14:textId="77777777" w:rsidR="00ED4133" w:rsidRPr="00DB3299" w:rsidRDefault="00ED4133" w:rsidP="00EB2FBE">
            <w:pPr>
              <w:rPr>
                <w:rFonts w:ascii="KievitPro-Regular" w:hAnsi="KievitPro-Regular"/>
                <w:lang w:val="it-CH"/>
              </w:rPr>
            </w:pPr>
            <w:r w:rsidRPr="00DB3299">
              <w:rPr>
                <w:rFonts w:ascii="KievitPro-Regular" w:hAnsi="KievitPro-Regular"/>
                <w:lang w:val="it-CH"/>
              </w:rPr>
              <w:t>Riesame della qualità del mandato</w:t>
            </w:r>
          </w:p>
        </w:tc>
      </w:tr>
      <w:tr w:rsidR="00ED4133" w:rsidRPr="00EB2FBE" w14:paraId="343FA00B"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5146E878"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285130D7"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4DCB7B80"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124DBDB6"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4B73AB49"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2F7EE3E4"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31F96989"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48528017"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2008CB99"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0C776CE0"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5C987B01"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60B3C6F4"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6BE46690" w14:textId="77777777" w:rsidR="00ED4133" w:rsidRPr="00DB3299" w:rsidRDefault="00ED4133" w:rsidP="00EB2FBE">
            <w:pPr>
              <w:rPr>
                <w:rFonts w:ascii="KievitPro-Regular" w:hAnsi="KievitPro-Regular"/>
                <w:lang w:val="it-CH"/>
              </w:rPr>
            </w:pPr>
          </w:p>
        </w:tc>
      </w:tr>
      <w:tr w:rsidR="00ED4133" w:rsidRPr="00EB2FBE" w14:paraId="18F99EFD"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07EB980C"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7434B3DC"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24E50545"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0107F5C5"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296C47E8"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3A0F51BF"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78BFCFC8"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7193276F"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355CD03A"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44AD0122"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3C115ACE"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00D5686E"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16140467" w14:textId="77777777" w:rsidR="00ED4133" w:rsidRPr="00DB3299" w:rsidRDefault="00ED4133" w:rsidP="00EB2FBE">
            <w:pPr>
              <w:rPr>
                <w:rFonts w:ascii="KievitPro-Regular" w:hAnsi="KievitPro-Regular"/>
                <w:lang w:val="it-CH"/>
              </w:rPr>
            </w:pPr>
          </w:p>
        </w:tc>
      </w:tr>
      <w:tr w:rsidR="00ED4133" w:rsidRPr="00EB2FBE" w14:paraId="36970117"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3B551E66"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4B7C0004"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6F196A39"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3D0D0591"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379B6511"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5F810B66"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749F3A2B"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1B8775F7"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36C53F66"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481E0E83"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441F84FE"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083DD01B"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46654864" w14:textId="77777777" w:rsidR="00ED4133" w:rsidRPr="00DB3299" w:rsidRDefault="00ED4133" w:rsidP="00EB2FBE">
            <w:pPr>
              <w:rPr>
                <w:rFonts w:ascii="KievitPro-Regular" w:hAnsi="KievitPro-Regular"/>
                <w:lang w:val="it-CH"/>
              </w:rPr>
            </w:pPr>
          </w:p>
        </w:tc>
      </w:tr>
      <w:tr w:rsidR="00ED4133" w:rsidRPr="00EB2FBE" w14:paraId="03C13B39" w14:textId="77777777" w:rsidTr="00EB2FBE">
        <w:tc>
          <w:tcPr>
            <w:tcW w:w="1467" w:type="dxa"/>
            <w:tcBorders>
              <w:top w:val="single" w:sz="4" w:space="0" w:color="000000"/>
              <w:left w:val="single" w:sz="4" w:space="0" w:color="000000"/>
              <w:bottom w:val="single" w:sz="4" w:space="0" w:color="000000"/>
              <w:right w:val="single" w:sz="4" w:space="0" w:color="000000"/>
            </w:tcBorders>
          </w:tcPr>
          <w:p w14:paraId="5A11A43F" w14:textId="77777777" w:rsidR="00ED4133" w:rsidRPr="00DB3299" w:rsidRDefault="00ED4133" w:rsidP="00EB2FBE">
            <w:pPr>
              <w:rPr>
                <w:rFonts w:ascii="KievitPro-Regular" w:hAnsi="KievitPro-Regular"/>
                <w:lang w:val="it-CH"/>
              </w:rPr>
            </w:pPr>
          </w:p>
        </w:tc>
        <w:tc>
          <w:tcPr>
            <w:tcW w:w="1473" w:type="dxa"/>
            <w:tcBorders>
              <w:top w:val="single" w:sz="4" w:space="0" w:color="000000"/>
              <w:left w:val="single" w:sz="4" w:space="0" w:color="000000"/>
              <w:bottom w:val="single" w:sz="4" w:space="0" w:color="000000"/>
              <w:right w:val="single" w:sz="4" w:space="0" w:color="000000"/>
            </w:tcBorders>
          </w:tcPr>
          <w:p w14:paraId="71D6FD5E"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5FC30259" w14:textId="77777777" w:rsidR="00ED4133" w:rsidRPr="00DB3299" w:rsidRDefault="00ED4133" w:rsidP="00EB2FBE">
            <w:pPr>
              <w:rPr>
                <w:rFonts w:ascii="KievitPro-Regular" w:hAnsi="KievitPro-Regular"/>
                <w:lang w:val="it-CH"/>
              </w:rPr>
            </w:pPr>
          </w:p>
        </w:tc>
        <w:tc>
          <w:tcPr>
            <w:tcW w:w="991" w:type="dxa"/>
            <w:tcBorders>
              <w:top w:val="single" w:sz="4" w:space="0" w:color="000000"/>
              <w:left w:val="single" w:sz="4" w:space="0" w:color="000000"/>
              <w:bottom w:val="single" w:sz="4" w:space="0" w:color="000000"/>
              <w:right w:val="single" w:sz="4" w:space="0" w:color="000000"/>
            </w:tcBorders>
          </w:tcPr>
          <w:p w14:paraId="573DEC45" w14:textId="77777777" w:rsidR="00ED4133" w:rsidRPr="00DB3299" w:rsidRDefault="00ED4133" w:rsidP="00EB2FBE">
            <w:pPr>
              <w:rPr>
                <w:rFonts w:ascii="KievitPro-Regular" w:hAnsi="KievitPro-Regular"/>
                <w:lang w:val="it-CH"/>
              </w:rPr>
            </w:pPr>
          </w:p>
        </w:tc>
        <w:tc>
          <w:tcPr>
            <w:tcW w:w="1309" w:type="dxa"/>
            <w:tcBorders>
              <w:top w:val="single" w:sz="4" w:space="0" w:color="000000"/>
              <w:left w:val="single" w:sz="4" w:space="0" w:color="000000"/>
              <w:bottom w:val="single" w:sz="4" w:space="0" w:color="000000"/>
              <w:right w:val="single" w:sz="4" w:space="0" w:color="000000"/>
            </w:tcBorders>
          </w:tcPr>
          <w:p w14:paraId="7D9DE808" w14:textId="77777777" w:rsidR="00ED4133" w:rsidRPr="00DB3299" w:rsidRDefault="00ED4133" w:rsidP="00EB2FBE">
            <w:pPr>
              <w:rPr>
                <w:rFonts w:ascii="KievitPro-Regular" w:hAnsi="KievitPro-Regular"/>
                <w:lang w:val="it-CH"/>
              </w:rPr>
            </w:pPr>
          </w:p>
        </w:tc>
        <w:tc>
          <w:tcPr>
            <w:tcW w:w="1066" w:type="dxa"/>
            <w:tcBorders>
              <w:top w:val="single" w:sz="4" w:space="0" w:color="000000"/>
              <w:left w:val="single" w:sz="4" w:space="0" w:color="000000"/>
              <w:bottom w:val="single" w:sz="4" w:space="0" w:color="000000"/>
              <w:right w:val="single" w:sz="4" w:space="0" w:color="000000"/>
            </w:tcBorders>
          </w:tcPr>
          <w:p w14:paraId="2DDB7A5C" w14:textId="77777777" w:rsidR="00ED4133" w:rsidRPr="00DB3299" w:rsidRDefault="00ED4133" w:rsidP="00EB2FBE">
            <w:pPr>
              <w:rPr>
                <w:rFonts w:ascii="KievitPro-Regular" w:hAnsi="KievitPro-Regular"/>
                <w:lang w:val="it-CH"/>
              </w:rPr>
            </w:pPr>
          </w:p>
        </w:tc>
        <w:tc>
          <w:tcPr>
            <w:tcW w:w="1146" w:type="dxa"/>
            <w:tcBorders>
              <w:top w:val="single" w:sz="4" w:space="0" w:color="000000"/>
              <w:left w:val="single" w:sz="4" w:space="0" w:color="000000"/>
              <w:bottom w:val="single" w:sz="4" w:space="0" w:color="000000"/>
              <w:right w:val="single" w:sz="4" w:space="0" w:color="000000"/>
            </w:tcBorders>
          </w:tcPr>
          <w:p w14:paraId="57F1F436" w14:textId="77777777" w:rsidR="00ED4133" w:rsidRPr="00DB3299" w:rsidRDefault="00ED4133" w:rsidP="00EB2FBE">
            <w:pPr>
              <w:rPr>
                <w:rFonts w:ascii="KievitPro-Regular" w:hAnsi="KievitPro-Regular"/>
                <w:lang w:val="it-CH"/>
              </w:rPr>
            </w:pPr>
          </w:p>
        </w:tc>
        <w:tc>
          <w:tcPr>
            <w:tcW w:w="1145" w:type="dxa"/>
            <w:tcBorders>
              <w:top w:val="single" w:sz="4" w:space="0" w:color="000000"/>
              <w:left w:val="single" w:sz="4" w:space="0" w:color="000000"/>
              <w:bottom w:val="single" w:sz="4" w:space="0" w:color="000000"/>
              <w:right w:val="single" w:sz="4" w:space="0" w:color="000000"/>
            </w:tcBorders>
          </w:tcPr>
          <w:p w14:paraId="78329ED2" w14:textId="77777777" w:rsidR="00ED4133" w:rsidRPr="00DB3299" w:rsidRDefault="00ED4133" w:rsidP="00EB2FBE">
            <w:pPr>
              <w:rPr>
                <w:rFonts w:ascii="KievitPro-Regular" w:hAnsi="KievitPro-Regular"/>
                <w:lang w:val="it-CH"/>
              </w:rPr>
            </w:pPr>
          </w:p>
        </w:tc>
        <w:tc>
          <w:tcPr>
            <w:tcW w:w="1004" w:type="dxa"/>
            <w:tcBorders>
              <w:top w:val="single" w:sz="4" w:space="0" w:color="000000"/>
              <w:left w:val="single" w:sz="4" w:space="0" w:color="000000"/>
              <w:bottom w:val="single" w:sz="4" w:space="0" w:color="000000"/>
              <w:right w:val="single" w:sz="4" w:space="0" w:color="000000"/>
            </w:tcBorders>
          </w:tcPr>
          <w:p w14:paraId="4903CB03" w14:textId="77777777" w:rsidR="00ED4133" w:rsidRPr="00DB3299" w:rsidRDefault="00ED4133" w:rsidP="00EB2FBE">
            <w:pPr>
              <w:rPr>
                <w:rFonts w:ascii="KievitPro-Regular" w:hAnsi="KievitPro-Regular"/>
                <w:lang w:val="it-CH"/>
              </w:rPr>
            </w:pPr>
          </w:p>
        </w:tc>
        <w:tc>
          <w:tcPr>
            <w:tcW w:w="971" w:type="dxa"/>
            <w:tcBorders>
              <w:top w:val="single" w:sz="4" w:space="0" w:color="000000"/>
              <w:left w:val="single" w:sz="4" w:space="0" w:color="000000"/>
              <w:bottom w:val="single" w:sz="4" w:space="0" w:color="000000"/>
              <w:right w:val="single" w:sz="4" w:space="0" w:color="000000"/>
            </w:tcBorders>
          </w:tcPr>
          <w:p w14:paraId="318FFB25" w14:textId="77777777" w:rsidR="00ED4133" w:rsidRPr="00DB3299" w:rsidRDefault="00ED4133" w:rsidP="00EB2FBE">
            <w:pPr>
              <w:rPr>
                <w:rFonts w:ascii="KievitPro-Regular" w:hAnsi="KievitPro-Regular"/>
                <w:lang w:val="it-CH"/>
              </w:rPr>
            </w:pPr>
          </w:p>
        </w:tc>
        <w:tc>
          <w:tcPr>
            <w:tcW w:w="1023" w:type="dxa"/>
            <w:tcBorders>
              <w:top w:val="single" w:sz="4" w:space="0" w:color="000000"/>
              <w:left w:val="single" w:sz="4" w:space="0" w:color="000000"/>
              <w:bottom w:val="single" w:sz="4" w:space="0" w:color="000000"/>
              <w:right w:val="single" w:sz="4" w:space="0" w:color="000000"/>
            </w:tcBorders>
          </w:tcPr>
          <w:p w14:paraId="7BA29819" w14:textId="77777777" w:rsidR="00ED4133" w:rsidRPr="00DB3299" w:rsidRDefault="00ED4133" w:rsidP="00EB2FBE">
            <w:pPr>
              <w:rPr>
                <w:rFonts w:ascii="KievitPro-Regular" w:hAnsi="KievitPro-Regular"/>
                <w:highlight w:val="green"/>
                <w:lang w:val="it-CH"/>
              </w:rPr>
            </w:pPr>
          </w:p>
        </w:tc>
        <w:tc>
          <w:tcPr>
            <w:tcW w:w="1125" w:type="dxa"/>
            <w:tcBorders>
              <w:top w:val="single" w:sz="4" w:space="0" w:color="000000"/>
              <w:left w:val="single" w:sz="4" w:space="0" w:color="000000"/>
              <w:bottom w:val="single" w:sz="4" w:space="0" w:color="000000"/>
              <w:right w:val="single" w:sz="4" w:space="0" w:color="000000"/>
            </w:tcBorders>
          </w:tcPr>
          <w:p w14:paraId="27B1F93C" w14:textId="77777777" w:rsidR="00ED4133" w:rsidRPr="00DB3299" w:rsidRDefault="00ED4133" w:rsidP="00EB2FBE">
            <w:pPr>
              <w:rPr>
                <w:rFonts w:ascii="KievitPro-Regular" w:hAnsi="KievitPro-Regular"/>
                <w:lang w:val="it-CH"/>
              </w:rPr>
            </w:pPr>
          </w:p>
        </w:tc>
        <w:tc>
          <w:tcPr>
            <w:tcW w:w="1090" w:type="dxa"/>
            <w:tcBorders>
              <w:top w:val="single" w:sz="4" w:space="0" w:color="000000"/>
              <w:left w:val="single" w:sz="4" w:space="0" w:color="000000"/>
              <w:bottom w:val="single" w:sz="4" w:space="0" w:color="000000"/>
              <w:right w:val="single" w:sz="4" w:space="0" w:color="000000"/>
            </w:tcBorders>
          </w:tcPr>
          <w:p w14:paraId="71B339E7" w14:textId="77777777" w:rsidR="00ED4133" w:rsidRPr="00DB3299" w:rsidRDefault="00ED4133" w:rsidP="00EB2FBE">
            <w:pPr>
              <w:rPr>
                <w:rFonts w:ascii="KievitPro-Regular" w:hAnsi="KievitPro-Regular"/>
                <w:lang w:val="it-CH"/>
              </w:rPr>
            </w:pPr>
          </w:p>
        </w:tc>
      </w:tr>
    </w:tbl>
    <w:p w14:paraId="2709A731" w14:textId="77777777" w:rsidR="00ED4133" w:rsidRPr="00DB3299" w:rsidRDefault="00ED4133" w:rsidP="00ED4133">
      <w:pPr>
        <w:rPr>
          <w:rFonts w:ascii="KievitPro-Regular" w:hAnsi="KievitPro-Regular"/>
          <w:sz w:val="24"/>
          <w:szCs w:val="24"/>
          <w:lang w:val="it-CH"/>
        </w:rPr>
      </w:pPr>
    </w:p>
    <w:p w14:paraId="385FC018"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r w:rsidRPr="00DB3299">
        <w:rPr>
          <w:rFonts w:ascii="KievitPro-Regular" w:hAnsi="KievitPro-Regular" w:cs="Courier New"/>
          <w:b/>
          <w:color w:val="212121"/>
          <w:sz w:val="22"/>
          <w:szCs w:val="22"/>
          <w:lang w:val="it-CH" w:eastAsia="it-IT"/>
        </w:rPr>
        <w:t>Nota</w:t>
      </w:r>
      <w:r w:rsidRPr="00DB3299">
        <w:rPr>
          <w:rFonts w:ascii="KievitPro-Regular" w:hAnsi="KievitPro-Regular" w:cs="Courier New"/>
          <w:color w:val="212121"/>
          <w:sz w:val="22"/>
          <w:szCs w:val="22"/>
          <w:lang w:val="it-CH" w:eastAsia="it-IT"/>
        </w:rPr>
        <w:t>: controllo della completezza prima dell'inizio della fase di revisione / Segue quindi un aggiornamento continuo delle informazioni.</w:t>
      </w:r>
    </w:p>
    <w:p w14:paraId="4C592286"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p>
    <w:p w14:paraId="128E454D"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p>
    <w:p w14:paraId="77054D8C" w14:textId="77777777" w:rsidR="00ED4133" w:rsidRPr="00DB3299" w:rsidRDefault="00ED4133" w:rsidP="00E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22"/>
          <w:szCs w:val="22"/>
          <w:lang w:val="it-CH" w:eastAsia="it-IT"/>
        </w:rPr>
      </w:pPr>
    </w:p>
    <w:p w14:paraId="570E3BD9" w14:textId="77777777" w:rsidR="00F85533" w:rsidRPr="00DB3299" w:rsidRDefault="00ED4133" w:rsidP="00ED4133">
      <w:pPr>
        <w:rPr>
          <w:rFonts w:ascii="KievitPro-Regular" w:hAnsi="KievitPro-Regular" w:cs="Courier New"/>
          <w:color w:val="212121"/>
          <w:sz w:val="24"/>
          <w:szCs w:val="24"/>
          <w:lang w:val="it-CH" w:eastAsia="it-IT"/>
        </w:rPr>
        <w:sectPr w:rsidR="00F85533" w:rsidRPr="00DB3299" w:rsidSect="00ED4133">
          <w:footerReference w:type="default" r:id="rId15"/>
          <w:pgSz w:w="16840" w:h="11907" w:orient="landscape"/>
          <w:pgMar w:top="1418" w:right="1418" w:bottom="992" w:left="851" w:header="0" w:footer="170" w:gutter="0"/>
          <w:cols w:space="720"/>
          <w:docGrid w:linePitch="272"/>
        </w:sectPr>
      </w:pPr>
      <w:r w:rsidRPr="00DB3299">
        <w:rPr>
          <w:rFonts w:ascii="KievitPro-Regular" w:hAnsi="KievitPro-Regular" w:cs="Courier New"/>
          <w:color w:val="212121"/>
          <w:sz w:val="22"/>
          <w:szCs w:val="22"/>
          <w:lang w:val="it-CH" w:eastAsia="it-IT"/>
        </w:rPr>
        <w:t>Data: __________________________________________          Firma: _________________________________________</w:t>
      </w:r>
      <w:r w:rsidRPr="00DB3299">
        <w:rPr>
          <w:rFonts w:ascii="KievitPro-Regular" w:hAnsi="KievitPro-Regular" w:cs="Courier New"/>
          <w:color w:val="212121"/>
          <w:sz w:val="24"/>
          <w:szCs w:val="24"/>
          <w:lang w:val="it-CH" w:eastAsia="it-IT"/>
        </w:rPr>
        <w:t xml:space="preserve">   _____________________________________________________</w:t>
      </w:r>
    </w:p>
    <w:p w14:paraId="1EBC971E"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06" w:name="_Toc126737279"/>
      <w:bookmarkStart w:id="107" w:name="_Toc331510697"/>
      <w:bookmarkStart w:id="108" w:name="_Toc353376102"/>
      <w:bookmarkStart w:id="109" w:name="_Toc359071947"/>
      <w:r w:rsidRPr="000E27FB">
        <w:rPr>
          <w:rFonts w:ascii="Avenir LT Std 35 Light" w:hAnsi="Avenir LT Std 35 Light"/>
          <w:smallCaps/>
          <w:snapToGrid/>
          <w:sz w:val="24"/>
          <w:szCs w:val="28"/>
          <w:lang w:val="it-CH" w:eastAsia="en-US"/>
        </w:rPr>
        <w:lastRenderedPageBreak/>
        <w:t>5.8</w:t>
      </w:r>
      <w:r w:rsidRPr="000E27FB">
        <w:rPr>
          <w:rFonts w:ascii="Avenir LT Std 35 Light" w:hAnsi="Avenir LT Std 35 Light"/>
          <w:smallCaps/>
          <w:snapToGrid/>
          <w:sz w:val="24"/>
          <w:szCs w:val="28"/>
          <w:lang w:val="it-CH" w:eastAsia="en-US"/>
        </w:rPr>
        <w:tab/>
        <w:t>Lista dei documenti necessari per il sistema della garanzia della qualità</w:t>
      </w:r>
      <w:bookmarkEnd w:id="106"/>
      <w:r w:rsidRPr="000E27FB">
        <w:rPr>
          <w:rFonts w:ascii="Avenir LT Std 35 Light" w:hAnsi="Avenir LT Std 35 Light"/>
          <w:smallCaps/>
          <w:snapToGrid/>
          <w:sz w:val="24"/>
          <w:szCs w:val="28"/>
          <w:lang w:val="it-CH" w:eastAsia="en-US"/>
        </w:rPr>
        <w:t xml:space="preserve"> </w:t>
      </w:r>
      <w:bookmarkEnd w:id="107"/>
      <w:bookmarkEnd w:id="108"/>
      <w:bookmarkEnd w:id="109"/>
    </w:p>
    <w:p w14:paraId="15FCB590" w14:textId="77777777" w:rsidR="00DB3299" w:rsidRDefault="00DB3299" w:rsidP="00F85533">
      <w:pPr>
        <w:rPr>
          <w:rFonts w:ascii="Avenir LT Std 35 Light" w:hAnsi="Avenir LT Std 35 Light"/>
          <w:lang w:val="it-CH"/>
        </w:rPr>
      </w:pPr>
    </w:p>
    <w:p w14:paraId="43FE2C2B" w14:textId="4B51A390" w:rsidR="00F85533" w:rsidRPr="00DB3299" w:rsidRDefault="00F85533" w:rsidP="00DB3299">
      <w:pPr>
        <w:spacing w:line="276" w:lineRule="auto"/>
        <w:rPr>
          <w:rFonts w:ascii="KievitPro-Regular" w:hAnsi="KievitPro-Regular"/>
          <w:sz w:val="22"/>
          <w:szCs w:val="22"/>
          <w:lang w:val="it-CH"/>
        </w:rPr>
      </w:pPr>
      <w:r w:rsidRPr="00DB3299">
        <w:rPr>
          <w:rFonts w:ascii="KievitPro-Regular" w:hAnsi="KievitPro-Regular"/>
          <w:sz w:val="22"/>
          <w:szCs w:val="22"/>
          <w:lang w:val="it-CH"/>
        </w:rPr>
        <w:t>Nella seguente lista sono elencati tutti gli allegati e le checklist determinanti per il sistema di sicurezza e qualità della nostra società di revisione, i quali devono essere anche implementati.</w:t>
      </w:r>
    </w:p>
    <w:p w14:paraId="10ACC6EF" w14:textId="77777777" w:rsidR="00DB3299" w:rsidRPr="002858E4" w:rsidRDefault="00DB3299" w:rsidP="00F85533">
      <w:pPr>
        <w:rPr>
          <w:rFonts w:ascii="Avenir LT Std 35 Light" w:hAnsi="Avenir LT Std 35 Light"/>
          <w:lang w:val="it-CH"/>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3541"/>
        <w:gridCol w:w="992"/>
        <w:gridCol w:w="1276"/>
        <w:gridCol w:w="1201"/>
      </w:tblGrid>
      <w:tr w:rsidR="00F85533" w:rsidRPr="00DB3299" w14:paraId="47B695D8" w14:textId="77777777" w:rsidTr="00EB2FBE">
        <w:trPr>
          <w:trHeight w:val="769"/>
        </w:trPr>
        <w:tc>
          <w:tcPr>
            <w:tcW w:w="2802" w:type="dxa"/>
            <w:tcBorders>
              <w:top w:val="single" w:sz="4" w:space="0" w:color="auto"/>
              <w:left w:val="single" w:sz="4" w:space="0" w:color="auto"/>
              <w:bottom w:val="single" w:sz="4" w:space="0" w:color="auto"/>
              <w:right w:val="single" w:sz="4" w:space="0" w:color="auto"/>
            </w:tcBorders>
            <w:shd w:val="clear" w:color="auto" w:fill="A6A6A6"/>
            <w:hideMark/>
          </w:tcPr>
          <w:p w14:paraId="08F15866" w14:textId="77777777" w:rsidR="00F85533" w:rsidRPr="00DB3299" w:rsidRDefault="00F85533" w:rsidP="00EB2FBE">
            <w:pPr>
              <w:rPr>
                <w:rFonts w:ascii="KievitPro-Regular" w:hAnsi="KievitPro-Regular"/>
                <w:lang w:val="it-CH"/>
              </w:rPr>
            </w:pPr>
            <w:r w:rsidRPr="00DB3299">
              <w:rPr>
                <w:rFonts w:ascii="KievitPro-Regular" w:hAnsi="KievitPro-Regular"/>
                <w:lang w:val="it-CH"/>
              </w:rPr>
              <w:t>Descrizione</w:t>
            </w:r>
          </w:p>
        </w:tc>
        <w:tc>
          <w:tcPr>
            <w:tcW w:w="3543" w:type="dxa"/>
            <w:tcBorders>
              <w:top w:val="single" w:sz="4" w:space="0" w:color="auto"/>
              <w:left w:val="single" w:sz="4" w:space="0" w:color="auto"/>
              <w:bottom w:val="single" w:sz="4" w:space="0" w:color="auto"/>
              <w:right w:val="single" w:sz="4" w:space="0" w:color="auto"/>
            </w:tcBorders>
            <w:shd w:val="clear" w:color="auto" w:fill="A6A6A6"/>
            <w:hideMark/>
          </w:tcPr>
          <w:p w14:paraId="2DD8EE50" w14:textId="77777777" w:rsidR="00F85533" w:rsidRPr="00DB3299" w:rsidRDefault="00F85533" w:rsidP="00EB2FBE">
            <w:pPr>
              <w:rPr>
                <w:rFonts w:ascii="KievitPro-Regular" w:hAnsi="KievitPro-Regular"/>
                <w:lang w:val="it-CH"/>
              </w:rPr>
            </w:pPr>
            <w:r w:rsidRPr="00DB3299">
              <w:rPr>
                <w:rFonts w:ascii="KievitPro-Regular" w:hAnsi="KievitPro-Regular"/>
                <w:lang w:val="it-CH"/>
              </w:rPr>
              <w:t>Luogo di archiviazione</w:t>
            </w:r>
          </w:p>
        </w:tc>
        <w:tc>
          <w:tcPr>
            <w:tcW w:w="992" w:type="dxa"/>
            <w:tcBorders>
              <w:top w:val="single" w:sz="4" w:space="0" w:color="auto"/>
              <w:left w:val="single" w:sz="4" w:space="0" w:color="auto"/>
              <w:bottom w:val="single" w:sz="4" w:space="0" w:color="auto"/>
              <w:right w:val="single" w:sz="4" w:space="0" w:color="auto"/>
            </w:tcBorders>
            <w:shd w:val="clear" w:color="auto" w:fill="A6A6A6"/>
            <w:hideMark/>
          </w:tcPr>
          <w:p w14:paraId="763B41CF"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Riferimento </w:t>
            </w:r>
          </w:p>
        </w:tc>
        <w:tc>
          <w:tcPr>
            <w:tcW w:w="1276" w:type="dxa"/>
            <w:tcBorders>
              <w:top w:val="single" w:sz="4" w:space="0" w:color="auto"/>
              <w:left w:val="single" w:sz="4" w:space="0" w:color="auto"/>
              <w:bottom w:val="single" w:sz="4" w:space="0" w:color="auto"/>
              <w:right w:val="single" w:sz="4" w:space="0" w:color="auto"/>
            </w:tcBorders>
            <w:shd w:val="clear" w:color="auto" w:fill="A6A6A6"/>
            <w:hideMark/>
          </w:tcPr>
          <w:p w14:paraId="5A589EBB" w14:textId="77777777" w:rsidR="00F85533" w:rsidRPr="00DB3299" w:rsidRDefault="00F85533" w:rsidP="00EB2FBE">
            <w:pPr>
              <w:rPr>
                <w:rFonts w:ascii="KievitPro-Regular" w:hAnsi="KievitPro-Regular"/>
                <w:lang w:val="it-CH"/>
              </w:rPr>
            </w:pPr>
            <w:r w:rsidRPr="00DB3299">
              <w:rPr>
                <w:rFonts w:ascii="KievitPro-Regular" w:hAnsi="KievitPro-Regular"/>
                <w:lang w:val="it-CH"/>
              </w:rPr>
              <w:t>Aggiornato</w:t>
            </w:r>
          </w:p>
        </w:tc>
        <w:tc>
          <w:tcPr>
            <w:tcW w:w="1201" w:type="dxa"/>
            <w:tcBorders>
              <w:top w:val="single" w:sz="4" w:space="0" w:color="auto"/>
              <w:left w:val="single" w:sz="4" w:space="0" w:color="auto"/>
              <w:bottom w:val="single" w:sz="4" w:space="0" w:color="auto"/>
              <w:right w:val="single" w:sz="4" w:space="0" w:color="auto"/>
            </w:tcBorders>
            <w:shd w:val="clear" w:color="auto" w:fill="A6A6A6"/>
            <w:hideMark/>
          </w:tcPr>
          <w:p w14:paraId="14CE4194" w14:textId="77777777" w:rsidR="00F85533" w:rsidRPr="00DB3299" w:rsidRDefault="00F85533" w:rsidP="00EB2FBE">
            <w:pPr>
              <w:rPr>
                <w:rFonts w:ascii="KievitPro-Regular" w:hAnsi="KievitPro-Regular"/>
                <w:lang w:val="it-CH"/>
              </w:rPr>
            </w:pPr>
            <w:r w:rsidRPr="00DB3299">
              <w:rPr>
                <w:rFonts w:ascii="KievitPro-Regular" w:hAnsi="KievitPro-Regular"/>
                <w:lang w:val="it-CH"/>
              </w:rPr>
              <w:t>Responsabile</w:t>
            </w:r>
          </w:p>
        </w:tc>
      </w:tr>
      <w:tr w:rsidR="00F85533" w:rsidRPr="00DB3299" w14:paraId="523C96FE"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29F5975" w14:textId="77777777" w:rsidR="00F85533" w:rsidRPr="00DB3299" w:rsidRDefault="00F85533" w:rsidP="00EB2FBE">
            <w:pPr>
              <w:rPr>
                <w:rFonts w:ascii="KievitPro-Regular" w:hAnsi="KievitPro-Regular"/>
                <w:lang w:val="it-CH"/>
              </w:rPr>
            </w:pPr>
            <w:r w:rsidRPr="00DB3299">
              <w:rPr>
                <w:rFonts w:ascii="KievitPro-Regular" w:hAnsi="KievitPro-Regular"/>
                <w:lang w:val="it-CH"/>
              </w:rPr>
              <w:t>Organigramma</w:t>
            </w:r>
          </w:p>
        </w:tc>
        <w:tc>
          <w:tcPr>
            <w:tcW w:w="3543" w:type="dxa"/>
            <w:tcBorders>
              <w:top w:val="single" w:sz="4" w:space="0" w:color="auto"/>
              <w:left w:val="single" w:sz="4" w:space="0" w:color="auto"/>
              <w:bottom w:val="single" w:sz="4" w:space="0" w:color="auto"/>
              <w:right w:val="single" w:sz="4" w:space="0" w:color="auto"/>
            </w:tcBorders>
            <w:hideMark/>
          </w:tcPr>
          <w:p w14:paraId="7637BD1C" w14:textId="77777777" w:rsidR="00F85533" w:rsidRPr="00DB3299" w:rsidRDefault="00F85533" w:rsidP="00EB2FBE">
            <w:pPr>
              <w:rPr>
                <w:rFonts w:ascii="KievitPro-Regular" w:hAnsi="KievitPro-Regular"/>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535ED2AF"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77C5529F"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67FF8FCD" w14:textId="77777777" w:rsidR="00F85533" w:rsidRPr="00DB3299" w:rsidRDefault="00F85533" w:rsidP="00EB2FBE">
            <w:pPr>
              <w:rPr>
                <w:rFonts w:ascii="KievitPro-Regular" w:hAnsi="KievitPro-Regular"/>
                <w:lang w:val="it-CH"/>
              </w:rPr>
            </w:pPr>
          </w:p>
        </w:tc>
      </w:tr>
      <w:tr w:rsidR="00F85533" w:rsidRPr="00EB2FBE" w14:paraId="5D0A81B6"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79798136"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Attestazione di appartenenza all’associazione TREUHAND|SUISSE e EXPERTsuisse e attestazione di abilitazione in quanto società di revisione </w:t>
            </w:r>
          </w:p>
        </w:tc>
        <w:tc>
          <w:tcPr>
            <w:tcW w:w="3543" w:type="dxa"/>
            <w:tcBorders>
              <w:top w:val="single" w:sz="4" w:space="0" w:color="auto"/>
              <w:left w:val="single" w:sz="4" w:space="0" w:color="auto"/>
              <w:bottom w:val="single" w:sz="4" w:space="0" w:color="auto"/>
              <w:right w:val="single" w:sz="4" w:space="0" w:color="auto"/>
            </w:tcBorders>
            <w:hideMark/>
          </w:tcPr>
          <w:p w14:paraId="455EE6E2" w14:textId="77777777" w:rsidR="00F85533" w:rsidRPr="00DB3299" w:rsidRDefault="0041024D" w:rsidP="00EB2FBE">
            <w:pPr>
              <w:rPr>
                <w:rFonts w:ascii="KievitPro-Regular" w:hAnsi="KievitPro-Regular"/>
                <w:lang w:val="it-CH"/>
              </w:rPr>
            </w:pPr>
            <w:hyperlink r:id="rId16" w:history="1">
              <w:r w:rsidR="00F85533" w:rsidRPr="00DB3299">
                <w:rPr>
                  <w:rStyle w:val="Hyperlink"/>
                  <w:rFonts w:ascii="KievitPro-Regular" w:hAnsi="KievitPro-Regular"/>
                  <w:lang w:val="it-CH"/>
                </w:rPr>
                <w:t>www.expertsuisse.ch</w:t>
              </w:r>
            </w:hyperlink>
            <w:r w:rsidR="00F85533" w:rsidRPr="00DB3299">
              <w:rPr>
                <w:rFonts w:ascii="KievitPro-Regular" w:hAnsi="KievitPro-Regular"/>
                <w:lang w:val="it-CH"/>
              </w:rPr>
              <w:t xml:space="preserve">  / </w:t>
            </w:r>
            <w:hyperlink r:id="rId17" w:history="1">
              <w:r w:rsidR="00F85533" w:rsidRPr="00DB3299">
                <w:rPr>
                  <w:rStyle w:val="Hyperlink"/>
                  <w:rFonts w:ascii="KievitPro-Regular" w:hAnsi="KievitPro-Regular"/>
                  <w:lang w:val="it-CH"/>
                </w:rPr>
                <w:t>www.revisionsaufsichtsbehoerde.ch</w:t>
              </w:r>
            </w:hyperlink>
            <w:r w:rsidR="00F85533" w:rsidRPr="00DB3299">
              <w:rPr>
                <w:rFonts w:ascii="KievitPro-Regular" w:hAnsi="KievitPro-Regular"/>
                <w:lang w:val="it-CH"/>
              </w:rPr>
              <w:t xml:space="preserve">  </w:t>
            </w:r>
          </w:p>
        </w:tc>
        <w:tc>
          <w:tcPr>
            <w:tcW w:w="992" w:type="dxa"/>
            <w:tcBorders>
              <w:top w:val="single" w:sz="4" w:space="0" w:color="auto"/>
              <w:left w:val="single" w:sz="4" w:space="0" w:color="auto"/>
              <w:bottom w:val="single" w:sz="4" w:space="0" w:color="auto"/>
              <w:right w:val="single" w:sz="4" w:space="0" w:color="auto"/>
            </w:tcBorders>
          </w:tcPr>
          <w:p w14:paraId="64CC4617"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0BA9BFF8"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A3637E2" w14:textId="77777777" w:rsidR="00F85533" w:rsidRPr="00DB3299" w:rsidRDefault="00F85533" w:rsidP="00EB2FBE">
            <w:pPr>
              <w:rPr>
                <w:rFonts w:ascii="KievitPro-Regular" w:hAnsi="KievitPro-Regular"/>
                <w:lang w:val="it-CH"/>
              </w:rPr>
            </w:pPr>
          </w:p>
        </w:tc>
      </w:tr>
      <w:tr w:rsidR="00F85533" w:rsidRPr="00DB3299" w14:paraId="047C9632"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771F0E30" w14:textId="77777777" w:rsidR="00F85533" w:rsidRPr="00DB3299" w:rsidRDefault="00F85533" w:rsidP="00EB2FBE">
            <w:pPr>
              <w:rPr>
                <w:rFonts w:ascii="KievitPro-Regular" w:hAnsi="KievitPro-Regular"/>
                <w:lang w:val="it-CH"/>
              </w:rPr>
            </w:pPr>
            <w:r w:rsidRPr="00DB3299">
              <w:rPr>
                <w:rFonts w:ascii="KievitPro-Regular" w:hAnsi="KievitPro-Regular"/>
                <w:lang w:val="it-CH"/>
              </w:rPr>
              <w:t>Regole di deontologia professionale</w:t>
            </w:r>
          </w:p>
        </w:tc>
        <w:tc>
          <w:tcPr>
            <w:tcW w:w="3543" w:type="dxa"/>
            <w:tcBorders>
              <w:top w:val="single" w:sz="4" w:space="0" w:color="auto"/>
              <w:left w:val="single" w:sz="4" w:space="0" w:color="auto"/>
              <w:bottom w:val="single" w:sz="4" w:space="0" w:color="auto"/>
              <w:right w:val="single" w:sz="4" w:space="0" w:color="auto"/>
            </w:tcBorders>
            <w:hideMark/>
          </w:tcPr>
          <w:p w14:paraId="7D7036ED" w14:textId="77777777" w:rsidR="00F85533" w:rsidRPr="00DB3299" w:rsidRDefault="00F85533" w:rsidP="00EB2FBE">
            <w:pPr>
              <w:rPr>
                <w:rFonts w:ascii="KievitPro-Regular" w:hAnsi="KievitPro-Regular"/>
                <w:lang w:val="it-CH"/>
              </w:rPr>
            </w:pPr>
            <w:r w:rsidRPr="00DB3299">
              <w:rPr>
                <w:rFonts w:ascii="KievitPro-Regular" w:hAnsi="KievitPro-Regular"/>
                <w:lang w:val="it-CH"/>
              </w:rPr>
              <w:t>www.treuhandkammer.ch</w:t>
            </w:r>
          </w:p>
        </w:tc>
        <w:tc>
          <w:tcPr>
            <w:tcW w:w="992" w:type="dxa"/>
            <w:tcBorders>
              <w:top w:val="single" w:sz="4" w:space="0" w:color="auto"/>
              <w:left w:val="single" w:sz="4" w:space="0" w:color="auto"/>
              <w:bottom w:val="single" w:sz="4" w:space="0" w:color="auto"/>
              <w:right w:val="single" w:sz="4" w:space="0" w:color="auto"/>
            </w:tcBorders>
          </w:tcPr>
          <w:p w14:paraId="54F82D17"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4FE6A319"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5E0BC475" w14:textId="77777777" w:rsidR="00F85533" w:rsidRPr="00DB3299" w:rsidRDefault="00F85533" w:rsidP="00EB2FBE">
            <w:pPr>
              <w:rPr>
                <w:rFonts w:ascii="KievitPro-Regular" w:hAnsi="KievitPro-Regular"/>
                <w:lang w:val="it-CH"/>
              </w:rPr>
            </w:pPr>
          </w:p>
        </w:tc>
      </w:tr>
      <w:tr w:rsidR="00F85533" w:rsidRPr="00DB3299" w14:paraId="1BB3B688"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3A9ABFE6" w14:textId="77777777" w:rsidR="00F85533" w:rsidRPr="00DB3299" w:rsidRDefault="00F85533" w:rsidP="00EB2FBE">
            <w:pPr>
              <w:rPr>
                <w:rFonts w:ascii="KievitPro-Regular" w:hAnsi="KievitPro-Regular"/>
                <w:lang w:val="it-CH"/>
              </w:rPr>
            </w:pPr>
            <w:r w:rsidRPr="00DB3299">
              <w:rPr>
                <w:rFonts w:ascii="KievitPro-Regular" w:hAnsi="KievitPro-Regular"/>
                <w:lang w:val="it-CH"/>
              </w:rPr>
              <w:t>Conferma annuale di indipendenza</w:t>
            </w:r>
          </w:p>
        </w:tc>
        <w:tc>
          <w:tcPr>
            <w:tcW w:w="3543" w:type="dxa"/>
            <w:tcBorders>
              <w:top w:val="single" w:sz="4" w:space="0" w:color="auto"/>
              <w:left w:val="single" w:sz="4" w:space="0" w:color="auto"/>
              <w:bottom w:val="single" w:sz="4" w:space="0" w:color="auto"/>
              <w:right w:val="single" w:sz="4" w:space="0" w:color="auto"/>
            </w:tcBorders>
            <w:hideMark/>
          </w:tcPr>
          <w:p w14:paraId="5DC0BC2F" w14:textId="77777777" w:rsidR="00F85533" w:rsidRPr="00DB3299" w:rsidRDefault="00F85533" w:rsidP="00EB2FBE">
            <w:pPr>
              <w:rPr>
                <w:rFonts w:ascii="KievitPro-Regular" w:hAnsi="KievitPro-Regular"/>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46004AEA"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1446C5CE"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7A1F3EA8" w14:textId="77777777" w:rsidR="00F85533" w:rsidRPr="00DB3299" w:rsidRDefault="00F85533" w:rsidP="00EB2FBE">
            <w:pPr>
              <w:rPr>
                <w:rFonts w:ascii="KievitPro-Regular" w:hAnsi="KievitPro-Regular"/>
                <w:lang w:val="it-CH"/>
              </w:rPr>
            </w:pPr>
          </w:p>
        </w:tc>
      </w:tr>
      <w:tr w:rsidR="00F85533" w:rsidRPr="00DB3299" w14:paraId="402392CF"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586E50DA"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Attestato di capacità e di aggiornamento professionale dei collaboratori di revisione </w:t>
            </w:r>
          </w:p>
        </w:tc>
        <w:tc>
          <w:tcPr>
            <w:tcW w:w="3543" w:type="dxa"/>
            <w:tcBorders>
              <w:top w:val="single" w:sz="4" w:space="0" w:color="auto"/>
              <w:left w:val="single" w:sz="4" w:space="0" w:color="auto"/>
              <w:bottom w:val="single" w:sz="4" w:space="0" w:color="auto"/>
              <w:right w:val="single" w:sz="4" w:space="0" w:color="auto"/>
            </w:tcBorders>
            <w:hideMark/>
          </w:tcPr>
          <w:p w14:paraId="1B20A60C"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4E8ECE95"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57981B1F"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1554ACF" w14:textId="77777777" w:rsidR="00F85533" w:rsidRPr="00DB3299" w:rsidRDefault="00F85533" w:rsidP="00EB2FBE">
            <w:pPr>
              <w:rPr>
                <w:rFonts w:ascii="KievitPro-Regular" w:hAnsi="KievitPro-Regular"/>
                <w:lang w:val="it-CH"/>
              </w:rPr>
            </w:pPr>
          </w:p>
        </w:tc>
      </w:tr>
      <w:tr w:rsidR="00F85533" w:rsidRPr="00EB2FBE" w14:paraId="20C7505C"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2FC3DE1A"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 xml:space="preserve">Modello standard di conferma del mandato </w:t>
            </w:r>
          </w:p>
        </w:tc>
        <w:tc>
          <w:tcPr>
            <w:tcW w:w="3543" w:type="dxa"/>
            <w:tcBorders>
              <w:top w:val="single" w:sz="4" w:space="0" w:color="auto"/>
              <w:left w:val="single" w:sz="4" w:space="0" w:color="auto"/>
              <w:bottom w:val="single" w:sz="4" w:space="0" w:color="auto"/>
              <w:right w:val="single" w:sz="4" w:space="0" w:color="auto"/>
            </w:tcBorders>
          </w:tcPr>
          <w:p w14:paraId="082C54A7"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p w14:paraId="27B84FE7" w14:textId="77777777" w:rsidR="00F85533" w:rsidRPr="00DB3299" w:rsidRDefault="00F85533" w:rsidP="00EB2FBE">
            <w:pPr>
              <w:rPr>
                <w:rFonts w:ascii="KievitPro-Regular" w:hAnsi="KievitPro-Regular"/>
                <w:lang w:val="it-CH"/>
              </w:rPr>
            </w:pPr>
          </w:p>
        </w:tc>
        <w:tc>
          <w:tcPr>
            <w:tcW w:w="992" w:type="dxa"/>
            <w:tcBorders>
              <w:top w:val="single" w:sz="4" w:space="0" w:color="auto"/>
              <w:left w:val="single" w:sz="4" w:space="0" w:color="auto"/>
              <w:bottom w:val="single" w:sz="4" w:space="0" w:color="auto"/>
              <w:right w:val="single" w:sz="4" w:space="0" w:color="auto"/>
            </w:tcBorders>
          </w:tcPr>
          <w:p w14:paraId="64DE2476"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3929B103"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F789A62" w14:textId="77777777" w:rsidR="00F85533" w:rsidRPr="00DB3299" w:rsidRDefault="00F85533" w:rsidP="00EB2FBE">
            <w:pPr>
              <w:rPr>
                <w:rFonts w:ascii="KievitPro-Regular" w:hAnsi="KievitPro-Regular"/>
                <w:lang w:val="it-CH"/>
              </w:rPr>
            </w:pPr>
          </w:p>
        </w:tc>
      </w:tr>
      <w:tr w:rsidR="00F85533" w:rsidRPr="00EB2FBE" w14:paraId="1BFC973C"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19629A16"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 xml:space="preserve">Modello standard dei documenti di lavoro </w:t>
            </w:r>
          </w:p>
        </w:tc>
        <w:tc>
          <w:tcPr>
            <w:tcW w:w="3543" w:type="dxa"/>
            <w:tcBorders>
              <w:top w:val="single" w:sz="4" w:space="0" w:color="auto"/>
              <w:left w:val="single" w:sz="4" w:space="0" w:color="auto"/>
              <w:bottom w:val="single" w:sz="4" w:space="0" w:color="auto"/>
              <w:right w:val="single" w:sz="4" w:space="0" w:color="auto"/>
            </w:tcBorders>
            <w:hideMark/>
          </w:tcPr>
          <w:p w14:paraId="76BE0E76"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743DC837"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0136CFDC"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2ED0D15D" w14:textId="77777777" w:rsidR="00F85533" w:rsidRPr="00DB3299" w:rsidRDefault="00F85533" w:rsidP="00EB2FBE">
            <w:pPr>
              <w:rPr>
                <w:rFonts w:ascii="KievitPro-Regular" w:hAnsi="KievitPro-Regular"/>
                <w:lang w:val="it-CH"/>
              </w:rPr>
            </w:pPr>
          </w:p>
        </w:tc>
      </w:tr>
      <w:tr w:rsidR="00F85533" w:rsidRPr="00DB3299" w14:paraId="51B75331"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4428B7C"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Allegato paragrafo 5 </w:t>
            </w:r>
          </w:p>
        </w:tc>
        <w:tc>
          <w:tcPr>
            <w:tcW w:w="3543" w:type="dxa"/>
            <w:tcBorders>
              <w:top w:val="single" w:sz="4" w:space="0" w:color="auto"/>
              <w:left w:val="single" w:sz="4" w:space="0" w:color="auto"/>
              <w:bottom w:val="single" w:sz="4" w:space="0" w:color="auto"/>
              <w:right w:val="single" w:sz="4" w:space="0" w:color="auto"/>
            </w:tcBorders>
            <w:hideMark/>
          </w:tcPr>
          <w:p w14:paraId="47EDFC76" w14:textId="77777777" w:rsidR="00F85533" w:rsidRPr="00DB3299" w:rsidRDefault="00F85533" w:rsidP="00EB2FBE">
            <w:pPr>
              <w:rPr>
                <w:rFonts w:ascii="KievitPro-Regular" w:hAnsi="KievitPro-Regular"/>
                <w:lang w:val="it-CH"/>
              </w:rPr>
            </w:pPr>
            <w:r w:rsidRPr="00DB3299">
              <w:rPr>
                <w:rFonts w:ascii="KievitPro-Regular" w:hAnsi="KievitPro-Regular"/>
                <w:lang w:val="it-CH"/>
              </w:rPr>
              <w:t>Manuale SQ</w:t>
            </w:r>
          </w:p>
        </w:tc>
        <w:tc>
          <w:tcPr>
            <w:tcW w:w="992" w:type="dxa"/>
            <w:tcBorders>
              <w:top w:val="single" w:sz="4" w:space="0" w:color="auto"/>
              <w:left w:val="single" w:sz="4" w:space="0" w:color="auto"/>
              <w:bottom w:val="single" w:sz="4" w:space="0" w:color="auto"/>
              <w:right w:val="single" w:sz="4" w:space="0" w:color="auto"/>
            </w:tcBorders>
          </w:tcPr>
          <w:p w14:paraId="0FFB05F3"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2C1FEEE8"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601CF386" w14:textId="77777777" w:rsidR="00F85533" w:rsidRPr="00DB3299" w:rsidRDefault="00F85533" w:rsidP="00EB2FBE">
            <w:pPr>
              <w:rPr>
                <w:rFonts w:ascii="KievitPro-Regular" w:hAnsi="KievitPro-Regular"/>
                <w:lang w:val="it-CH"/>
              </w:rPr>
            </w:pPr>
          </w:p>
        </w:tc>
      </w:tr>
      <w:tr w:rsidR="00F85533" w:rsidRPr="00EB2FBE" w14:paraId="187AEFAD"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00FF4DC8"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Schema di procedura: attuazione della revisione </w:t>
            </w:r>
          </w:p>
        </w:tc>
        <w:tc>
          <w:tcPr>
            <w:tcW w:w="3543" w:type="dxa"/>
            <w:tcBorders>
              <w:top w:val="single" w:sz="4" w:space="0" w:color="auto"/>
              <w:left w:val="single" w:sz="4" w:space="0" w:color="auto"/>
              <w:bottom w:val="single" w:sz="4" w:space="0" w:color="auto"/>
              <w:right w:val="single" w:sz="4" w:space="0" w:color="auto"/>
            </w:tcBorders>
            <w:hideMark/>
          </w:tcPr>
          <w:p w14:paraId="5D579000"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(Indice dei contenuti)</w:t>
            </w:r>
          </w:p>
        </w:tc>
        <w:tc>
          <w:tcPr>
            <w:tcW w:w="992" w:type="dxa"/>
            <w:tcBorders>
              <w:top w:val="single" w:sz="4" w:space="0" w:color="auto"/>
              <w:left w:val="single" w:sz="4" w:space="0" w:color="auto"/>
              <w:bottom w:val="single" w:sz="4" w:space="0" w:color="auto"/>
              <w:right w:val="single" w:sz="4" w:space="0" w:color="auto"/>
            </w:tcBorders>
          </w:tcPr>
          <w:p w14:paraId="033C3F80"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395CB4DE"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3493784D" w14:textId="77777777" w:rsidR="00F85533" w:rsidRPr="00DB3299" w:rsidRDefault="00F85533" w:rsidP="00EB2FBE">
            <w:pPr>
              <w:rPr>
                <w:rFonts w:ascii="KievitPro-Regular" w:hAnsi="KievitPro-Regular"/>
                <w:lang w:val="it-CH"/>
              </w:rPr>
            </w:pPr>
          </w:p>
        </w:tc>
      </w:tr>
      <w:tr w:rsidR="00F85533" w:rsidRPr="00DB3299" w14:paraId="2FCF7ED6"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3F49812F"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 xml:space="preserve">Attestazione dell’avvenuta riunione di valutazione </w:t>
            </w:r>
          </w:p>
        </w:tc>
        <w:tc>
          <w:tcPr>
            <w:tcW w:w="3543" w:type="dxa"/>
            <w:tcBorders>
              <w:top w:val="single" w:sz="4" w:space="0" w:color="auto"/>
              <w:left w:val="single" w:sz="4" w:space="0" w:color="auto"/>
              <w:bottom w:val="single" w:sz="4" w:space="0" w:color="auto"/>
              <w:right w:val="single" w:sz="4" w:space="0" w:color="auto"/>
            </w:tcBorders>
            <w:hideMark/>
          </w:tcPr>
          <w:p w14:paraId="01EDD0E7"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Disco duro X</w:t>
            </w:r>
            <w:r w:rsidRPr="00DB3299">
              <w:rPr>
                <w:rFonts w:ascii="KievitPro-Regular" w:hAnsi="KievitPro-Regular"/>
                <w:color w:val="ED7D31" w:themeColor="accent2"/>
                <w:lang w:val="it-CH"/>
              </w:rPr>
              <w:t xml:space="preserve"> </w:t>
            </w:r>
          </w:p>
        </w:tc>
        <w:tc>
          <w:tcPr>
            <w:tcW w:w="992" w:type="dxa"/>
            <w:tcBorders>
              <w:top w:val="single" w:sz="4" w:space="0" w:color="auto"/>
              <w:left w:val="single" w:sz="4" w:space="0" w:color="auto"/>
              <w:bottom w:val="single" w:sz="4" w:space="0" w:color="auto"/>
              <w:right w:val="single" w:sz="4" w:space="0" w:color="auto"/>
            </w:tcBorders>
          </w:tcPr>
          <w:p w14:paraId="1B73E5D1"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484449BC"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7ECD94B9" w14:textId="77777777" w:rsidR="00F85533" w:rsidRPr="00DB3299" w:rsidRDefault="00F85533" w:rsidP="00EB2FBE">
            <w:pPr>
              <w:rPr>
                <w:rFonts w:ascii="KievitPro-Regular" w:hAnsi="KievitPro-Regular"/>
                <w:lang w:val="it-CH"/>
              </w:rPr>
            </w:pPr>
          </w:p>
        </w:tc>
      </w:tr>
      <w:tr w:rsidR="00F85533" w:rsidRPr="00DB3299" w14:paraId="73DF603F"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6419482"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Documentazione delle misure di sicurezza e protezione dei dati </w:t>
            </w:r>
          </w:p>
        </w:tc>
        <w:tc>
          <w:tcPr>
            <w:tcW w:w="3543" w:type="dxa"/>
            <w:tcBorders>
              <w:top w:val="single" w:sz="4" w:space="0" w:color="auto"/>
              <w:left w:val="single" w:sz="4" w:space="0" w:color="auto"/>
              <w:bottom w:val="single" w:sz="4" w:space="0" w:color="auto"/>
              <w:right w:val="single" w:sz="4" w:space="0" w:color="auto"/>
            </w:tcBorders>
            <w:hideMark/>
          </w:tcPr>
          <w:p w14:paraId="5CEB24FA" w14:textId="77777777" w:rsidR="00F85533" w:rsidRPr="00DB3299" w:rsidRDefault="00F85533" w:rsidP="00EB2FBE">
            <w:pPr>
              <w:rPr>
                <w:rFonts w:ascii="KievitPro-Regular" w:hAnsi="KievitPro-Regular"/>
                <w:color w:val="ED7D31" w:themeColor="accent2"/>
                <w:lang w:val="it-CH"/>
              </w:rPr>
            </w:pPr>
            <w:r w:rsidRPr="00DB3299">
              <w:rPr>
                <w:rFonts w:ascii="KievitPro-Regular" w:hAnsi="KievitPro-Regular"/>
                <w:lang w:val="it-CH"/>
              </w:rPr>
              <w:t>Disco duro X</w:t>
            </w:r>
          </w:p>
        </w:tc>
        <w:tc>
          <w:tcPr>
            <w:tcW w:w="992" w:type="dxa"/>
            <w:tcBorders>
              <w:top w:val="single" w:sz="4" w:space="0" w:color="auto"/>
              <w:left w:val="single" w:sz="4" w:space="0" w:color="auto"/>
              <w:bottom w:val="single" w:sz="4" w:space="0" w:color="auto"/>
              <w:right w:val="single" w:sz="4" w:space="0" w:color="auto"/>
            </w:tcBorders>
          </w:tcPr>
          <w:p w14:paraId="43F67E49"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62578CD6"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53C2D12C" w14:textId="77777777" w:rsidR="00F85533" w:rsidRPr="00DB3299" w:rsidRDefault="00F85533" w:rsidP="00EB2FBE">
            <w:pPr>
              <w:rPr>
                <w:rFonts w:ascii="KievitPro-Regular" w:hAnsi="KievitPro-Regular"/>
                <w:lang w:val="it-CH"/>
              </w:rPr>
            </w:pPr>
          </w:p>
        </w:tc>
      </w:tr>
      <w:tr w:rsidR="00F85533" w:rsidRPr="00EB2FBE" w14:paraId="0A78D529"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5B7C33DE"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Modello di dichiarazione di completezza </w:t>
            </w:r>
          </w:p>
        </w:tc>
        <w:tc>
          <w:tcPr>
            <w:tcW w:w="3543" w:type="dxa"/>
            <w:tcBorders>
              <w:top w:val="single" w:sz="4" w:space="0" w:color="auto"/>
              <w:left w:val="single" w:sz="4" w:space="0" w:color="auto"/>
              <w:bottom w:val="single" w:sz="4" w:space="0" w:color="auto"/>
              <w:right w:val="single" w:sz="4" w:space="0" w:color="auto"/>
            </w:tcBorders>
            <w:hideMark/>
          </w:tcPr>
          <w:p w14:paraId="46DEA38A"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6634C171"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10EE03DD"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1616F9C6" w14:textId="77777777" w:rsidR="00F85533" w:rsidRPr="00DB3299" w:rsidRDefault="00F85533" w:rsidP="00EB2FBE">
            <w:pPr>
              <w:rPr>
                <w:rFonts w:ascii="KievitPro-Regular" w:hAnsi="KievitPro-Regular"/>
                <w:lang w:val="it-CH"/>
              </w:rPr>
            </w:pPr>
          </w:p>
        </w:tc>
      </w:tr>
      <w:tr w:rsidR="00F85533" w:rsidRPr="00EB2FBE" w14:paraId="670BDEF3"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58962A29" w14:textId="77777777" w:rsidR="00F85533" w:rsidRPr="00DB3299" w:rsidRDefault="00F85533" w:rsidP="00EB2FBE">
            <w:pPr>
              <w:rPr>
                <w:rFonts w:ascii="KievitPro-Regular" w:hAnsi="KievitPro-Regular"/>
                <w:lang w:val="it-CH"/>
              </w:rPr>
            </w:pPr>
            <w:r w:rsidRPr="00DB3299">
              <w:rPr>
                <w:rFonts w:ascii="KievitPro-Regular" w:hAnsi="KievitPro-Regular"/>
                <w:lang w:val="it-CH"/>
              </w:rPr>
              <w:t>Modello di Management Letter</w:t>
            </w:r>
          </w:p>
        </w:tc>
        <w:tc>
          <w:tcPr>
            <w:tcW w:w="3543" w:type="dxa"/>
            <w:tcBorders>
              <w:top w:val="single" w:sz="4" w:space="0" w:color="auto"/>
              <w:left w:val="single" w:sz="4" w:space="0" w:color="auto"/>
              <w:bottom w:val="single" w:sz="4" w:space="0" w:color="auto"/>
              <w:right w:val="single" w:sz="4" w:space="0" w:color="auto"/>
            </w:tcBorders>
            <w:hideMark/>
          </w:tcPr>
          <w:p w14:paraId="13DC3D71"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032DC3AA"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0DB7F94C"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65E3965A" w14:textId="77777777" w:rsidR="00F85533" w:rsidRPr="00DB3299" w:rsidRDefault="00F85533" w:rsidP="00EB2FBE">
            <w:pPr>
              <w:rPr>
                <w:rFonts w:ascii="KievitPro-Regular" w:hAnsi="KievitPro-Regular"/>
                <w:lang w:val="it-CH"/>
              </w:rPr>
            </w:pPr>
          </w:p>
        </w:tc>
      </w:tr>
      <w:tr w:rsidR="00F85533" w:rsidRPr="00EB2FBE" w14:paraId="44212ED6" w14:textId="77777777" w:rsidTr="00EB2FBE">
        <w:tc>
          <w:tcPr>
            <w:tcW w:w="2802" w:type="dxa"/>
            <w:tcBorders>
              <w:top w:val="single" w:sz="4" w:space="0" w:color="auto"/>
              <w:left w:val="single" w:sz="4" w:space="0" w:color="auto"/>
              <w:bottom w:val="single" w:sz="4" w:space="0" w:color="auto"/>
              <w:right w:val="single" w:sz="4" w:space="0" w:color="auto"/>
            </w:tcBorders>
            <w:hideMark/>
          </w:tcPr>
          <w:p w14:paraId="4D74EB77" w14:textId="77777777" w:rsidR="00F85533" w:rsidRPr="00DB3299" w:rsidRDefault="00F85533" w:rsidP="00EB2FBE">
            <w:pPr>
              <w:rPr>
                <w:rFonts w:ascii="KievitPro-Regular" w:hAnsi="KievitPro-Regular"/>
                <w:lang w:val="it-CH"/>
              </w:rPr>
            </w:pPr>
            <w:r w:rsidRPr="00DB3299">
              <w:rPr>
                <w:rFonts w:ascii="KievitPro-Regular" w:hAnsi="KievitPro-Regular"/>
                <w:lang w:val="it-CH"/>
              </w:rPr>
              <w:t xml:space="preserve">Modello di testo del rapporto </w:t>
            </w:r>
          </w:p>
        </w:tc>
        <w:tc>
          <w:tcPr>
            <w:tcW w:w="3543" w:type="dxa"/>
            <w:tcBorders>
              <w:top w:val="single" w:sz="4" w:space="0" w:color="auto"/>
              <w:left w:val="single" w:sz="4" w:space="0" w:color="auto"/>
              <w:bottom w:val="single" w:sz="4" w:space="0" w:color="auto"/>
              <w:right w:val="single" w:sz="4" w:space="0" w:color="auto"/>
            </w:tcBorders>
            <w:hideMark/>
          </w:tcPr>
          <w:p w14:paraId="197A103F" w14:textId="77777777" w:rsidR="00F85533" w:rsidRPr="00DB3299" w:rsidRDefault="00F85533" w:rsidP="00EB2FBE">
            <w:pPr>
              <w:rPr>
                <w:rFonts w:ascii="KievitPro-Regular" w:hAnsi="KievitPro-Regular"/>
                <w:lang w:val="it-CH"/>
              </w:rPr>
            </w:pPr>
            <w:r w:rsidRPr="00DB3299">
              <w:rPr>
                <w:rFonts w:ascii="KievitPro-Regular" w:hAnsi="KievitPro-Regular"/>
                <w:lang w:val="it-CH"/>
              </w:rPr>
              <w:t>Software di revisione/ Disco duro X:</w:t>
            </w:r>
          </w:p>
        </w:tc>
        <w:tc>
          <w:tcPr>
            <w:tcW w:w="992" w:type="dxa"/>
            <w:tcBorders>
              <w:top w:val="single" w:sz="4" w:space="0" w:color="auto"/>
              <w:left w:val="single" w:sz="4" w:space="0" w:color="auto"/>
              <w:bottom w:val="single" w:sz="4" w:space="0" w:color="auto"/>
              <w:right w:val="single" w:sz="4" w:space="0" w:color="auto"/>
            </w:tcBorders>
          </w:tcPr>
          <w:p w14:paraId="7ACDF675" w14:textId="77777777" w:rsidR="00F85533" w:rsidRPr="00DB3299" w:rsidRDefault="00F85533" w:rsidP="00EB2FBE">
            <w:pPr>
              <w:rPr>
                <w:rFonts w:ascii="KievitPro-Regular" w:hAnsi="KievitPro-Regular"/>
                <w:lang w:val="it-CH"/>
              </w:rPr>
            </w:pPr>
          </w:p>
        </w:tc>
        <w:tc>
          <w:tcPr>
            <w:tcW w:w="1276" w:type="dxa"/>
            <w:tcBorders>
              <w:top w:val="single" w:sz="4" w:space="0" w:color="auto"/>
              <w:left w:val="single" w:sz="4" w:space="0" w:color="auto"/>
              <w:bottom w:val="single" w:sz="4" w:space="0" w:color="auto"/>
              <w:right w:val="single" w:sz="4" w:space="0" w:color="auto"/>
            </w:tcBorders>
          </w:tcPr>
          <w:p w14:paraId="4A74E1D6" w14:textId="77777777" w:rsidR="00F85533" w:rsidRPr="00DB3299" w:rsidRDefault="00F85533" w:rsidP="00EB2FBE">
            <w:pPr>
              <w:rPr>
                <w:rFonts w:ascii="KievitPro-Regular" w:hAnsi="KievitPro-Regular"/>
                <w:lang w:val="it-CH"/>
              </w:rPr>
            </w:pPr>
          </w:p>
        </w:tc>
        <w:tc>
          <w:tcPr>
            <w:tcW w:w="1201" w:type="dxa"/>
            <w:tcBorders>
              <w:top w:val="single" w:sz="4" w:space="0" w:color="auto"/>
              <w:left w:val="single" w:sz="4" w:space="0" w:color="auto"/>
              <w:bottom w:val="single" w:sz="4" w:space="0" w:color="auto"/>
              <w:right w:val="single" w:sz="4" w:space="0" w:color="auto"/>
            </w:tcBorders>
          </w:tcPr>
          <w:p w14:paraId="0108A7FC" w14:textId="77777777" w:rsidR="00F85533" w:rsidRPr="00DB3299" w:rsidRDefault="00F85533" w:rsidP="00EB2FBE">
            <w:pPr>
              <w:rPr>
                <w:rFonts w:ascii="KievitPro-Regular" w:hAnsi="KievitPro-Regular"/>
                <w:lang w:val="it-CH"/>
              </w:rPr>
            </w:pPr>
          </w:p>
        </w:tc>
      </w:tr>
    </w:tbl>
    <w:p w14:paraId="480E9BBD" w14:textId="77777777" w:rsidR="00F85533" w:rsidRPr="002858E4" w:rsidRDefault="00F85533" w:rsidP="00F85533">
      <w:pPr>
        <w:rPr>
          <w:rFonts w:ascii="Avenir LT Std 35 Light" w:hAnsi="Avenir LT Std 35 Light"/>
          <w:lang w:val="it-CH"/>
        </w:rPr>
      </w:pPr>
      <w:bookmarkStart w:id="110" w:name="_Toc359071948"/>
    </w:p>
    <w:p w14:paraId="73797859" w14:textId="77777777" w:rsidR="00F85533" w:rsidRPr="002858E4" w:rsidRDefault="00F85533" w:rsidP="00F85533">
      <w:pPr>
        <w:rPr>
          <w:rFonts w:ascii="Avenir LT Std 35 Light" w:hAnsi="Avenir LT Std 35 Light"/>
          <w:lang w:val="it-CH"/>
        </w:rPr>
      </w:pPr>
      <w:bookmarkStart w:id="111" w:name="_Hlk10267080"/>
      <w:r w:rsidRPr="002858E4">
        <w:rPr>
          <w:rFonts w:ascii="Avenir LT Std 35 Light" w:hAnsi="Avenir LT Std 35 Light"/>
          <w:lang w:val="it-CH"/>
        </w:rPr>
        <w:t>Data:</w:t>
      </w:r>
      <w:r w:rsidRPr="002858E4">
        <w:rPr>
          <w:rFonts w:ascii="Avenir LT Std 35 Light" w:hAnsi="Avenir LT Std 35 Light"/>
          <w:lang w:val="it-CH"/>
        </w:rPr>
        <w:tab/>
      </w:r>
      <w:bookmarkStart w:id="112" w:name="_Hlk10363036"/>
      <w:r w:rsidRPr="002858E4">
        <w:rPr>
          <w:rFonts w:ascii="Avenir LT Std 35 Light" w:hAnsi="Avenir LT Std 35 Light"/>
          <w:lang w:val="it-CH"/>
        </w:rPr>
        <w:t>_______________</w:t>
      </w:r>
      <w:bookmarkEnd w:id="112"/>
      <w:r w:rsidRPr="002858E4">
        <w:rPr>
          <w:rFonts w:ascii="Avenir LT Std 35 Light" w:hAnsi="Avenir LT Std 35 Light"/>
          <w:lang w:val="it-CH"/>
        </w:rPr>
        <w:tab/>
      </w:r>
      <w:r w:rsidRPr="002858E4">
        <w:rPr>
          <w:rFonts w:ascii="Avenir LT Std 35 Light" w:hAnsi="Avenir LT Std 35 Light"/>
          <w:lang w:val="it-CH"/>
        </w:rPr>
        <w:tab/>
        <w:t>Firma</w:t>
      </w:r>
      <w:bookmarkStart w:id="113" w:name="_Toc331510698"/>
      <w:bookmarkStart w:id="114" w:name="_Toc353376103"/>
      <w:bookmarkStart w:id="115" w:name="_Toc359071949"/>
      <w:r w:rsidRPr="002858E4">
        <w:rPr>
          <w:rFonts w:ascii="Avenir LT Std 35 Light" w:hAnsi="Avenir LT Std 35 Light"/>
          <w:lang w:val="it-CH"/>
        </w:rPr>
        <w:t>:__________________________________________________</w:t>
      </w:r>
      <w:r w:rsidRPr="002858E4">
        <w:rPr>
          <w:rFonts w:ascii="Avenir LT Std 35 Light" w:hAnsi="Avenir LT Std 35 Light"/>
          <w:lang w:val="it-CH"/>
        </w:rPr>
        <w:br w:type="page"/>
      </w:r>
    </w:p>
    <w:p w14:paraId="160AF49B"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16" w:name="_Toc126737280"/>
      <w:bookmarkEnd w:id="111"/>
      <w:r w:rsidRPr="000E27FB">
        <w:rPr>
          <w:rFonts w:ascii="Avenir LT Std 35 Light" w:hAnsi="Avenir LT Std 35 Light"/>
          <w:smallCaps/>
          <w:snapToGrid/>
          <w:sz w:val="24"/>
          <w:szCs w:val="28"/>
          <w:lang w:val="it-CH" w:eastAsia="en-US"/>
        </w:rPr>
        <w:lastRenderedPageBreak/>
        <w:t>5.9</w:t>
      </w:r>
      <w:r w:rsidRPr="000E27FB">
        <w:rPr>
          <w:rFonts w:ascii="Avenir LT Std 35 Light" w:hAnsi="Avenir LT Std 35 Light"/>
          <w:smallCaps/>
          <w:snapToGrid/>
          <w:sz w:val="24"/>
          <w:szCs w:val="28"/>
          <w:lang w:val="it-CH" w:eastAsia="en-US"/>
        </w:rPr>
        <w:tab/>
        <w:t>Lista delle fonti di informazione</w:t>
      </w:r>
      <w:bookmarkEnd w:id="116"/>
      <w:r w:rsidRPr="000E27FB">
        <w:rPr>
          <w:rFonts w:ascii="Avenir LT Std 35 Light" w:hAnsi="Avenir LT Std 35 Light"/>
          <w:smallCaps/>
          <w:snapToGrid/>
          <w:sz w:val="24"/>
          <w:szCs w:val="28"/>
          <w:lang w:val="it-CH" w:eastAsia="en-US"/>
        </w:rPr>
        <w:t xml:space="preserve">  </w:t>
      </w:r>
      <w:bookmarkEnd w:id="110"/>
      <w:bookmarkEnd w:id="113"/>
      <w:bookmarkEnd w:id="114"/>
      <w:bookmarkEnd w:id="115"/>
    </w:p>
    <w:p w14:paraId="4EA03253" w14:textId="77777777" w:rsidR="00DB3299" w:rsidRDefault="00DB3299" w:rsidP="00F85533">
      <w:pPr>
        <w:rPr>
          <w:rFonts w:ascii="KievitPro-Regular" w:hAnsi="KievitPro-Regular"/>
          <w:sz w:val="22"/>
          <w:szCs w:val="22"/>
          <w:lang w:val="it-CH"/>
        </w:rPr>
      </w:pPr>
    </w:p>
    <w:p w14:paraId="3D56A4F7" w14:textId="57008989" w:rsidR="00F85533" w:rsidRDefault="00F85533" w:rsidP="002E205D">
      <w:pPr>
        <w:spacing w:line="276" w:lineRule="auto"/>
        <w:rPr>
          <w:rFonts w:ascii="KievitPro-Regular" w:hAnsi="KievitPro-Regular"/>
          <w:sz w:val="22"/>
          <w:szCs w:val="22"/>
          <w:lang w:val="it-CH"/>
        </w:rPr>
      </w:pPr>
      <w:r w:rsidRPr="00DB3299">
        <w:rPr>
          <w:rFonts w:ascii="KievitPro-Regular" w:hAnsi="KievitPro-Regular"/>
          <w:sz w:val="22"/>
          <w:szCs w:val="22"/>
          <w:lang w:val="it-CH"/>
        </w:rPr>
        <w:t>In aggiunta alle direttive interne è da tenere in considerazione, in quanto strumento di lavoro standard, la seguente documentazione di supporto (aggiornata):</w:t>
      </w:r>
    </w:p>
    <w:p w14:paraId="4AA93AFD" w14:textId="77777777" w:rsidR="002E205D" w:rsidRPr="00DB3299" w:rsidRDefault="002E205D" w:rsidP="002E205D">
      <w:pPr>
        <w:spacing w:line="276" w:lineRule="auto"/>
        <w:rPr>
          <w:rFonts w:ascii="KievitPro-Regular" w:hAnsi="KievitPro-Regular"/>
          <w:sz w:val="22"/>
          <w:szCs w:val="22"/>
          <w:lang w:val="it-CH"/>
        </w:rPr>
      </w:pPr>
    </w:p>
    <w:p w14:paraId="40037C96"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Codice delle obbligazioni (CO)</w:t>
      </w:r>
    </w:p>
    <w:p w14:paraId="60CF4CB3"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 xml:space="preserve">Standard per la revisione limitata </w:t>
      </w:r>
    </w:p>
    <w:p w14:paraId="0BBE5070"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Standard svizzero di verifica (PS)</w:t>
      </w:r>
    </w:p>
    <w:p w14:paraId="1F209143"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Manuale svizzero di revisione</w:t>
      </w:r>
    </w:p>
    <w:p w14:paraId="3F717023"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 xml:space="preserve">Direttive per la verifica di chiusura </w:t>
      </w:r>
    </w:p>
    <w:p w14:paraId="7DE7BC69" w14:textId="77777777" w:rsidR="00F85533" w:rsidRPr="00DB3299" w:rsidRDefault="00F85533" w:rsidP="002E205D">
      <w:pPr>
        <w:numPr>
          <w:ilvl w:val="0"/>
          <w:numId w:val="24"/>
        </w:numPr>
        <w:spacing w:after="120" w:line="276" w:lineRule="auto"/>
        <w:ind w:left="714" w:hanging="357"/>
        <w:jc w:val="left"/>
        <w:rPr>
          <w:rFonts w:ascii="KievitPro-Regular" w:hAnsi="KievitPro-Regular"/>
          <w:sz w:val="22"/>
          <w:szCs w:val="22"/>
          <w:lang w:val="it-CH"/>
        </w:rPr>
      </w:pPr>
      <w:r w:rsidRPr="00DB3299">
        <w:rPr>
          <w:rFonts w:ascii="KievitPro-Regular" w:hAnsi="KievitPro-Regular"/>
          <w:sz w:val="22"/>
          <w:szCs w:val="22"/>
          <w:lang w:val="it-CH"/>
        </w:rPr>
        <w:t xml:space="preserve">Regole di deontologia dell’associazione professionale </w:t>
      </w:r>
    </w:p>
    <w:p w14:paraId="3E341636" w14:textId="77777777" w:rsidR="00F85533" w:rsidRPr="00DB3299" w:rsidRDefault="00F85533" w:rsidP="002E205D">
      <w:pPr>
        <w:numPr>
          <w:ilvl w:val="0"/>
          <w:numId w:val="24"/>
        </w:numPr>
        <w:spacing w:after="200" w:line="276" w:lineRule="auto"/>
        <w:jc w:val="left"/>
        <w:rPr>
          <w:rFonts w:ascii="KievitPro-Regular" w:hAnsi="KievitPro-Regular"/>
          <w:sz w:val="22"/>
          <w:szCs w:val="22"/>
          <w:lang w:val="it-CH"/>
        </w:rPr>
      </w:pPr>
      <w:r w:rsidRPr="00DB3299">
        <w:rPr>
          <w:rFonts w:ascii="KievitPro-Regular" w:hAnsi="KievitPro-Regular"/>
          <w:sz w:val="22"/>
          <w:szCs w:val="22"/>
          <w:lang w:val="it-CH"/>
        </w:rPr>
        <w:t>Standard internazionali (Swiss GAAP FER, IFRS, US GAAP)</w:t>
      </w:r>
    </w:p>
    <w:p w14:paraId="6F44D813" w14:textId="77777777" w:rsidR="00F85533" w:rsidRPr="00DB3299" w:rsidRDefault="00F85533" w:rsidP="002E205D">
      <w:pPr>
        <w:spacing w:line="276" w:lineRule="auto"/>
        <w:rPr>
          <w:rFonts w:ascii="KievitPro-Regular" w:hAnsi="KievitPro-Regular"/>
          <w:sz w:val="22"/>
          <w:szCs w:val="22"/>
          <w:lang w:val="it-CH"/>
        </w:rPr>
      </w:pPr>
    </w:p>
    <w:p w14:paraId="3F225587" w14:textId="77777777" w:rsidR="00F85533" w:rsidRPr="00DB3299" w:rsidRDefault="00F85533" w:rsidP="002E205D">
      <w:pPr>
        <w:spacing w:line="276" w:lineRule="auto"/>
        <w:rPr>
          <w:rFonts w:ascii="KievitPro-Regular" w:hAnsi="KievitPro-Regular"/>
          <w:sz w:val="22"/>
          <w:szCs w:val="22"/>
          <w:lang w:val="it-CH"/>
        </w:rPr>
      </w:pPr>
      <w:r w:rsidRPr="00DB3299">
        <w:rPr>
          <w:rFonts w:ascii="KievitPro-Regular" w:hAnsi="KievitPro-Regular"/>
          <w:sz w:val="22"/>
          <w:szCs w:val="22"/>
          <w:lang w:val="it-CH"/>
        </w:rPr>
        <w:t xml:space="preserve">Le seguenti Homepage sono da considerarsi come ulteriori fonti di informazione affidabili: </w:t>
      </w:r>
    </w:p>
    <w:p w14:paraId="2337E301"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http://www.revisionsaufsichtsbehoerde.ch</w:t>
      </w:r>
    </w:p>
    <w:p w14:paraId="320C515D"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http://www.stv-usf.ch</w:t>
      </w:r>
    </w:p>
    <w:p w14:paraId="1D9A38E0"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http://www.expertsuisse.ch</w:t>
      </w:r>
    </w:p>
    <w:p w14:paraId="4084A5EB" w14:textId="77777777" w:rsidR="00F85533" w:rsidRPr="00DB3299" w:rsidRDefault="00F85533" w:rsidP="002E205D">
      <w:pPr>
        <w:spacing w:after="120" w:line="276" w:lineRule="auto"/>
        <w:rPr>
          <w:rFonts w:ascii="KievitPro-Regular" w:hAnsi="KievitPro-Regular"/>
          <w:sz w:val="22"/>
          <w:szCs w:val="22"/>
          <w:lang w:val="it-CH"/>
        </w:rPr>
      </w:pPr>
      <w:r w:rsidRPr="00DB3299">
        <w:rPr>
          <w:rFonts w:ascii="KievitPro-Regular" w:hAnsi="KievitPro-Regular"/>
          <w:sz w:val="22"/>
          <w:szCs w:val="22"/>
          <w:lang w:val="it-CH"/>
        </w:rPr>
        <w:t>http://www.kmu-kompetenzzentrum.ch</w:t>
      </w:r>
    </w:p>
    <w:p w14:paraId="3BDDF938" w14:textId="77777777" w:rsidR="00F85533" w:rsidRPr="00DB3299" w:rsidRDefault="00F85533" w:rsidP="002E205D">
      <w:pPr>
        <w:spacing w:line="276" w:lineRule="auto"/>
        <w:rPr>
          <w:rFonts w:ascii="KievitPro-Regular" w:hAnsi="KievitPro-Regular"/>
          <w:sz w:val="22"/>
          <w:szCs w:val="22"/>
          <w:lang w:val="it-CH"/>
        </w:rPr>
      </w:pPr>
      <w:r w:rsidRPr="00DB3299">
        <w:rPr>
          <w:rFonts w:ascii="KievitPro-Regular" w:hAnsi="KievitPro-Regular"/>
          <w:sz w:val="22"/>
          <w:szCs w:val="22"/>
          <w:lang w:val="it-CH"/>
        </w:rPr>
        <w:t>http://www.ejpd.admin.ch</w:t>
      </w:r>
    </w:p>
    <w:p w14:paraId="4DAEB2CF" w14:textId="77777777" w:rsidR="00F85533" w:rsidRPr="002858E4" w:rsidRDefault="00F85533" w:rsidP="00F85533">
      <w:pPr>
        <w:rPr>
          <w:rFonts w:ascii="Avenir LT Std 35 Light" w:hAnsi="Avenir LT Std 35 Light"/>
          <w:b/>
          <w:lang w:val="it-CH"/>
        </w:rPr>
      </w:pPr>
      <w:r w:rsidRPr="002858E4">
        <w:rPr>
          <w:rFonts w:ascii="Avenir LT Std 35 Light" w:hAnsi="Avenir LT Std 35 Light"/>
          <w:lang w:val="it-CH"/>
        </w:rPr>
        <w:br w:type="page"/>
      </w:r>
    </w:p>
    <w:p w14:paraId="420E8465"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17" w:name="_Toc331510699"/>
      <w:bookmarkStart w:id="118" w:name="_Toc353376104"/>
      <w:bookmarkStart w:id="119" w:name="_Toc359071950"/>
      <w:bookmarkStart w:id="120" w:name="_Toc126737281"/>
      <w:r w:rsidRPr="000E27FB">
        <w:rPr>
          <w:rFonts w:ascii="Avenir LT Std 35 Light" w:hAnsi="Avenir LT Std 35 Light"/>
          <w:smallCaps/>
          <w:snapToGrid/>
          <w:sz w:val="24"/>
          <w:szCs w:val="28"/>
          <w:lang w:val="it-CH" w:eastAsia="en-US"/>
        </w:rPr>
        <w:t>5.10</w:t>
      </w:r>
      <w:r w:rsidRPr="000E27FB">
        <w:rPr>
          <w:rFonts w:ascii="Avenir LT Std 35 Light" w:hAnsi="Avenir LT Std 35 Light"/>
          <w:smallCaps/>
          <w:snapToGrid/>
          <w:sz w:val="24"/>
          <w:szCs w:val="28"/>
          <w:lang w:val="it-CH" w:eastAsia="en-US"/>
        </w:rPr>
        <w:tab/>
        <w:t>Memo</w:t>
      </w:r>
      <w:bookmarkEnd w:id="117"/>
      <w:bookmarkEnd w:id="118"/>
      <w:bookmarkEnd w:id="119"/>
      <w:r w:rsidRPr="000E27FB">
        <w:rPr>
          <w:rFonts w:ascii="Avenir LT Std 35 Light" w:hAnsi="Avenir LT Std 35 Light"/>
          <w:smallCaps/>
          <w:snapToGrid/>
          <w:sz w:val="24"/>
          <w:szCs w:val="28"/>
          <w:lang w:val="it-CH" w:eastAsia="en-US"/>
        </w:rPr>
        <w:t xml:space="preserve"> riassuntivo</w:t>
      </w:r>
      <w:bookmarkEnd w:id="120"/>
    </w:p>
    <w:p w14:paraId="41F9DE53" w14:textId="3C08B365" w:rsidR="00F85533" w:rsidRPr="00DB3299" w:rsidRDefault="00F85533" w:rsidP="00F85533">
      <w:pPr>
        <w:pStyle w:val="Textkrper-Zeileneinzug"/>
        <w:spacing w:before="60"/>
        <w:ind w:left="0" w:hanging="1"/>
        <w:rPr>
          <w:rFonts w:ascii="KievitPro-Regular" w:hAnsi="KievitPro-Regular" w:cs="Arial"/>
          <w:b/>
          <w:sz w:val="22"/>
          <w:szCs w:val="22"/>
          <w:lang w:val="it-CH"/>
        </w:rPr>
      </w:pPr>
      <w:bookmarkStart w:id="121" w:name="_Hlk10267235"/>
      <w:r w:rsidRPr="00DB3299">
        <w:rPr>
          <w:rFonts w:ascii="KievitPro-Regular" w:hAnsi="KievitPro-Regular" w:cs="Arial"/>
          <w:b/>
          <w:sz w:val="22"/>
          <w:szCs w:val="22"/>
          <w:lang w:val="it-CH"/>
        </w:rPr>
        <w:t xml:space="preserve">Il seguente memo riassuntivo deve essere compilato per ogni singola revisione!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655"/>
        <w:gridCol w:w="992"/>
        <w:gridCol w:w="992"/>
      </w:tblGrid>
      <w:tr w:rsidR="00F85533" w:rsidRPr="00DB3299" w14:paraId="1A484C3A"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hideMark/>
          </w:tcPr>
          <w:p w14:paraId="29D2E282"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
                <w:bCs/>
                <w:sz w:val="20"/>
                <w:lang w:val="it-CH"/>
              </w:rPr>
            </w:pPr>
            <w:r w:rsidRPr="00DB3299">
              <w:rPr>
                <w:rFonts w:ascii="KievitPro-Regular" w:hAnsi="KievitPro-Regular" w:cs="Arial"/>
                <w:b/>
                <w:bCs/>
                <w:sz w:val="20"/>
                <w:lang w:val="it-CH"/>
              </w:rPr>
              <w:t>1.</w:t>
            </w:r>
            <w:r w:rsidRPr="00DB3299">
              <w:rPr>
                <w:rFonts w:ascii="KievitPro-Regular" w:hAnsi="KievitPro-Regular" w:cs="Arial"/>
                <w:b/>
                <w:bCs/>
                <w:sz w:val="20"/>
                <w:lang w:val="it-CH"/>
              </w:rPr>
              <w:tab/>
            </w:r>
            <w:r w:rsidRPr="00DB3299">
              <w:rPr>
                <w:rFonts w:ascii="KievitPro-Regular" w:hAnsi="KievitPro-Regular" w:cs="Arial"/>
                <w:bCs/>
                <w:sz w:val="20"/>
                <w:lang w:val="it-CH"/>
              </w:rPr>
              <w:t xml:space="preserve">Constatazioni risp. rischi rilevanti </w:t>
            </w:r>
          </w:p>
        </w:tc>
      </w:tr>
      <w:tr w:rsidR="00F85533" w:rsidRPr="00DB3299" w14:paraId="7E7A8E1F"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hideMark/>
          </w:tcPr>
          <w:p w14:paraId="62A10CFB"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Transazioni con rischi rilevanti </w:t>
            </w:r>
          </w:p>
          <w:p w14:paraId="577BF710"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Transazioni complesse o inusuali </w:t>
            </w:r>
          </w:p>
          <w:p w14:paraId="49C200A5"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Transazioni con persone vicine che superano la soglia di un normale accordo d’affari </w:t>
            </w:r>
          </w:p>
          <w:p w14:paraId="329F9FFF"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Eventi che causano ripercussioni sul rapporto di revisione </w:t>
            </w:r>
          </w:p>
          <w:p w14:paraId="30C9BC40"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Problematiche di valutazione e decisioni discrezionali rilevanti </w:t>
            </w:r>
          </w:p>
          <w:p w14:paraId="4647A915"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Altre constatazioni di violazione della legge </w:t>
            </w:r>
          </w:p>
          <w:p w14:paraId="462E6F8F"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ecc.</w:t>
            </w:r>
          </w:p>
        </w:tc>
      </w:tr>
      <w:tr w:rsidR="00F85533" w:rsidRPr="00DB3299" w14:paraId="4A995007"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hideMark/>
          </w:tcPr>
          <w:p w14:paraId="3EAB3EE9" w14:textId="77777777" w:rsidR="00F85533" w:rsidRPr="00DB3299" w:rsidRDefault="00F85533" w:rsidP="00F85533">
            <w:pPr>
              <w:pStyle w:val="Box-Absatz"/>
              <w:numPr>
                <w:ilvl w:val="0"/>
                <w:numId w:val="29"/>
              </w:numPr>
              <w:spacing w:before="40" w:after="40"/>
              <w:rPr>
                <w:rFonts w:ascii="KievitPro-Regular" w:hAnsi="KievitPro-Regular" w:cs="Arial"/>
                <w:sz w:val="20"/>
                <w:lang w:val="it-CH"/>
              </w:rPr>
            </w:pPr>
            <w:r w:rsidRPr="00DB3299">
              <w:rPr>
                <w:rFonts w:ascii="KievitPro-Regular" w:hAnsi="KievitPro-Regular" w:cs="Arial"/>
                <w:sz w:val="20"/>
                <w:lang w:val="it-CH"/>
              </w:rPr>
              <w:t xml:space="preserve"> </w:t>
            </w:r>
          </w:p>
        </w:tc>
      </w:tr>
      <w:tr w:rsidR="00F85533" w:rsidRPr="00DB3299" w14:paraId="730C3024"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769FFF25"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2.</w:t>
            </w:r>
            <w:r w:rsidRPr="00DB3299">
              <w:rPr>
                <w:rFonts w:ascii="KievitPro-Regular" w:hAnsi="KievitPro-Regular" w:cs="Arial"/>
                <w:bCs/>
                <w:sz w:val="20"/>
                <w:lang w:val="it-CH"/>
              </w:rPr>
              <w:tab/>
              <w:t xml:space="preserve">Riassunto delle contabilizzazioni complementari </w:t>
            </w:r>
          </w:p>
        </w:tc>
      </w:tr>
      <w:tr w:rsidR="00F85533" w:rsidRPr="00DB3299" w14:paraId="4C73232F" w14:textId="77777777" w:rsidTr="00EB2FBE">
        <w:trPr>
          <w:cantSplit/>
          <w:trHeight w:val="557"/>
        </w:trPr>
        <w:tc>
          <w:tcPr>
            <w:tcW w:w="9639" w:type="dxa"/>
            <w:gridSpan w:val="3"/>
            <w:tcBorders>
              <w:top w:val="single" w:sz="4" w:space="0" w:color="C0C0C0"/>
              <w:left w:val="single" w:sz="4" w:space="0" w:color="C0C0C0"/>
              <w:bottom w:val="single" w:sz="4" w:space="0" w:color="C0C0C0"/>
              <w:right w:val="single" w:sz="4" w:space="0" w:color="C0C0C0"/>
            </w:tcBorders>
            <w:hideMark/>
          </w:tcPr>
          <w:p w14:paraId="359FBF1A"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Lista degli errori rilevanti e delle ripercussioni che hanno sul conto annuale, con riferimento ai rispettivi atti di verifica. Perché queste correzioni sono state classificate come errori irrilevanti? </w:t>
            </w:r>
          </w:p>
        </w:tc>
      </w:tr>
      <w:tr w:rsidR="00F85533" w:rsidRPr="00DB3299" w14:paraId="094E53E2"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tcPr>
          <w:p w14:paraId="78199AA3" w14:textId="77777777" w:rsidR="00F85533" w:rsidRPr="00DB3299" w:rsidRDefault="00F85533" w:rsidP="00F85533">
            <w:pPr>
              <w:pStyle w:val="Box-Absatz"/>
              <w:numPr>
                <w:ilvl w:val="0"/>
                <w:numId w:val="29"/>
              </w:numPr>
              <w:spacing w:before="40" w:after="40"/>
              <w:rPr>
                <w:rFonts w:ascii="KievitPro-Regular" w:hAnsi="KievitPro-Regular" w:cs="Arial"/>
                <w:color w:val="548DD4"/>
                <w:sz w:val="20"/>
                <w:lang w:val="it-CH"/>
              </w:rPr>
            </w:pPr>
          </w:p>
        </w:tc>
      </w:tr>
      <w:tr w:rsidR="00F85533" w:rsidRPr="00EB2FBE" w14:paraId="724BA397"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1CF4B189"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3.</w:t>
            </w:r>
            <w:r w:rsidRPr="00DB3299">
              <w:rPr>
                <w:rFonts w:ascii="KievitPro-Regular" w:hAnsi="KievitPro-Regular" w:cs="Arial"/>
                <w:bCs/>
                <w:sz w:val="20"/>
                <w:lang w:val="it-CH"/>
              </w:rPr>
              <w:tab/>
              <w:t xml:space="preserve">Riassunto di altre informazioni rilevanti </w:t>
            </w:r>
          </w:p>
        </w:tc>
      </w:tr>
      <w:tr w:rsidR="00F85533" w:rsidRPr="00EB2FBE" w14:paraId="731F0381" w14:textId="77777777" w:rsidTr="00EB2FBE">
        <w:trPr>
          <w:cantSplit/>
          <w:trHeight w:val="557"/>
        </w:trPr>
        <w:tc>
          <w:tcPr>
            <w:tcW w:w="9639" w:type="dxa"/>
            <w:gridSpan w:val="3"/>
            <w:tcBorders>
              <w:top w:val="single" w:sz="4" w:space="0" w:color="C0C0C0"/>
              <w:left w:val="single" w:sz="4" w:space="0" w:color="C0C0C0"/>
              <w:bottom w:val="single" w:sz="4" w:space="0" w:color="C0C0C0"/>
              <w:right w:val="single" w:sz="4" w:space="0" w:color="C0C0C0"/>
            </w:tcBorders>
            <w:hideMark/>
          </w:tcPr>
          <w:p w14:paraId="5ACFDB5A"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Rappresentazione degli sviluppi inconsueti nel conto annuale e la loro pubblicazione. Un riferimento ai rispettivi documenti di lavoro è pure possibile. Descrizione delle circostanze che rendono più difficile o impossibile al revisore di attuare le necessarie fasi di verifica; Le conseguenze sulla relazione di revisione. In aggiunta sono da elencare anche le situazioni in cui la portata della verifica risulta limitata. </w:t>
            </w:r>
          </w:p>
        </w:tc>
      </w:tr>
      <w:tr w:rsidR="00F85533" w:rsidRPr="00EB2FBE" w14:paraId="44C95EDB" w14:textId="77777777" w:rsidTr="00EB2FBE">
        <w:trPr>
          <w:cantSplit/>
        </w:trPr>
        <w:tc>
          <w:tcPr>
            <w:tcW w:w="9639" w:type="dxa"/>
            <w:gridSpan w:val="3"/>
            <w:tcBorders>
              <w:top w:val="single" w:sz="4" w:space="0" w:color="C0C0C0"/>
              <w:left w:val="single" w:sz="4" w:space="0" w:color="C0C0C0"/>
              <w:bottom w:val="single" w:sz="4" w:space="0" w:color="C0C0C0"/>
              <w:right w:val="single" w:sz="4" w:space="0" w:color="C0C0C0"/>
            </w:tcBorders>
          </w:tcPr>
          <w:p w14:paraId="07D656B7" w14:textId="77777777" w:rsidR="00F85533" w:rsidRPr="00DB3299" w:rsidRDefault="00F85533" w:rsidP="00F85533">
            <w:pPr>
              <w:pStyle w:val="Box-Absatz"/>
              <w:numPr>
                <w:ilvl w:val="0"/>
                <w:numId w:val="29"/>
              </w:numPr>
              <w:spacing w:before="40" w:after="40"/>
              <w:rPr>
                <w:rFonts w:ascii="KievitPro-Regular" w:hAnsi="KievitPro-Regular" w:cs="Arial"/>
                <w:color w:val="548DD4"/>
                <w:sz w:val="20"/>
                <w:lang w:val="it-CH"/>
              </w:rPr>
            </w:pPr>
          </w:p>
        </w:tc>
      </w:tr>
      <w:tr w:rsidR="00F85533" w:rsidRPr="00DB3299" w14:paraId="106529EE"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7C48D01F"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4.</w:t>
            </w:r>
            <w:r w:rsidRPr="00DB3299">
              <w:rPr>
                <w:rFonts w:ascii="KievitPro-Regular" w:hAnsi="KievitPro-Regular" w:cs="Arial"/>
                <w:bCs/>
                <w:sz w:val="20"/>
                <w:lang w:val="it-CH"/>
              </w:rPr>
              <w:tab/>
              <w:t>Relazione di revisione</w:t>
            </w:r>
          </w:p>
        </w:tc>
      </w:tr>
      <w:tr w:rsidR="00F85533" w:rsidRPr="00DB3299" w14:paraId="5462973A" w14:textId="77777777" w:rsidTr="00EB2FBE">
        <w:trPr>
          <w:cantSplit/>
          <w:trHeight w:val="333"/>
        </w:trPr>
        <w:tc>
          <w:tcPr>
            <w:tcW w:w="7655" w:type="dxa"/>
            <w:tcBorders>
              <w:top w:val="single" w:sz="4" w:space="0" w:color="C0C0C0"/>
              <w:left w:val="single" w:sz="4" w:space="0" w:color="C0C0C0"/>
              <w:bottom w:val="single" w:sz="4" w:space="0" w:color="auto"/>
              <w:right w:val="single" w:sz="4" w:space="0" w:color="auto"/>
            </w:tcBorders>
          </w:tcPr>
          <w:p w14:paraId="14063BE5" w14:textId="77777777" w:rsidR="00F85533" w:rsidRPr="00DB3299" w:rsidRDefault="00F85533" w:rsidP="00EB2FBE">
            <w:pPr>
              <w:pStyle w:val="Box-Absatz"/>
              <w:spacing w:before="40" w:after="40"/>
              <w:ind w:left="425"/>
              <w:rPr>
                <w:rFonts w:ascii="KievitPro-Regular" w:hAnsi="KievitPro-Regular" w:cs="Arial"/>
                <w:sz w:val="20"/>
                <w:lang w:val="it-CH"/>
              </w:rPr>
            </w:pPr>
          </w:p>
        </w:tc>
        <w:tc>
          <w:tcPr>
            <w:tcW w:w="992" w:type="dxa"/>
            <w:tcBorders>
              <w:top w:val="single" w:sz="4" w:space="0" w:color="auto"/>
              <w:left w:val="single" w:sz="4" w:space="0" w:color="auto"/>
              <w:bottom w:val="single" w:sz="4" w:space="0" w:color="auto"/>
              <w:right w:val="single" w:sz="4" w:space="0" w:color="auto"/>
            </w:tcBorders>
            <w:hideMark/>
          </w:tcPr>
          <w:p w14:paraId="4E348F04"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Si</w:t>
            </w:r>
          </w:p>
        </w:tc>
        <w:tc>
          <w:tcPr>
            <w:tcW w:w="992" w:type="dxa"/>
            <w:tcBorders>
              <w:top w:val="single" w:sz="4" w:space="0" w:color="auto"/>
              <w:left w:val="single" w:sz="4" w:space="0" w:color="auto"/>
              <w:bottom w:val="single" w:sz="4" w:space="0" w:color="auto"/>
              <w:right w:val="single" w:sz="4" w:space="0" w:color="auto"/>
            </w:tcBorders>
            <w:hideMark/>
          </w:tcPr>
          <w:p w14:paraId="515F6997"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No</w:t>
            </w:r>
          </w:p>
        </w:tc>
      </w:tr>
      <w:tr w:rsidR="00F85533" w:rsidRPr="00DB3299" w14:paraId="455A3C52" w14:textId="77777777" w:rsidTr="00EB2FBE">
        <w:trPr>
          <w:cantSplit/>
          <w:trHeight w:val="268"/>
        </w:trPr>
        <w:tc>
          <w:tcPr>
            <w:tcW w:w="7655" w:type="dxa"/>
            <w:tcBorders>
              <w:top w:val="single" w:sz="4" w:space="0" w:color="auto"/>
              <w:left w:val="single" w:sz="4" w:space="0" w:color="auto"/>
              <w:bottom w:val="single" w:sz="4" w:space="0" w:color="C0C0C0"/>
              <w:right w:val="single" w:sz="4" w:space="0" w:color="auto"/>
            </w:tcBorders>
            <w:hideMark/>
          </w:tcPr>
          <w:p w14:paraId="65506FF3"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La portata della verifica è a nostro avviso adeguata. </w:t>
            </w:r>
          </w:p>
        </w:tc>
        <w:tc>
          <w:tcPr>
            <w:tcW w:w="992" w:type="dxa"/>
            <w:tcBorders>
              <w:top w:val="single" w:sz="4" w:space="0" w:color="auto"/>
              <w:left w:val="single" w:sz="4" w:space="0" w:color="auto"/>
              <w:bottom w:val="single" w:sz="4" w:space="0" w:color="C0C0C0"/>
              <w:right w:val="single" w:sz="4" w:space="0" w:color="auto"/>
            </w:tcBorders>
            <w:hideMark/>
          </w:tcPr>
          <w:p w14:paraId="59E39BFC"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0D04761C" wp14:editId="7F33C66B">
                  <wp:extent cx="180975" cy="2571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C0C0C0"/>
              <w:right w:val="single" w:sz="4" w:space="0" w:color="auto"/>
            </w:tcBorders>
            <w:hideMark/>
          </w:tcPr>
          <w:p w14:paraId="0BE4032B" w14:textId="77777777" w:rsidR="00F85533" w:rsidRPr="00DB3299" w:rsidRDefault="00F85533" w:rsidP="00EB2FBE">
            <w:pPr>
              <w:pStyle w:val="Box-Absatz"/>
              <w:spacing w:before="40" w:after="40"/>
              <w:ind w:left="277"/>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004FE432" wp14:editId="13F2063E">
                  <wp:extent cx="180975" cy="257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08AFF438"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31C8FC5E"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 xml:space="preserve">Le constatazioni rilevante sono palesante adeguatamente nella relazione di revisione del revisore. </w:t>
            </w:r>
          </w:p>
        </w:tc>
        <w:tc>
          <w:tcPr>
            <w:tcW w:w="992" w:type="dxa"/>
            <w:tcBorders>
              <w:top w:val="single" w:sz="4" w:space="0" w:color="C0C0C0"/>
              <w:left w:val="single" w:sz="4" w:space="0" w:color="auto"/>
              <w:bottom w:val="single" w:sz="4" w:space="0" w:color="auto"/>
              <w:right w:val="single" w:sz="4" w:space="0" w:color="auto"/>
            </w:tcBorders>
            <w:hideMark/>
          </w:tcPr>
          <w:p w14:paraId="06866F2E"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46E63537" wp14:editId="08946C23">
                  <wp:extent cx="180975" cy="2571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6E63E0B2"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410528A5" wp14:editId="7DF5290A">
                  <wp:extent cx="180975" cy="2571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69DFF9F2"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6138BD04"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Il conto annuale rispetta a nostro avviso le disposizioni di legge, gli statuti e i principi di contabilità utilizzati.</w:t>
            </w:r>
          </w:p>
        </w:tc>
        <w:tc>
          <w:tcPr>
            <w:tcW w:w="992" w:type="dxa"/>
            <w:tcBorders>
              <w:top w:val="single" w:sz="4" w:space="0" w:color="C0C0C0"/>
              <w:left w:val="single" w:sz="4" w:space="0" w:color="auto"/>
              <w:bottom w:val="single" w:sz="4" w:space="0" w:color="auto"/>
              <w:right w:val="single" w:sz="4" w:space="0" w:color="auto"/>
            </w:tcBorders>
            <w:hideMark/>
          </w:tcPr>
          <w:p w14:paraId="58B836E4"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41346270" wp14:editId="11B13BA1">
                  <wp:extent cx="180975" cy="2571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2E1EAD02"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7495A44" wp14:editId="3418C72F">
                  <wp:extent cx="180975" cy="2571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EB2FBE" w14:paraId="31027043" w14:textId="77777777" w:rsidTr="00EB2FBE">
        <w:trPr>
          <w:cantSplit/>
          <w:trHeight w:val="557"/>
        </w:trPr>
        <w:tc>
          <w:tcPr>
            <w:tcW w:w="9639" w:type="dxa"/>
            <w:gridSpan w:val="3"/>
            <w:tcBorders>
              <w:top w:val="single" w:sz="4" w:space="0" w:color="auto"/>
              <w:left w:val="single" w:sz="4" w:space="0" w:color="C0C0C0"/>
              <w:bottom w:val="single" w:sz="4" w:space="0" w:color="C0C0C0"/>
              <w:right w:val="single" w:sz="4" w:space="0" w:color="C0C0C0"/>
            </w:tcBorders>
          </w:tcPr>
          <w:p w14:paraId="5084990C"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Il seguente aggiornamento dello standard è stato adottato: </w:t>
            </w:r>
          </w:p>
          <w:p w14:paraId="09F03CED" w14:textId="77777777" w:rsidR="00F85533" w:rsidRPr="00DB3299" w:rsidRDefault="00F85533" w:rsidP="00F85533">
            <w:pPr>
              <w:pStyle w:val="Box-Absatz"/>
              <w:numPr>
                <w:ilvl w:val="0"/>
                <w:numId w:val="30"/>
              </w:numPr>
              <w:spacing w:before="40" w:after="40"/>
              <w:ind w:left="743" w:hanging="284"/>
              <w:rPr>
                <w:rFonts w:ascii="KievitPro-Regular" w:hAnsi="KievitPro-Regular" w:cs="Arial"/>
                <w:color w:val="548DD4"/>
                <w:sz w:val="20"/>
                <w:lang w:val="it-CH"/>
              </w:rPr>
            </w:pPr>
          </w:p>
          <w:p w14:paraId="605E0239"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I seguenti punti sono citati nella Management Letter per la direzione:</w:t>
            </w:r>
          </w:p>
          <w:p w14:paraId="11883268" w14:textId="77777777" w:rsidR="00F85533" w:rsidRPr="00DB3299" w:rsidRDefault="00F85533" w:rsidP="00F85533">
            <w:pPr>
              <w:pStyle w:val="Box-Absatz"/>
              <w:numPr>
                <w:ilvl w:val="0"/>
                <w:numId w:val="30"/>
              </w:numPr>
              <w:spacing w:before="40" w:after="40"/>
              <w:ind w:left="743" w:hanging="284"/>
              <w:rPr>
                <w:rFonts w:ascii="KievitPro-Regular" w:hAnsi="KievitPro-Regular" w:cs="Arial"/>
                <w:color w:val="548DD4"/>
                <w:sz w:val="20"/>
                <w:lang w:val="it-CH"/>
              </w:rPr>
            </w:pPr>
            <w:r w:rsidRPr="00DB3299">
              <w:rPr>
                <w:rFonts w:ascii="KievitPro-Regular" w:hAnsi="KievitPro-Regular" w:cs="Arial"/>
                <w:color w:val="548DD4"/>
                <w:sz w:val="20"/>
                <w:lang w:val="it-CH"/>
              </w:rPr>
              <w:t xml:space="preserve"> </w:t>
            </w:r>
          </w:p>
        </w:tc>
      </w:tr>
      <w:tr w:rsidR="00F85533" w:rsidRPr="00DB3299" w14:paraId="2D163A12" w14:textId="77777777" w:rsidTr="00EB2FBE">
        <w:trPr>
          <w:cantSplit/>
          <w:trHeight w:val="233"/>
        </w:trPr>
        <w:tc>
          <w:tcPr>
            <w:tcW w:w="9639" w:type="dxa"/>
            <w:gridSpan w:val="3"/>
            <w:tcBorders>
              <w:top w:val="single" w:sz="4" w:space="0" w:color="C0C0C0"/>
              <w:left w:val="single" w:sz="4" w:space="0" w:color="C0C0C0"/>
              <w:bottom w:val="single" w:sz="4" w:space="0" w:color="C0C0C0"/>
              <w:right w:val="single" w:sz="4" w:space="0" w:color="C0C0C0"/>
            </w:tcBorders>
            <w:hideMark/>
          </w:tcPr>
          <w:p w14:paraId="459981D2" w14:textId="77777777" w:rsidR="00F85533" w:rsidRPr="00DB3299" w:rsidRDefault="00F85533" w:rsidP="00EB2FBE">
            <w:pPr>
              <w:pStyle w:val="Kopffrage"/>
              <w:tabs>
                <w:tab w:val="clear" w:pos="374"/>
                <w:tab w:val="left" w:pos="743"/>
              </w:tabs>
              <w:spacing w:before="40"/>
              <w:ind w:left="425" w:hanging="425"/>
              <w:rPr>
                <w:rFonts w:ascii="KievitPro-Regular" w:hAnsi="KievitPro-Regular" w:cs="Arial"/>
                <w:bCs/>
                <w:sz w:val="20"/>
                <w:lang w:val="it-CH"/>
              </w:rPr>
            </w:pPr>
            <w:r w:rsidRPr="00DB3299">
              <w:rPr>
                <w:rFonts w:ascii="KievitPro-Regular" w:hAnsi="KievitPro-Regular" w:cs="Arial"/>
                <w:bCs/>
                <w:sz w:val="20"/>
                <w:lang w:val="it-CH"/>
              </w:rPr>
              <w:t>5.</w:t>
            </w:r>
            <w:r w:rsidRPr="00DB3299">
              <w:rPr>
                <w:rFonts w:ascii="KievitPro-Regular" w:hAnsi="KievitPro-Regular" w:cs="Arial"/>
                <w:bCs/>
                <w:sz w:val="20"/>
                <w:lang w:val="it-CH"/>
              </w:rPr>
              <w:tab/>
              <w:t>Chiusura della revisione</w:t>
            </w:r>
          </w:p>
        </w:tc>
      </w:tr>
      <w:tr w:rsidR="00F85533" w:rsidRPr="00DB3299" w14:paraId="30C1E384" w14:textId="77777777" w:rsidTr="00EB2FBE">
        <w:trPr>
          <w:cantSplit/>
          <w:trHeight w:val="333"/>
        </w:trPr>
        <w:tc>
          <w:tcPr>
            <w:tcW w:w="7655" w:type="dxa"/>
            <w:tcBorders>
              <w:top w:val="single" w:sz="4" w:space="0" w:color="C0C0C0"/>
              <w:left w:val="single" w:sz="4" w:space="0" w:color="C0C0C0"/>
              <w:bottom w:val="single" w:sz="4" w:space="0" w:color="auto"/>
              <w:right w:val="single" w:sz="4" w:space="0" w:color="auto"/>
            </w:tcBorders>
            <w:hideMark/>
          </w:tcPr>
          <w:p w14:paraId="48BE83C7"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 xml:space="preserve">Sono disponibili i seguenti documenti firmati validamente dai cliente? In caso di risposta negativa, elencare le motivazioni. </w:t>
            </w:r>
          </w:p>
        </w:tc>
        <w:tc>
          <w:tcPr>
            <w:tcW w:w="992" w:type="dxa"/>
            <w:tcBorders>
              <w:top w:val="single" w:sz="4" w:space="0" w:color="auto"/>
              <w:left w:val="single" w:sz="4" w:space="0" w:color="auto"/>
              <w:bottom w:val="single" w:sz="4" w:space="0" w:color="auto"/>
              <w:right w:val="single" w:sz="4" w:space="0" w:color="auto"/>
            </w:tcBorders>
            <w:hideMark/>
          </w:tcPr>
          <w:p w14:paraId="4FD24ED2"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Si</w:t>
            </w:r>
          </w:p>
        </w:tc>
        <w:tc>
          <w:tcPr>
            <w:tcW w:w="992" w:type="dxa"/>
            <w:tcBorders>
              <w:top w:val="single" w:sz="4" w:space="0" w:color="auto"/>
              <w:left w:val="single" w:sz="4" w:space="0" w:color="auto"/>
              <w:bottom w:val="single" w:sz="4" w:space="0" w:color="auto"/>
              <w:right w:val="single" w:sz="4" w:space="0" w:color="auto"/>
            </w:tcBorders>
            <w:hideMark/>
          </w:tcPr>
          <w:p w14:paraId="5226ACD9"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r w:rsidRPr="00DB3299">
              <w:rPr>
                <w:rFonts w:ascii="KievitPro-Regular" w:hAnsi="KievitPro-Regular" w:cs="Arial"/>
                <w:b/>
                <w:bCs/>
                <w:sz w:val="20"/>
                <w:lang w:val="it-CH"/>
              </w:rPr>
              <w:t>No</w:t>
            </w:r>
          </w:p>
        </w:tc>
      </w:tr>
      <w:tr w:rsidR="00F85533" w:rsidRPr="00DB3299" w14:paraId="47364EA9" w14:textId="77777777" w:rsidTr="00EB2FBE">
        <w:trPr>
          <w:cantSplit/>
          <w:trHeight w:val="268"/>
        </w:trPr>
        <w:tc>
          <w:tcPr>
            <w:tcW w:w="7655" w:type="dxa"/>
            <w:tcBorders>
              <w:top w:val="single" w:sz="4" w:space="0" w:color="auto"/>
              <w:left w:val="single" w:sz="4" w:space="0" w:color="auto"/>
              <w:bottom w:val="single" w:sz="4" w:space="0" w:color="auto"/>
              <w:right w:val="single" w:sz="4" w:space="0" w:color="auto"/>
            </w:tcBorders>
            <w:hideMark/>
          </w:tcPr>
          <w:p w14:paraId="1941FAE6"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Dichiarazione di completezza</w:t>
            </w:r>
          </w:p>
        </w:tc>
        <w:tc>
          <w:tcPr>
            <w:tcW w:w="992" w:type="dxa"/>
            <w:tcBorders>
              <w:top w:val="single" w:sz="4" w:space="0" w:color="auto"/>
              <w:left w:val="single" w:sz="4" w:space="0" w:color="auto"/>
              <w:bottom w:val="single" w:sz="4" w:space="0" w:color="auto"/>
              <w:right w:val="single" w:sz="4" w:space="0" w:color="auto"/>
            </w:tcBorders>
            <w:hideMark/>
          </w:tcPr>
          <w:p w14:paraId="13430906" w14:textId="77777777" w:rsidR="00F85533" w:rsidRPr="00DB3299" w:rsidRDefault="00F85533" w:rsidP="00EB2FBE">
            <w:pPr>
              <w:pStyle w:val="Box-Absatz"/>
              <w:spacing w:before="40" w:after="40"/>
              <w:ind w:left="277"/>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359E1FCE" wp14:editId="0E36F17D">
                  <wp:extent cx="180975" cy="2571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0DBDD8E4" w14:textId="77777777" w:rsidR="00F85533" w:rsidRPr="00DB3299" w:rsidRDefault="00F85533" w:rsidP="00EB2FBE">
            <w:pPr>
              <w:pStyle w:val="Box-Absatz"/>
              <w:spacing w:before="40" w:after="40"/>
              <w:ind w:left="277"/>
              <w:rPr>
                <w:rFonts w:ascii="KievitPro-Regular" w:hAnsi="KievitPro-Regular" w:cs="Arial"/>
                <w:sz w:val="20"/>
                <w:lang w:val="it-CH"/>
              </w:rPr>
            </w:pPr>
            <w:r w:rsidRPr="00DB3299">
              <w:rPr>
                <w:rFonts w:ascii="KievitPro-Regular" w:hAnsi="KievitPro-Regular" w:cs="Arial"/>
                <w:noProof/>
                <w:sz w:val="20"/>
                <w:lang w:val="de-CH" w:eastAsia="de-CH" w:bidi="ar-SA"/>
              </w:rPr>
              <w:drawing>
                <wp:inline distT="0" distB="0" distL="0" distR="0" wp14:anchorId="6CDAFF1B" wp14:editId="28799F94">
                  <wp:extent cx="18097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3D1456BE" w14:textId="77777777" w:rsidTr="00EB2FBE">
        <w:trPr>
          <w:cantSplit/>
          <w:trHeight w:val="513"/>
        </w:trPr>
        <w:tc>
          <w:tcPr>
            <w:tcW w:w="7655" w:type="dxa"/>
            <w:tcBorders>
              <w:top w:val="single" w:sz="4" w:space="0" w:color="auto"/>
              <w:left w:val="single" w:sz="4" w:space="0" w:color="auto"/>
              <w:bottom w:val="single" w:sz="4" w:space="0" w:color="auto"/>
              <w:right w:val="single" w:sz="4" w:space="0" w:color="auto"/>
            </w:tcBorders>
            <w:hideMark/>
          </w:tcPr>
          <w:p w14:paraId="09748D34"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Copia del conto annuale firmato.</w:t>
            </w:r>
          </w:p>
        </w:tc>
        <w:tc>
          <w:tcPr>
            <w:tcW w:w="992" w:type="dxa"/>
            <w:tcBorders>
              <w:top w:val="single" w:sz="4" w:space="0" w:color="auto"/>
              <w:left w:val="single" w:sz="4" w:space="0" w:color="auto"/>
              <w:bottom w:val="single" w:sz="4" w:space="0" w:color="auto"/>
              <w:right w:val="single" w:sz="4" w:space="0" w:color="auto"/>
            </w:tcBorders>
            <w:hideMark/>
          </w:tcPr>
          <w:p w14:paraId="5759B544"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CEBB27A" wp14:editId="592AD79F">
                  <wp:extent cx="180975" cy="2571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278BE671"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B9EDEC7" wp14:editId="78D56755">
                  <wp:extent cx="180975" cy="2571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4E234C1A"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50507AC2"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Liste delle correzioni firmata.</w:t>
            </w:r>
          </w:p>
        </w:tc>
        <w:tc>
          <w:tcPr>
            <w:tcW w:w="992" w:type="dxa"/>
            <w:tcBorders>
              <w:top w:val="single" w:sz="4" w:space="0" w:color="C0C0C0"/>
              <w:left w:val="single" w:sz="4" w:space="0" w:color="auto"/>
              <w:bottom w:val="single" w:sz="4" w:space="0" w:color="auto"/>
              <w:right w:val="single" w:sz="4" w:space="0" w:color="auto"/>
            </w:tcBorders>
            <w:hideMark/>
          </w:tcPr>
          <w:p w14:paraId="3A82461C"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2DEA2F6D" wp14:editId="0C2A32B5">
                  <wp:extent cx="180975" cy="2571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32C86DA6"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49E7EF84" wp14:editId="61DC89C5">
                  <wp:extent cx="180975" cy="2571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21AFFE39"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3B2B5045"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Riepilogo delle riserve latenti.</w:t>
            </w:r>
          </w:p>
        </w:tc>
        <w:tc>
          <w:tcPr>
            <w:tcW w:w="992" w:type="dxa"/>
            <w:tcBorders>
              <w:top w:val="single" w:sz="4" w:space="0" w:color="C0C0C0"/>
              <w:left w:val="single" w:sz="4" w:space="0" w:color="auto"/>
              <w:bottom w:val="single" w:sz="4" w:space="0" w:color="auto"/>
              <w:right w:val="single" w:sz="4" w:space="0" w:color="auto"/>
            </w:tcBorders>
            <w:hideMark/>
          </w:tcPr>
          <w:p w14:paraId="07B34435"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649E3D34" wp14:editId="259EF0A6">
                  <wp:extent cx="180975" cy="2571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034C5044"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D82D457" wp14:editId="7F18E4BE">
                  <wp:extent cx="180975" cy="257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0FA0A1F3" w14:textId="77777777" w:rsidTr="00EB2FBE">
        <w:trPr>
          <w:cantSplit/>
          <w:trHeight w:val="333"/>
        </w:trPr>
        <w:tc>
          <w:tcPr>
            <w:tcW w:w="7655" w:type="dxa"/>
            <w:tcBorders>
              <w:top w:val="single" w:sz="4" w:space="0" w:color="C0C0C0"/>
              <w:left w:val="single" w:sz="4" w:space="0" w:color="C0C0C0"/>
              <w:bottom w:val="single" w:sz="4" w:space="0" w:color="auto"/>
              <w:right w:val="single" w:sz="4" w:space="0" w:color="auto"/>
            </w:tcBorders>
            <w:hideMark/>
          </w:tcPr>
          <w:p w14:paraId="77B8890D" w14:textId="77777777" w:rsidR="00F85533" w:rsidRPr="00DB3299" w:rsidRDefault="00F85533" w:rsidP="00EB2FBE">
            <w:pPr>
              <w:pStyle w:val="Box-Absatz"/>
              <w:spacing w:before="40" w:after="40"/>
              <w:ind w:left="426"/>
              <w:rPr>
                <w:rFonts w:ascii="KievitPro-Regular" w:hAnsi="KievitPro-Regular" w:cs="Arial"/>
                <w:sz w:val="20"/>
                <w:lang w:val="it-CH"/>
              </w:rPr>
            </w:pPr>
            <w:r w:rsidRPr="00DB3299">
              <w:rPr>
                <w:rFonts w:ascii="KievitPro-Regular" w:hAnsi="KievitPro-Regular" w:cs="Arial"/>
                <w:sz w:val="20"/>
                <w:lang w:val="it-CH"/>
              </w:rPr>
              <w:t>Inoltre:</w:t>
            </w:r>
          </w:p>
        </w:tc>
        <w:tc>
          <w:tcPr>
            <w:tcW w:w="992" w:type="dxa"/>
            <w:tcBorders>
              <w:top w:val="single" w:sz="4" w:space="0" w:color="auto"/>
              <w:left w:val="single" w:sz="4" w:space="0" w:color="auto"/>
              <w:bottom w:val="single" w:sz="4" w:space="0" w:color="auto"/>
              <w:right w:val="single" w:sz="4" w:space="0" w:color="auto"/>
            </w:tcBorders>
          </w:tcPr>
          <w:p w14:paraId="7D6EBF57"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p>
        </w:tc>
        <w:tc>
          <w:tcPr>
            <w:tcW w:w="992" w:type="dxa"/>
            <w:tcBorders>
              <w:top w:val="single" w:sz="4" w:space="0" w:color="auto"/>
              <w:left w:val="single" w:sz="4" w:space="0" w:color="auto"/>
              <w:bottom w:val="single" w:sz="4" w:space="0" w:color="auto"/>
              <w:right w:val="single" w:sz="4" w:space="0" w:color="auto"/>
            </w:tcBorders>
          </w:tcPr>
          <w:p w14:paraId="1CAF641E" w14:textId="77777777" w:rsidR="00F85533" w:rsidRPr="00DB3299" w:rsidRDefault="00F85533" w:rsidP="00EB2FBE">
            <w:pPr>
              <w:pStyle w:val="Box-Absatz"/>
              <w:spacing w:before="40" w:after="40"/>
              <w:ind w:left="0" w:right="0"/>
              <w:jc w:val="center"/>
              <w:rPr>
                <w:rFonts w:ascii="KievitPro-Regular" w:hAnsi="KievitPro-Regular" w:cs="Arial"/>
                <w:b/>
                <w:bCs/>
                <w:sz w:val="20"/>
                <w:lang w:val="it-CH"/>
              </w:rPr>
            </w:pPr>
          </w:p>
        </w:tc>
      </w:tr>
      <w:tr w:rsidR="00F85533" w:rsidRPr="00DB3299" w14:paraId="7BA83ADC"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2071B2F5"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 xml:space="preserve">La documentazione è completa; </w:t>
            </w:r>
          </w:p>
        </w:tc>
        <w:tc>
          <w:tcPr>
            <w:tcW w:w="992" w:type="dxa"/>
            <w:tcBorders>
              <w:top w:val="single" w:sz="4" w:space="0" w:color="C0C0C0"/>
              <w:left w:val="single" w:sz="4" w:space="0" w:color="auto"/>
              <w:bottom w:val="single" w:sz="4" w:space="0" w:color="auto"/>
              <w:right w:val="single" w:sz="4" w:space="0" w:color="auto"/>
            </w:tcBorders>
            <w:hideMark/>
          </w:tcPr>
          <w:p w14:paraId="44EB2603"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790C56BD" wp14:editId="69688B77">
                  <wp:extent cx="180975" cy="2571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0C1E2619"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6ABB4957" wp14:editId="2DF98B23">
                  <wp:extent cx="180975" cy="2571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r w:rsidR="00F85533" w:rsidRPr="00DB3299" w14:paraId="6CDA500D" w14:textId="77777777" w:rsidTr="00EB2FBE">
        <w:trPr>
          <w:cantSplit/>
          <w:trHeight w:val="513"/>
        </w:trPr>
        <w:tc>
          <w:tcPr>
            <w:tcW w:w="7655" w:type="dxa"/>
            <w:tcBorders>
              <w:top w:val="single" w:sz="4" w:space="0" w:color="C0C0C0"/>
              <w:left w:val="single" w:sz="4" w:space="0" w:color="auto"/>
              <w:bottom w:val="single" w:sz="4" w:space="0" w:color="auto"/>
              <w:right w:val="single" w:sz="4" w:space="0" w:color="auto"/>
            </w:tcBorders>
            <w:hideMark/>
          </w:tcPr>
          <w:p w14:paraId="7FE70972" w14:textId="77777777" w:rsidR="00F85533" w:rsidRPr="00DB3299" w:rsidRDefault="00F85533" w:rsidP="00EB2FBE">
            <w:pPr>
              <w:pStyle w:val="Box-Absatz"/>
              <w:spacing w:before="40" w:after="40"/>
              <w:ind w:left="426"/>
              <w:rPr>
                <w:rFonts w:ascii="KievitPro-Regular" w:hAnsi="KievitPro-Regular" w:cs="Arial"/>
                <w:strike/>
                <w:sz w:val="20"/>
                <w:lang w:val="it-CH"/>
              </w:rPr>
            </w:pPr>
            <w:r w:rsidRPr="00DB3299">
              <w:rPr>
                <w:rFonts w:ascii="KievitPro-Regular" w:hAnsi="KievitPro-Regular" w:cs="Arial"/>
                <w:sz w:val="20"/>
                <w:lang w:val="it-CH"/>
              </w:rPr>
              <w:t>Il memo conclusivo è disponibile e i documenti di lavoro sono stati verificati dal reviewer.</w:t>
            </w:r>
          </w:p>
        </w:tc>
        <w:tc>
          <w:tcPr>
            <w:tcW w:w="992" w:type="dxa"/>
            <w:tcBorders>
              <w:top w:val="single" w:sz="4" w:space="0" w:color="C0C0C0"/>
              <w:left w:val="single" w:sz="4" w:space="0" w:color="auto"/>
              <w:bottom w:val="single" w:sz="4" w:space="0" w:color="auto"/>
              <w:right w:val="single" w:sz="4" w:space="0" w:color="auto"/>
            </w:tcBorders>
            <w:hideMark/>
          </w:tcPr>
          <w:p w14:paraId="5D62609C"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595B9335" wp14:editId="292B3BC3">
                  <wp:extent cx="180975" cy="2571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c>
          <w:tcPr>
            <w:tcW w:w="992" w:type="dxa"/>
            <w:tcBorders>
              <w:top w:val="single" w:sz="4" w:space="0" w:color="C0C0C0"/>
              <w:left w:val="single" w:sz="4" w:space="0" w:color="auto"/>
              <w:bottom w:val="single" w:sz="4" w:space="0" w:color="auto"/>
              <w:right w:val="single" w:sz="4" w:space="0" w:color="auto"/>
            </w:tcBorders>
            <w:hideMark/>
          </w:tcPr>
          <w:p w14:paraId="222126CD" w14:textId="77777777" w:rsidR="00F85533" w:rsidRPr="00DB3299" w:rsidRDefault="00F85533" w:rsidP="00EB2FBE">
            <w:pPr>
              <w:pStyle w:val="Box-Absatz"/>
              <w:spacing w:before="40" w:after="40"/>
              <w:ind w:left="277"/>
              <w:rPr>
                <w:rFonts w:ascii="KievitPro-Regular" w:hAnsi="KievitPro-Regular" w:cs="Arial"/>
                <w:strike/>
                <w:sz w:val="20"/>
                <w:lang w:val="it-CH"/>
              </w:rPr>
            </w:pPr>
            <w:r w:rsidRPr="00DB3299">
              <w:rPr>
                <w:rFonts w:ascii="KievitPro-Regular" w:hAnsi="KievitPro-Regular" w:cs="Arial"/>
                <w:noProof/>
                <w:sz w:val="20"/>
                <w:lang w:val="de-CH" w:eastAsia="de-CH" w:bidi="ar-SA"/>
              </w:rPr>
              <w:drawing>
                <wp:inline distT="0" distB="0" distL="0" distR="0" wp14:anchorId="7AA063B4" wp14:editId="761DF59C">
                  <wp:extent cx="18097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p>
        </w:tc>
      </w:tr>
    </w:tbl>
    <w:p w14:paraId="0E3DEACD" w14:textId="77777777" w:rsidR="00F85533" w:rsidRPr="00DB3299" w:rsidRDefault="00F85533" w:rsidP="00F85533">
      <w:pPr>
        <w:pStyle w:val="Textkrper-Zeileneinzug"/>
        <w:spacing w:before="60"/>
        <w:ind w:left="0" w:hanging="1"/>
        <w:rPr>
          <w:rFonts w:ascii="KievitPro-Regular" w:hAnsi="KievitPro-Regular" w:cs="Arial"/>
          <w:b/>
          <w:iCs/>
          <w:lang w:val="it-CH"/>
        </w:rPr>
      </w:pPr>
    </w:p>
    <w:p w14:paraId="7865797C" w14:textId="77777777" w:rsidR="00F85533" w:rsidRPr="00DB3299" w:rsidRDefault="00F85533" w:rsidP="00F85533">
      <w:pPr>
        <w:pStyle w:val="Textkrper-Zeileneinzug"/>
        <w:tabs>
          <w:tab w:val="left" w:pos="1276"/>
          <w:tab w:val="left" w:pos="4111"/>
        </w:tabs>
        <w:spacing w:before="60" w:after="60"/>
        <w:ind w:left="0"/>
        <w:rPr>
          <w:rFonts w:ascii="KievitPro-Regular" w:hAnsi="KievitPro-Regular" w:cs="Arial"/>
          <w:b/>
          <w:lang w:val="it-CH"/>
        </w:rPr>
      </w:pPr>
      <w:bookmarkStart w:id="122" w:name="_Toc331493580"/>
      <w:bookmarkEnd w:id="121"/>
      <w:r w:rsidRPr="00DB3299">
        <w:rPr>
          <w:rFonts w:ascii="KievitPro-Regular" w:hAnsi="KievitPro-Regular" w:cs="Arial"/>
          <w:b/>
          <w:lang w:val="it-CH"/>
        </w:rPr>
        <w:t>Redatto da:</w:t>
      </w:r>
      <w:r w:rsidRPr="00DB3299">
        <w:rPr>
          <w:rFonts w:ascii="KievitPro-Regular" w:hAnsi="KievitPro-Regular" w:cs="Arial"/>
          <w:b/>
          <w:lang w:val="it-CH"/>
        </w:rPr>
        <w:tab/>
        <w:t>-----------------------------</w:t>
      </w:r>
      <w:r w:rsidRPr="00DB3299">
        <w:rPr>
          <w:rFonts w:ascii="KievitPro-Regular" w:hAnsi="KievitPro-Regular" w:cs="Arial"/>
          <w:b/>
          <w:lang w:val="it-CH"/>
        </w:rPr>
        <w:tab/>
        <w:t>-----------------------------------------------</w:t>
      </w:r>
      <w:bookmarkEnd w:id="122"/>
    </w:p>
    <w:p w14:paraId="67F28108" w14:textId="77777777" w:rsidR="00F85533" w:rsidRPr="00DB3299" w:rsidRDefault="00F85533" w:rsidP="00F85533">
      <w:pPr>
        <w:pStyle w:val="Textkrper-Zeileneinzug"/>
        <w:tabs>
          <w:tab w:val="left" w:pos="1276"/>
          <w:tab w:val="left" w:pos="4111"/>
        </w:tabs>
        <w:spacing w:before="60"/>
        <w:ind w:left="0"/>
        <w:rPr>
          <w:rFonts w:ascii="KievitPro-Regular" w:hAnsi="KievitPro-Regular" w:cs="Arial"/>
          <w:b/>
          <w:lang w:val="it-CH"/>
        </w:rPr>
      </w:pPr>
      <w:r w:rsidRPr="00DB3299">
        <w:rPr>
          <w:rFonts w:ascii="KievitPro-Regular" w:hAnsi="KievitPro-Regular" w:cs="Arial"/>
          <w:b/>
          <w:lang w:val="it-CH"/>
        </w:rPr>
        <w:tab/>
      </w:r>
      <w:bookmarkStart w:id="123" w:name="_Toc331493581"/>
      <w:r w:rsidRPr="00DB3299">
        <w:rPr>
          <w:rFonts w:ascii="KievitPro-Regular" w:hAnsi="KievitPro-Regular" w:cs="Arial"/>
          <w:b/>
          <w:lang w:val="it-CH"/>
        </w:rPr>
        <w:t>Data</w:t>
      </w:r>
      <w:r w:rsidRPr="00DB3299">
        <w:rPr>
          <w:rFonts w:ascii="KievitPro-Regular" w:hAnsi="KievitPro-Regular" w:cs="Arial"/>
          <w:b/>
          <w:lang w:val="it-CH"/>
        </w:rPr>
        <w:tab/>
      </w:r>
      <w:bookmarkEnd w:id="123"/>
      <w:r w:rsidRPr="00DB3299">
        <w:rPr>
          <w:rFonts w:ascii="KievitPro-Regular" w:hAnsi="KievitPro-Regular" w:cs="Arial"/>
          <w:b/>
          <w:lang w:val="it-CH"/>
        </w:rPr>
        <w:t>Firma</w:t>
      </w:r>
    </w:p>
    <w:p w14:paraId="5D4CFAD4" w14:textId="77777777" w:rsidR="00F85533" w:rsidRPr="00DB3299" w:rsidRDefault="00F85533" w:rsidP="00F85533">
      <w:pPr>
        <w:pStyle w:val="Textkrper-Zeileneinzug"/>
        <w:tabs>
          <w:tab w:val="left" w:pos="1276"/>
          <w:tab w:val="left" w:pos="4111"/>
        </w:tabs>
        <w:spacing w:before="60"/>
        <w:ind w:left="0"/>
        <w:rPr>
          <w:rFonts w:ascii="KievitPro-Regular" w:hAnsi="KievitPro-Regular" w:cs="Arial"/>
          <w:b/>
          <w:lang w:val="it-CH"/>
        </w:rPr>
      </w:pPr>
    </w:p>
    <w:p w14:paraId="6D3F7892"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bookmarkStart w:id="124" w:name="_Toc331493582"/>
      <w:bookmarkStart w:id="125" w:name="_Hlk10363506"/>
      <w:r w:rsidRPr="00DB3299">
        <w:rPr>
          <w:rFonts w:ascii="KievitPro-Regular" w:hAnsi="KievitPro-Regular" w:cs="Arial"/>
          <w:b/>
          <w:lang w:val="it-CH"/>
        </w:rPr>
        <w:t xml:space="preserve">Verificato e approvato da:  </w:t>
      </w:r>
      <w:bookmarkEnd w:id="124"/>
    </w:p>
    <w:p w14:paraId="370165E9" w14:textId="77777777" w:rsidR="00F85533" w:rsidRPr="00DB3299" w:rsidRDefault="00F85533" w:rsidP="00F85533">
      <w:pPr>
        <w:pStyle w:val="Textkrper-Zeileneinzug"/>
        <w:tabs>
          <w:tab w:val="left" w:pos="1276"/>
          <w:tab w:val="left" w:pos="4111"/>
        </w:tabs>
        <w:spacing w:before="60" w:after="60"/>
        <w:ind w:left="0"/>
        <w:rPr>
          <w:rFonts w:ascii="KievitPro-Regular" w:hAnsi="KievitPro-Regular" w:cs="Arial"/>
          <w:b/>
          <w:lang w:val="it-CH"/>
        </w:rPr>
      </w:pPr>
      <w:r w:rsidRPr="00DB3299">
        <w:rPr>
          <w:rFonts w:ascii="KievitPro-Regular" w:hAnsi="KievitPro-Regular" w:cs="Arial"/>
          <w:b/>
          <w:lang w:val="it-CH"/>
        </w:rPr>
        <w:tab/>
      </w:r>
      <w:bookmarkStart w:id="126" w:name="_Toc331493583"/>
      <w:r w:rsidRPr="00DB3299">
        <w:rPr>
          <w:rFonts w:ascii="KievitPro-Regular" w:hAnsi="KievitPro-Regular" w:cs="Arial"/>
          <w:b/>
          <w:lang w:val="it-CH"/>
        </w:rPr>
        <w:t>----------------------------</w:t>
      </w:r>
      <w:r w:rsidRPr="00DB3299">
        <w:rPr>
          <w:rFonts w:ascii="KievitPro-Regular" w:hAnsi="KievitPro-Regular" w:cs="Arial"/>
          <w:b/>
          <w:lang w:val="it-CH"/>
        </w:rPr>
        <w:tab/>
        <w:t>-----------------------------------------------</w:t>
      </w:r>
      <w:bookmarkEnd w:id="126"/>
    </w:p>
    <w:p w14:paraId="4BAF72A3"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r w:rsidRPr="00DB3299">
        <w:rPr>
          <w:rFonts w:ascii="KievitPro-Regular" w:hAnsi="KievitPro-Regular" w:cs="Arial"/>
          <w:b/>
          <w:lang w:val="it-CH"/>
        </w:rPr>
        <w:tab/>
      </w:r>
      <w:bookmarkStart w:id="127" w:name="_Toc331493584"/>
      <w:r w:rsidRPr="00DB3299">
        <w:rPr>
          <w:rFonts w:ascii="KievitPro-Regular" w:hAnsi="KievitPro-Regular" w:cs="Arial"/>
          <w:b/>
          <w:lang w:val="it-CH"/>
        </w:rPr>
        <w:tab/>
        <w:t>Data</w:t>
      </w:r>
      <w:r w:rsidRPr="00DB3299">
        <w:rPr>
          <w:rFonts w:ascii="KievitPro-Regular" w:hAnsi="KievitPro-Regular" w:cs="Arial"/>
          <w:b/>
          <w:lang w:val="it-CH"/>
        </w:rPr>
        <w:tab/>
      </w:r>
      <w:bookmarkEnd w:id="127"/>
      <w:r w:rsidRPr="00DB3299">
        <w:rPr>
          <w:rFonts w:ascii="KievitPro-Regular" w:hAnsi="KievitPro-Regular" w:cs="Arial"/>
          <w:b/>
          <w:lang w:val="it-CH"/>
        </w:rPr>
        <w:t>Revisore responsabile</w:t>
      </w:r>
    </w:p>
    <w:p w14:paraId="24CDACA3" w14:textId="77777777" w:rsidR="00F85533" w:rsidRPr="00DB3299" w:rsidRDefault="00F85533" w:rsidP="00F85533">
      <w:pPr>
        <w:pStyle w:val="Textkrper-Zeileneinzug"/>
        <w:tabs>
          <w:tab w:val="left" w:pos="1276"/>
          <w:tab w:val="left" w:pos="4111"/>
        </w:tabs>
        <w:spacing w:before="60" w:after="60"/>
        <w:ind w:left="0"/>
        <w:rPr>
          <w:rFonts w:ascii="KievitPro-Regular" w:hAnsi="KievitPro-Regular" w:cs="Arial"/>
          <w:b/>
          <w:lang w:val="it-CH"/>
        </w:rPr>
      </w:pPr>
      <w:r w:rsidRPr="00DB3299">
        <w:rPr>
          <w:rFonts w:ascii="KievitPro-Regular" w:hAnsi="KievitPro-Regular" w:cs="Arial"/>
          <w:b/>
          <w:lang w:val="it-CH"/>
        </w:rPr>
        <w:tab/>
      </w:r>
      <w:bookmarkStart w:id="128" w:name="_Toc331493585"/>
      <w:r w:rsidRPr="00DB3299">
        <w:rPr>
          <w:rFonts w:ascii="KievitPro-Regular" w:hAnsi="KievitPro-Regular" w:cs="Arial"/>
          <w:b/>
          <w:lang w:val="it-CH"/>
        </w:rPr>
        <w:t>---------------------------</w:t>
      </w:r>
      <w:r w:rsidRPr="00DB3299">
        <w:rPr>
          <w:rFonts w:ascii="KievitPro-Regular" w:hAnsi="KievitPro-Regular" w:cs="Arial"/>
          <w:b/>
          <w:lang w:val="it-CH"/>
        </w:rPr>
        <w:tab/>
        <w:t>-----------------------------------------------</w:t>
      </w:r>
      <w:bookmarkEnd w:id="128"/>
    </w:p>
    <w:p w14:paraId="01649F64"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r w:rsidRPr="00DB3299">
        <w:rPr>
          <w:rFonts w:ascii="KievitPro-Regular" w:hAnsi="KievitPro-Regular" w:cs="Arial"/>
          <w:b/>
          <w:lang w:val="it-CH"/>
        </w:rPr>
        <w:tab/>
      </w:r>
      <w:bookmarkStart w:id="129" w:name="_Toc331493586"/>
      <w:r w:rsidRPr="00DB3299">
        <w:rPr>
          <w:rFonts w:ascii="KievitPro-Regular" w:hAnsi="KievitPro-Regular" w:cs="Arial"/>
          <w:b/>
          <w:lang w:val="it-CH"/>
        </w:rPr>
        <w:tab/>
        <w:t>Data</w:t>
      </w:r>
      <w:r w:rsidRPr="00DB3299">
        <w:rPr>
          <w:rFonts w:ascii="KievitPro-Regular" w:hAnsi="KievitPro-Regular" w:cs="Arial"/>
          <w:b/>
          <w:lang w:val="it-CH"/>
        </w:rPr>
        <w:tab/>
      </w:r>
      <w:bookmarkEnd w:id="129"/>
      <w:r w:rsidRPr="00DB3299">
        <w:rPr>
          <w:rFonts w:ascii="KievitPro-Regular" w:hAnsi="KievitPro-Regular" w:cs="Arial"/>
          <w:b/>
          <w:lang w:val="it-CH"/>
        </w:rPr>
        <w:t>Secondo firmatario</w:t>
      </w:r>
    </w:p>
    <w:bookmarkEnd w:id="125"/>
    <w:p w14:paraId="0C437F52" w14:textId="77777777" w:rsidR="00F85533" w:rsidRPr="002858E4" w:rsidRDefault="00F85533" w:rsidP="00F85533">
      <w:pPr>
        <w:rPr>
          <w:rFonts w:ascii="Avenir LT Std 35 Light" w:hAnsi="Avenir LT Std 35 Light" w:cs="Arial"/>
          <w:bCs/>
          <w:lang w:val="it-CH"/>
        </w:rPr>
      </w:pPr>
      <w:r w:rsidRPr="002858E4">
        <w:rPr>
          <w:rFonts w:ascii="Avenir LT Std 35 Light" w:hAnsi="Avenir LT Std 35 Light" w:cs="Arial"/>
          <w:b/>
          <w:lang w:val="it-CH"/>
        </w:rPr>
        <w:br w:type="page"/>
      </w:r>
    </w:p>
    <w:p w14:paraId="147824EA"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30" w:name="_Toc126737282"/>
      <w:r w:rsidRPr="000E27FB">
        <w:rPr>
          <w:rFonts w:ascii="Avenir LT Std 35 Light" w:hAnsi="Avenir LT Std 35 Light"/>
          <w:smallCaps/>
          <w:snapToGrid/>
          <w:sz w:val="24"/>
          <w:szCs w:val="28"/>
          <w:lang w:val="it-CH" w:eastAsia="en-US"/>
        </w:rPr>
        <w:t>5.11</w:t>
      </w:r>
      <w:r w:rsidRPr="000E27FB">
        <w:rPr>
          <w:rFonts w:ascii="Avenir LT Std 35 Light" w:hAnsi="Avenir LT Std 35 Light"/>
          <w:smallCaps/>
          <w:snapToGrid/>
          <w:sz w:val="24"/>
          <w:szCs w:val="28"/>
          <w:lang w:val="it-CH" w:eastAsia="en-US"/>
        </w:rPr>
        <w:tab/>
        <w:t>Regolamento di collaborazione</w:t>
      </w:r>
      <w:bookmarkEnd w:id="130"/>
    </w:p>
    <w:p w14:paraId="602CE5DB" w14:textId="77777777" w:rsidR="00F85533" w:rsidRPr="00DB3299" w:rsidRDefault="00F85533" w:rsidP="00F85533">
      <w:pPr>
        <w:pStyle w:val="Textkrper-Zeileneinzug"/>
        <w:spacing w:before="60"/>
        <w:ind w:left="0" w:hanging="1"/>
        <w:rPr>
          <w:rFonts w:ascii="KievitPro-Regular" w:hAnsi="KievitPro-Regular" w:cs="Arial"/>
          <w:b/>
          <w:lang w:val="it-CH"/>
        </w:rPr>
      </w:pPr>
      <w:r w:rsidRPr="00DB3299">
        <w:rPr>
          <w:rFonts w:ascii="KievitPro-Regular" w:hAnsi="KievitPro-Regular" w:cs="Arial"/>
          <w:b/>
          <w:lang w:val="it-CH"/>
        </w:rPr>
        <w:t>(Quelle: TREUHAND|SUISSE – SIFER)</w:t>
      </w:r>
    </w:p>
    <w:p w14:paraId="357AF7A3"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lang w:val="it-CH"/>
        </w:rPr>
      </w:pPr>
    </w:p>
    <w:p w14:paraId="497AE7C1" w14:textId="77777777" w:rsidR="00F85533" w:rsidRPr="00DB3299" w:rsidRDefault="00F85533" w:rsidP="00F85533">
      <w:pPr>
        <w:jc w:val="center"/>
        <w:rPr>
          <w:rFonts w:ascii="KievitPro-Regular" w:hAnsi="KievitPro-Regular" w:cs="Arial"/>
          <w:b/>
          <w:sz w:val="24"/>
          <w:szCs w:val="24"/>
          <w:lang w:val="it-CH"/>
        </w:rPr>
      </w:pPr>
      <w:r w:rsidRPr="00DB3299">
        <w:rPr>
          <w:rFonts w:ascii="KievitPro-Regular" w:hAnsi="KievitPro-Regular" w:cs="Arial"/>
          <w:b/>
          <w:sz w:val="24"/>
          <w:szCs w:val="24"/>
          <w:lang w:val="it-CH"/>
        </w:rPr>
        <w:t xml:space="preserve">REGOLAMENTO PER LA </w:t>
      </w:r>
    </w:p>
    <w:p w14:paraId="0B19B228" w14:textId="77777777" w:rsidR="00F85533" w:rsidRPr="00DB3299" w:rsidRDefault="00F85533" w:rsidP="00F85533">
      <w:pPr>
        <w:jc w:val="center"/>
        <w:rPr>
          <w:rFonts w:ascii="KievitPro-Regular" w:hAnsi="KievitPro-Regular" w:cs="Arial"/>
          <w:b/>
          <w:sz w:val="24"/>
          <w:szCs w:val="24"/>
          <w:lang w:val="it-CH"/>
        </w:rPr>
      </w:pPr>
      <w:r w:rsidRPr="00DB3299">
        <w:rPr>
          <w:rFonts w:ascii="KievitPro-Regular" w:hAnsi="KievitPro-Regular" w:cs="Arial"/>
          <w:b/>
          <w:sz w:val="24"/>
          <w:szCs w:val="24"/>
          <w:lang w:val="it-CH"/>
        </w:rPr>
        <w:t xml:space="preserve">SEPARAZIONE ORGANIZZATIVA TRA REVISIONE E CONTABILITÀ E L’OFFERTA DI ALTRI SERVIZI </w:t>
      </w:r>
    </w:p>
    <w:p w14:paraId="73D4503E" w14:textId="77777777" w:rsidR="00F85533" w:rsidRPr="00DB3299" w:rsidRDefault="00F85533" w:rsidP="00F85533">
      <w:pPr>
        <w:rPr>
          <w:rFonts w:ascii="KievitPro-Regular" w:hAnsi="KievitPro-Regular" w:cs="Arial"/>
          <w:lang w:val="it-CH"/>
        </w:rPr>
      </w:pPr>
    </w:p>
    <w:p w14:paraId="33173EB4" w14:textId="77777777" w:rsidR="00F85533" w:rsidRPr="00DB3299" w:rsidRDefault="00F85533" w:rsidP="002E205D">
      <w:pPr>
        <w:spacing w:line="276" w:lineRule="auto"/>
        <w:rPr>
          <w:rFonts w:ascii="KievitPro-Regular" w:hAnsi="KievitPro-Regular" w:cs="Arial"/>
          <w:lang w:val="it-CH"/>
        </w:rPr>
      </w:pPr>
    </w:p>
    <w:p w14:paraId="1DCD53B0"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[Impresa, Luogo]</w:t>
      </w:r>
    </w:p>
    <w:p w14:paraId="691047AC"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il consiglio di amministrazione [organo che detiene potere decisionale] della ................... SA [impresa], [Luogo], (di seguito: „società“ [altre definizioni]) sulla base dell’art. ............ degli statuti con stesura del ............, emana il seguente regolamento:</w:t>
      </w:r>
    </w:p>
    <w:p w14:paraId="309A8F4A" w14:textId="77777777" w:rsidR="00F85533" w:rsidRPr="00DB3299" w:rsidRDefault="00F85533" w:rsidP="002E205D">
      <w:pPr>
        <w:spacing w:line="276" w:lineRule="auto"/>
        <w:rPr>
          <w:rFonts w:ascii="KievitPro-Regular" w:hAnsi="KievitPro-Regular" w:cs="Arial"/>
          <w:lang w:val="it-CH"/>
        </w:rPr>
      </w:pPr>
    </w:p>
    <w:p w14:paraId="3477E2C0" w14:textId="77777777" w:rsidR="00F85533" w:rsidRPr="00DB3299" w:rsidRDefault="00F85533" w:rsidP="002E205D">
      <w:pPr>
        <w:spacing w:line="276" w:lineRule="auto"/>
        <w:rPr>
          <w:rFonts w:ascii="KievitPro-Regular" w:hAnsi="KievitPro-Regular" w:cs="Arial"/>
          <w:lang w:val="it-CH"/>
        </w:rPr>
      </w:pPr>
    </w:p>
    <w:p w14:paraId="7642A38F" w14:textId="77777777" w:rsidR="00F85533" w:rsidRPr="00DB3299" w:rsidRDefault="00F85533" w:rsidP="002E205D">
      <w:pPr>
        <w:tabs>
          <w:tab w:val="left" w:pos="426"/>
        </w:tabs>
        <w:spacing w:line="276" w:lineRule="auto"/>
        <w:rPr>
          <w:rFonts w:ascii="KievitPro-Regular" w:hAnsi="KievitPro-Regular" w:cs="Arial"/>
          <w:b/>
          <w:sz w:val="24"/>
          <w:szCs w:val="24"/>
          <w:lang w:val="it-CH"/>
        </w:rPr>
      </w:pPr>
      <w:r w:rsidRPr="00DB3299">
        <w:rPr>
          <w:rFonts w:ascii="KievitPro-Regular" w:hAnsi="KievitPro-Regular" w:cs="Arial"/>
          <w:b/>
          <w:sz w:val="24"/>
          <w:szCs w:val="24"/>
          <w:lang w:val="it-CH"/>
        </w:rPr>
        <w:t>1.</w:t>
      </w:r>
      <w:r w:rsidRPr="00DB3299">
        <w:rPr>
          <w:rFonts w:ascii="KievitPro-Regular" w:hAnsi="KievitPro-Regular" w:cs="Arial"/>
          <w:b/>
          <w:sz w:val="24"/>
          <w:szCs w:val="24"/>
          <w:lang w:val="it-CH"/>
        </w:rPr>
        <w:tab/>
        <w:t>Principi</w:t>
      </w:r>
    </w:p>
    <w:p w14:paraId="75898D8C" w14:textId="77777777" w:rsidR="00F85533" w:rsidRPr="00DB3299" w:rsidRDefault="00F85533" w:rsidP="002E205D">
      <w:pPr>
        <w:spacing w:line="276" w:lineRule="auto"/>
        <w:rPr>
          <w:rFonts w:ascii="KievitPro-Regular" w:hAnsi="KievitPro-Regular" w:cs="Arial"/>
          <w:lang w:val="it-CH"/>
        </w:rPr>
      </w:pPr>
    </w:p>
    <w:p w14:paraId="39082394"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L’indipendenza dell’ufficio di revisione in caso di revisione limitata è regolata dalla legge nell’art. 729 CO: </w:t>
      </w:r>
    </w:p>
    <w:p w14:paraId="0849B804" w14:textId="77777777" w:rsidR="00F85533" w:rsidRPr="00DB3299" w:rsidRDefault="00F85533" w:rsidP="002E205D">
      <w:pPr>
        <w:spacing w:line="276" w:lineRule="auto"/>
        <w:rPr>
          <w:rFonts w:ascii="KievitPro-Regular" w:hAnsi="KievitPro-Regular" w:cs="Arial"/>
          <w:lang w:val="it-CH"/>
        </w:rPr>
      </w:pPr>
    </w:p>
    <w:p w14:paraId="0F251D5D"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1. L’ufficio di revisione deve essere indipendente e deve formare il suo giudizio di verifica in maniera obiettiva. L’indipendenza non deve essere compromessa né di fatto né in apparenza. “</w:t>
      </w:r>
    </w:p>
    <w:p w14:paraId="1DE43D32" w14:textId="77777777" w:rsidR="00F85533" w:rsidRPr="00DB3299" w:rsidRDefault="00F85533" w:rsidP="002E205D">
      <w:pPr>
        <w:spacing w:line="276" w:lineRule="auto"/>
        <w:rPr>
          <w:rFonts w:ascii="KievitPro-Regular" w:hAnsi="KievitPro-Regular" w:cs="Arial"/>
          <w:lang w:val="it-CH"/>
        </w:rPr>
      </w:pPr>
    </w:p>
    <w:p w14:paraId="580C7AC8"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2. L’ufficio di revisione può partecipare all’attività contabile e fornire altri servizi per la società da verificare. Se vi è il rischio di dover verificare propri lavori, esso adotta misure a livello organizzativo e di personale che garantiscono una verifica affidabile. “</w:t>
      </w:r>
    </w:p>
    <w:p w14:paraId="71CF3FC4" w14:textId="77777777" w:rsidR="00F85533" w:rsidRPr="00DB3299" w:rsidRDefault="00F85533" w:rsidP="002E205D">
      <w:pPr>
        <w:spacing w:line="276" w:lineRule="auto"/>
        <w:rPr>
          <w:rFonts w:ascii="KievitPro-Regular" w:hAnsi="KievitPro-Regular" w:cs="Arial"/>
          <w:lang w:val="it-CH"/>
        </w:rPr>
      </w:pPr>
    </w:p>
    <w:p w14:paraId="36CE3EBC"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Questo regolamento fa parte delle adeguate misure organizzative volte a garantire una verifica affidabile di tutti i mandati di revisione per i quali avviene anche la collaborazione nei lavori di contabilità e lo svolgimento di altri servizi (allegato mandati doppi). </w:t>
      </w:r>
    </w:p>
    <w:p w14:paraId="214987F1" w14:textId="77777777" w:rsidR="00F85533" w:rsidRPr="00DB3299" w:rsidRDefault="00F85533" w:rsidP="002E205D">
      <w:pPr>
        <w:spacing w:line="276" w:lineRule="auto"/>
        <w:rPr>
          <w:rFonts w:ascii="KievitPro-Regular" w:hAnsi="KievitPro-Regular" w:cs="Arial"/>
          <w:lang w:val="it-CH"/>
        </w:rPr>
      </w:pPr>
    </w:p>
    <w:p w14:paraId="1CF0F3A2" w14:textId="77777777" w:rsidR="00F85533" w:rsidRPr="00DB3299" w:rsidRDefault="00F85533" w:rsidP="002E205D">
      <w:pPr>
        <w:spacing w:line="276" w:lineRule="auto"/>
        <w:rPr>
          <w:rFonts w:ascii="KievitPro-Regular" w:hAnsi="KievitPro-Regular" w:cs="Arial"/>
          <w:lang w:val="it-CH"/>
        </w:rPr>
      </w:pPr>
    </w:p>
    <w:p w14:paraId="62BF417A" w14:textId="77777777" w:rsidR="00F85533" w:rsidRPr="00DB3299" w:rsidRDefault="00F85533" w:rsidP="002E205D">
      <w:pPr>
        <w:tabs>
          <w:tab w:val="left" w:pos="426"/>
        </w:tabs>
        <w:spacing w:line="276" w:lineRule="auto"/>
        <w:rPr>
          <w:rFonts w:ascii="KievitPro-Regular" w:hAnsi="KievitPro-Regular" w:cs="Arial"/>
          <w:b/>
          <w:sz w:val="24"/>
          <w:szCs w:val="24"/>
          <w:lang w:val="it-CH"/>
        </w:rPr>
      </w:pPr>
      <w:r w:rsidRPr="00DB3299">
        <w:rPr>
          <w:rFonts w:ascii="KievitPro-Regular" w:hAnsi="KievitPro-Regular" w:cs="Arial"/>
          <w:b/>
          <w:sz w:val="24"/>
          <w:szCs w:val="24"/>
          <w:lang w:val="it-CH"/>
        </w:rPr>
        <w:t>2.</w:t>
      </w:r>
      <w:r w:rsidRPr="00DB3299">
        <w:rPr>
          <w:rFonts w:ascii="KievitPro-Regular" w:hAnsi="KievitPro-Regular" w:cs="Arial"/>
          <w:b/>
          <w:sz w:val="24"/>
          <w:szCs w:val="24"/>
          <w:lang w:val="it-CH"/>
        </w:rPr>
        <w:tab/>
        <w:t xml:space="preserve">Struttura organizzativa della società </w:t>
      </w:r>
    </w:p>
    <w:p w14:paraId="5E3FC4ED" w14:textId="77777777" w:rsidR="00F85533" w:rsidRPr="00DB3299" w:rsidRDefault="00F85533" w:rsidP="002E205D">
      <w:pPr>
        <w:spacing w:line="276" w:lineRule="auto"/>
        <w:rPr>
          <w:rFonts w:ascii="KievitPro-Regular" w:hAnsi="KievitPro-Regular" w:cs="Arial"/>
          <w:b/>
          <w:lang w:val="it-CH"/>
        </w:rPr>
      </w:pPr>
    </w:p>
    <w:p w14:paraId="4F72AF9C"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La società è strutturata come segue [variante: Organigramma in allegato]:</w:t>
      </w:r>
    </w:p>
    <w:p w14:paraId="7DC7C2A5"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La divisione della revisione [definizione?] è presieduta da [Nominativo]. In aggiunta i seguenti collaboratori lavorano nella divisione della revisione [Nominativo/i]. </w:t>
      </w:r>
    </w:p>
    <w:p w14:paraId="73831F03" w14:textId="77777777" w:rsidR="00F85533" w:rsidRPr="00DB3299" w:rsidRDefault="00F85533" w:rsidP="002E205D">
      <w:pPr>
        <w:spacing w:line="276" w:lineRule="auto"/>
        <w:rPr>
          <w:rFonts w:ascii="KievitPro-Regular" w:hAnsi="KievitPro-Regular" w:cs="Arial"/>
          <w:lang w:val="it-CH"/>
        </w:rPr>
      </w:pPr>
    </w:p>
    <w:p w14:paraId="0849A5A9" w14:textId="77777777" w:rsidR="00F85533" w:rsidRPr="00DB3299" w:rsidRDefault="00F85533" w:rsidP="002E205D">
      <w:pPr>
        <w:spacing w:line="276" w:lineRule="auto"/>
        <w:rPr>
          <w:rFonts w:ascii="KievitPro-Regular" w:hAnsi="KievitPro-Regular" w:cs="Arial"/>
          <w:lang w:val="it-CH"/>
        </w:rPr>
      </w:pPr>
    </w:p>
    <w:p w14:paraId="0C6509B5"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diritti di firma]</w:t>
      </w:r>
    </w:p>
    <w:p w14:paraId="1B3218E8" w14:textId="77777777" w:rsidR="00F85533" w:rsidRPr="00DB3299" w:rsidRDefault="00F85533" w:rsidP="002E205D">
      <w:pPr>
        <w:spacing w:line="276" w:lineRule="auto"/>
        <w:rPr>
          <w:rFonts w:ascii="KievitPro-Regular" w:hAnsi="KievitPro-Regular" w:cs="Arial"/>
          <w:lang w:val="it-CH"/>
        </w:rPr>
      </w:pPr>
    </w:p>
    <w:p w14:paraId="6BF23FF0"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definire i revisori responsabili]</w:t>
      </w:r>
    </w:p>
    <w:p w14:paraId="478BDB37" w14:textId="77777777" w:rsidR="00F85533" w:rsidRPr="00DB3299" w:rsidRDefault="00F85533" w:rsidP="002E205D">
      <w:pPr>
        <w:spacing w:line="276" w:lineRule="auto"/>
        <w:rPr>
          <w:rFonts w:ascii="KievitPro-Regular" w:hAnsi="KievitPro-Regular" w:cs="Arial"/>
          <w:lang w:val="it-CH"/>
        </w:rPr>
      </w:pPr>
    </w:p>
    <w:p w14:paraId="5B659EBA"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abilitazioni]</w:t>
      </w:r>
    </w:p>
    <w:p w14:paraId="648725ED" w14:textId="77777777" w:rsidR="00F85533" w:rsidRPr="00DB3299" w:rsidRDefault="00F85533" w:rsidP="002E205D">
      <w:pPr>
        <w:spacing w:line="276" w:lineRule="auto"/>
        <w:rPr>
          <w:rFonts w:ascii="KievitPro-Regular" w:hAnsi="KievitPro-Regular" w:cs="Arial"/>
          <w:lang w:val="it-CH"/>
        </w:rPr>
      </w:pPr>
    </w:p>
    <w:p w14:paraId="2FC6E591"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La divisione contabilità [definizione?] è presieduta da [Nominativo/i]. In aggiunta i seguenti collaboratori lavorano nella divisione contabilità [Nominativo/i].</w:t>
      </w:r>
    </w:p>
    <w:p w14:paraId="7C61B7CD" w14:textId="77777777" w:rsidR="00F85533" w:rsidRPr="00DB3299" w:rsidRDefault="00F85533" w:rsidP="002E205D">
      <w:pPr>
        <w:spacing w:line="276" w:lineRule="auto"/>
        <w:rPr>
          <w:rFonts w:ascii="KievitPro-Regular" w:hAnsi="KievitPro-Regular" w:cs="Arial"/>
          <w:lang w:val="it-CH"/>
        </w:rPr>
      </w:pPr>
    </w:p>
    <w:p w14:paraId="4BD5224B"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[evtl. diritti di firma]</w:t>
      </w:r>
    </w:p>
    <w:p w14:paraId="4A916399" w14:textId="77777777" w:rsidR="00F85533" w:rsidRPr="00DB3299" w:rsidRDefault="00F85533" w:rsidP="002E205D">
      <w:pPr>
        <w:spacing w:line="276" w:lineRule="auto"/>
        <w:rPr>
          <w:rFonts w:ascii="KievitPro-Regular" w:hAnsi="KievitPro-Regular" w:cs="Arial"/>
          <w:lang w:val="it-CH"/>
        </w:rPr>
      </w:pPr>
    </w:p>
    <w:p w14:paraId="46A6C1F1" w14:textId="77777777" w:rsidR="00F85533" w:rsidRPr="00DB3299" w:rsidRDefault="00F85533" w:rsidP="002E205D">
      <w:pPr>
        <w:spacing w:line="276" w:lineRule="auto"/>
        <w:rPr>
          <w:rFonts w:ascii="KievitPro-Regular" w:hAnsi="KievitPro-Regular" w:cs="Arial"/>
          <w:lang w:val="it-CH"/>
        </w:rPr>
      </w:pPr>
    </w:p>
    <w:p w14:paraId="066B20D5" w14:textId="77777777" w:rsidR="00F85533" w:rsidRPr="00DB3299" w:rsidRDefault="00F85533" w:rsidP="002E205D">
      <w:pPr>
        <w:tabs>
          <w:tab w:val="left" w:pos="426"/>
        </w:tabs>
        <w:spacing w:line="276" w:lineRule="auto"/>
        <w:rPr>
          <w:rFonts w:ascii="KievitPro-Regular" w:hAnsi="KievitPro-Regular" w:cs="Arial"/>
          <w:b/>
          <w:sz w:val="24"/>
          <w:szCs w:val="24"/>
          <w:lang w:val="it-CH"/>
        </w:rPr>
      </w:pPr>
      <w:r w:rsidRPr="00DB3299">
        <w:rPr>
          <w:rFonts w:ascii="KievitPro-Regular" w:hAnsi="KievitPro-Regular" w:cs="Arial"/>
          <w:b/>
          <w:sz w:val="24"/>
          <w:szCs w:val="24"/>
          <w:lang w:val="it-CH"/>
        </w:rPr>
        <w:t>3.</w:t>
      </w:r>
      <w:r w:rsidRPr="00DB3299">
        <w:rPr>
          <w:rFonts w:ascii="KievitPro-Regular" w:hAnsi="KievitPro-Regular" w:cs="Arial"/>
          <w:b/>
          <w:sz w:val="24"/>
          <w:szCs w:val="24"/>
          <w:lang w:val="it-CH"/>
        </w:rPr>
        <w:tab/>
        <w:t>Indipendenza</w:t>
      </w:r>
    </w:p>
    <w:p w14:paraId="56D73C88" w14:textId="77777777" w:rsidR="00F85533" w:rsidRPr="00DB3299" w:rsidRDefault="00F85533" w:rsidP="002E205D">
      <w:pPr>
        <w:spacing w:line="276" w:lineRule="auto"/>
        <w:rPr>
          <w:rFonts w:ascii="KievitPro-Regular" w:hAnsi="KievitPro-Regular" w:cs="Arial"/>
          <w:lang w:val="it-CH"/>
        </w:rPr>
      </w:pPr>
    </w:p>
    <w:p w14:paraId="1A3A0D3E"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 xml:space="preserve">Il responsabile della divisione revisione e tutte le persone che collaborano ai lavori di revisione non sono soggetti alle istruzioni del responsabile e dei collaboratori della divisione contabilità per quanto riguarda le proprie valutazioni e decisioni in relazione all’attività di revisione. </w:t>
      </w:r>
    </w:p>
    <w:p w14:paraId="401AC336" w14:textId="77777777" w:rsidR="00F85533" w:rsidRPr="00DB3299" w:rsidRDefault="00F85533" w:rsidP="002E205D">
      <w:pPr>
        <w:spacing w:line="276" w:lineRule="auto"/>
        <w:rPr>
          <w:rFonts w:ascii="KievitPro-Regular" w:hAnsi="KievitPro-Regular" w:cs="Arial"/>
          <w:lang w:val="it-CH"/>
        </w:rPr>
      </w:pPr>
    </w:p>
    <w:p w14:paraId="5DBFD797"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Il responsabile della divisione contabilità (e tutti i collaboratori della divisione contabilità) non sono soggetti alle istruzioni né del responsabile della divisione revisione né di tutti i revisori responsabili per quanto riguarda le proprie decisioni in relazione alle attività di contabilità. Sono soggetti unicamente alle istruzioni del cliente, nonché dell’autore e ideatore del conto annuale.</w:t>
      </w:r>
    </w:p>
    <w:p w14:paraId="23BEA80E" w14:textId="77777777" w:rsidR="00F85533" w:rsidRPr="00DB3299" w:rsidRDefault="00F85533" w:rsidP="002E205D">
      <w:pPr>
        <w:spacing w:line="276" w:lineRule="auto"/>
        <w:rPr>
          <w:rFonts w:ascii="KievitPro-Regular" w:hAnsi="KievitPro-Regular" w:cs="Arial"/>
          <w:lang w:val="it-CH"/>
        </w:rPr>
      </w:pPr>
    </w:p>
    <w:p w14:paraId="6441DFA6" w14:textId="77777777" w:rsidR="00F85533" w:rsidRPr="00DB3299" w:rsidRDefault="00F85533" w:rsidP="002E205D">
      <w:pPr>
        <w:spacing w:line="276" w:lineRule="auto"/>
        <w:rPr>
          <w:rFonts w:ascii="KievitPro-Regular" w:hAnsi="KievitPro-Regular" w:cs="Arial"/>
          <w:lang w:val="it-CH"/>
        </w:rPr>
      </w:pPr>
    </w:p>
    <w:p w14:paraId="4E2DD6D8" w14:textId="77777777" w:rsidR="00F85533" w:rsidRPr="00DB3299" w:rsidRDefault="00F85533" w:rsidP="002E205D">
      <w:pPr>
        <w:tabs>
          <w:tab w:val="left" w:pos="426"/>
        </w:tabs>
        <w:spacing w:line="276" w:lineRule="auto"/>
        <w:rPr>
          <w:rFonts w:ascii="KievitPro-Regular" w:hAnsi="KievitPro-Regular" w:cs="Arial"/>
          <w:sz w:val="24"/>
          <w:szCs w:val="24"/>
          <w:lang w:val="it-CH"/>
        </w:rPr>
      </w:pPr>
      <w:r w:rsidRPr="00DB3299">
        <w:rPr>
          <w:rFonts w:ascii="KievitPro-Regular" w:hAnsi="KievitPro-Regular" w:cs="Arial"/>
          <w:sz w:val="24"/>
          <w:szCs w:val="24"/>
          <w:lang w:val="it-CH"/>
        </w:rPr>
        <w:t>4.</w:t>
      </w:r>
      <w:r w:rsidRPr="00DB3299">
        <w:rPr>
          <w:rFonts w:ascii="KievitPro-Regular" w:hAnsi="KievitPro-Regular" w:cs="Arial"/>
          <w:sz w:val="24"/>
          <w:szCs w:val="24"/>
          <w:lang w:val="it-CH"/>
        </w:rPr>
        <w:tab/>
      </w:r>
      <w:r w:rsidRPr="00DB3299">
        <w:rPr>
          <w:rFonts w:ascii="KievitPro-Regular" w:hAnsi="KievitPro-Regular" w:cs="Arial"/>
          <w:b/>
          <w:sz w:val="24"/>
          <w:szCs w:val="24"/>
          <w:lang w:val="it-CH"/>
        </w:rPr>
        <w:t>Entrata in vigore e modifiche del regolamento</w:t>
      </w:r>
    </w:p>
    <w:p w14:paraId="4F97F9C1" w14:textId="77777777" w:rsidR="00F85533" w:rsidRPr="00DB3299" w:rsidRDefault="00F85533" w:rsidP="002E205D">
      <w:pPr>
        <w:spacing w:line="276" w:lineRule="auto"/>
        <w:rPr>
          <w:rFonts w:ascii="KievitPro-Regular" w:hAnsi="KievitPro-Regular" w:cs="Arial"/>
          <w:lang w:val="it-CH"/>
        </w:rPr>
      </w:pPr>
    </w:p>
    <w:p w14:paraId="1455406D"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questo regolamento entra in vigore il .......... [Data].</w:t>
      </w:r>
    </w:p>
    <w:p w14:paraId="25954AE0" w14:textId="77777777" w:rsidR="00F85533" w:rsidRPr="00DB3299" w:rsidRDefault="00F85533" w:rsidP="002E205D">
      <w:pPr>
        <w:spacing w:line="276" w:lineRule="auto"/>
        <w:rPr>
          <w:rFonts w:ascii="KievitPro-Regular" w:hAnsi="KievitPro-Regular" w:cs="Arial"/>
          <w:lang w:val="it-CH"/>
        </w:rPr>
      </w:pPr>
    </w:p>
    <w:p w14:paraId="6B662C78" w14:textId="77777777" w:rsidR="00F85533" w:rsidRPr="00DB3299" w:rsidRDefault="00F85533" w:rsidP="002E205D">
      <w:pPr>
        <w:spacing w:line="276" w:lineRule="auto"/>
        <w:rPr>
          <w:rFonts w:ascii="KievitPro-Regular" w:hAnsi="KievitPro-Regular" w:cs="Arial"/>
          <w:lang w:val="it-CH"/>
        </w:rPr>
      </w:pPr>
      <w:r w:rsidRPr="00DB3299">
        <w:rPr>
          <w:rFonts w:ascii="KievitPro-Regular" w:hAnsi="KievitPro-Regular" w:cs="Arial"/>
          <w:lang w:val="it-CH"/>
        </w:rPr>
        <w:t>Modifiche del regolamento, così come anche modifiche degli allegati necessitano di una delibera unanime da parte del CdA [Organo che detiene il potere decisionale].</w:t>
      </w:r>
    </w:p>
    <w:p w14:paraId="49C4E12B" w14:textId="77777777" w:rsidR="00F85533" w:rsidRPr="00DB3299" w:rsidRDefault="00F85533" w:rsidP="002E205D">
      <w:pPr>
        <w:spacing w:line="276" w:lineRule="auto"/>
        <w:rPr>
          <w:rFonts w:ascii="KievitPro-Regular" w:hAnsi="KievitPro-Regular" w:cs="Arial"/>
          <w:lang w:val="it-CH"/>
        </w:rPr>
      </w:pPr>
    </w:p>
    <w:p w14:paraId="20FF05EA" w14:textId="77777777" w:rsidR="00F85533" w:rsidRPr="00DB3299" w:rsidRDefault="00F85533" w:rsidP="002E205D">
      <w:pPr>
        <w:spacing w:line="276" w:lineRule="auto"/>
        <w:rPr>
          <w:rFonts w:ascii="KievitPro-Regular" w:hAnsi="KievitPro-Regular" w:cs="Arial"/>
          <w:lang w:val="it-CH"/>
        </w:rPr>
      </w:pPr>
    </w:p>
    <w:p w14:paraId="7292ACEF" w14:textId="77777777" w:rsidR="00F85533" w:rsidRPr="00DB3299" w:rsidRDefault="00F85533" w:rsidP="002E205D">
      <w:pPr>
        <w:spacing w:line="276" w:lineRule="auto"/>
        <w:rPr>
          <w:rFonts w:ascii="KievitPro-Regular" w:hAnsi="KievitPro-Regular" w:cs="Arial"/>
          <w:lang w:val="it-CH"/>
        </w:rPr>
      </w:pPr>
    </w:p>
    <w:p w14:paraId="00013F3E"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Data: _______________________________    Firma:  _________________________________</w:t>
      </w:r>
    </w:p>
    <w:p w14:paraId="4AE3EF16" w14:textId="77777777" w:rsidR="00F85533" w:rsidRPr="00DB3299" w:rsidRDefault="00F85533" w:rsidP="00F85533">
      <w:pPr>
        <w:rPr>
          <w:rFonts w:ascii="KievitPro-Regular" w:hAnsi="KievitPro-Regular" w:cs="Arial"/>
          <w:lang w:val="it-CH"/>
        </w:rPr>
      </w:pPr>
    </w:p>
    <w:p w14:paraId="2557F65D" w14:textId="77777777" w:rsidR="00F85533" w:rsidRPr="00DB3299" w:rsidRDefault="00F85533" w:rsidP="00F85533">
      <w:pPr>
        <w:rPr>
          <w:rFonts w:ascii="KievitPro-Regular" w:hAnsi="KievitPro-Regular" w:cs="Arial"/>
          <w:lang w:val="it-CH"/>
        </w:rPr>
      </w:pPr>
    </w:p>
    <w:p w14:paraId="3A93072E"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Data: _______________________________   Firma:  __________________________________</w:t>
      </w:r>
    </w:p>
    <w:p w14:paraId="35874ECC" w14:textId="77777777" w:rsidR="00F85533" w:rsidRPr="00DB3299" w:rsidRDefault="00F85533" w:rsidP="00F85533">
      <w:pPr>
        <w:rPr>
          <w:rFonts w:ascii="KievitPro-Regular" w:hAnsi="KievitPro-Regular" w:cs="Arial"/>
          <w:lang w:val="it-CH"/>
        </w:rPr>
      </w:pPr>
    </w:p>
    <w:p w14:paraId="22E6AED8" w14:textId="77777777" w:rsidR="00F85533" w:rsidRPr="00DB3299" w:rsidRDefault="00F85533" w:rsidP="00F85533">
      <w:pPr>
        <w:rPr>
          <w:rFonts w:ascii="KievitPro-Regular" w:hAnsi="KievitPro-Regular" w:cs="Arial"/>
          <w:lang w:val="it-CH"/>
        </w:rPr>
      </w:pPr>
    </w:p>
    <w:p w14:paraId="06CE59EE" w14:textId="77777777" w:rsidR="00F85533" w:rsidRPr="00DB3299" w:rsidRDefault="00F85533" w:rsidP="00F85533">
      <w:pPr>
        <w:rPr>
          <w:rFonts w:ascii="KievitPro-Regular" w:hAnsi="KievitPro-Regular" w:cs="Arial"/>
          <w:lang w:val="it-CH"/>
        </w:rPr>
      </w:pPr>
    </w:p>
    <w:p w14:paraId="355CC18C" w14:textId="77777777" w:rsidR="00F85533" w:rsidRPr="00DB3299" w:rsidRDefault="00F85533" w:rsidP="00F85533">
      <w:pPr>
        <w:rPr>
          <w:rFonts w:ascii="KievitPro-Regular" w:hAnsi="KievitPro-Regular" w:cs="Arial"/>
          <w:b/>
          <w:lang w:val="it-CH"/>
        </w:rPr>
      </w:pPr>
      <w:r w:rsidRPr="00DB3299">
        <w:rPr>
          <w:rFonts w:ascii="KievitPro-Regular" w:hAnsi="KievitPro-Regular" w:cs="Arial"/>
          <w:b/>
          <w:lang w:val="it-CH"/>
        </w:rPr>
        <w:t>Allegati</w:t>
      </w:r>
    </w:p>
    <w:p w14:paraId="4279F9A4"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Organigramma</w:t>
      </w:r>
    </w:p>
    <w:p w14:paraId="5C6AE3FD" w14:textId="77777777" w:rsidR="00F85533" w:rsidRPr="00DB3299" w:rsidRDefault="00F85533" w:rsidP="00F85533">
      <w:pPr>
        <w:rPr>
          <w:rFonts w:ascii="KievitPro-Regular" w:hAnsi="KievitPro-Regular" w:cs="Arial"/>
          <w:lang w:val="it-CH"/>
        </w:rPr>
      </w:pPr>
      <w:r w:rsidRPr="00DB3299">
        <w:rPr>
          <w:rFonts w:ascii="KievitPro-Regular" w:hAnsi="KievitPro-Regular" w:cs="Arial"/>
          <w:lang w:val="it-CH"/>
        </w:rPr>
        <w:t>Mandati doppi</w:t>
      </w:r>
    </w:p>
    <w:p w14:paraId="0BB951D5" w14:textId="77777777" w:rsidR="00F85533" w:rsidRPr="002858E4" w:rsidRDefault="00F85533" w:rsidP="00F85533">
      <w:pPr>
        <w:rPr>
          <w:rFonts w:ascii="Avenir LT Std 35 Light" w:hAnsi="Avenir LT Std 35 Light"/>
          <w:lang w:val="it-CH"/>
        </w:rPr>
      </w:pPr>
    </w:p>
    <w:p w14:paraId="5F850196" w14:textId="77777777" w:rsidR="00F85533" w:rsidRPr="002858E4" w:rsidRDefault="00F85533" w:rsidP="00F85533">
      <w:pPr>
        <w:rPr>
          <w:rFonts w:ascii="Avenir LT Std 35 Light" w:hAnsi="Avenir LT Std 35 Light" w:cs="Arial"/>
          <w:bCs/>
          <w:lang w:val="it-CH"/>
        </w:rPr>
      </w:pPr>
      <w:r w:rsidRPr="002858E4">
        <w:rPr>
          <w:rFonts w:ascii="Avenir LT Std 35 Light" w:hAnsi="Avenir LT Std 35 Light" w:cs="Arial"/>
          <w:b/>
          <w:lang w:val="it-CH"/>
        </w:rPr>
        <w:br w:type="page"/>
      </w:r>
    </w:p>
    <w:p w14:paraId="0C9AD3F4" w14:textId="77777777" w:rsidR="00F85533" w:rsidRPr="000E27FB" w:rsidRDefault="00F85533" w:rsidP="000E27FB">
      <w:pPr>
        <w:pStyle w:val="berschrift2"/>
        <w:keepNext w:val="0"/>
        <w:spacing w:before="200" w:after="240" w:line="268" w:lineRule="auto"/>
        <w:ind w:left="426" w:hanging="426"/>
        <w:jc w:val="left"/>
        <w:rPr>
          <w:rFonts w:ascii="Avenir LT Std 35 Light" w:hAnsi="Avenir LT Std 35 Light"/>
          <w:smallCaps/>
          <w:snapToGrid/>
          <w:sz w:val="24"/>
          <w:szCs w:val="28"/>
          <w:lang w:val="it-CH" w:eastAsia="en-US"/>
        </w:rPr>
      </w:pPr>
      <w:bookmarkStart w:id="131" w:name="_Toc126737283"/>
      <w:bookmarkStart w:id="132" w:name="_Hlk10267850"/>
      <w:r w:rsidRPr="000E27FB">
        <w:rPr>
          <w:rFonts w:ascii="Avenir LT Std 35 Light" w:hAnsi="Avenir LT Std 35 Light"/>
          <w:smallCaps/>
          <w:snapToGrid/>
          <w:sz w:val="24"/>
          <w:szCs w:val="28"/>
          <w:lang w:val="it-CH" w:eastAsia="en-US"/>
        </w:rPr>
        <w:t>5.12</w:t>
      </w:r>
      <w:r w:rsidRPr="000E27FB">
        <w:rPr>
          <w:rFonts w:ascii="Avenir LT Std 35 Light" w:hAnsi="Avenir LT Std 35 Light"/>
          <w:smallCaps/>
          <w:snapToGrid/>
          <w:sz w:val="24"/>
          <w:szCs w:val="28"/>
          <w:lang w:val="it-CH" w:eastAsia="en-US"/>
        </w:rPr>
        <w:tab/>
        <w:t>Checklist in merito al riesame della qualità del mandato</w:t>
      </w:r>
      <w:bookmarkEnd w:id="131"/>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0"/>
        <w:gridCol w:w="2748"/>
        <w:gridCol w:w="1701"/>
        <w:gridCol w:w="2411"/>
      </w:tblGrid>
      <w:tr w:rsidR="00F85533" w:rsidRPr="00EA179C" w14:paraId="139F30E9" w14:textId="77777777" w:rsidTr="000E27FB">
        <w:tc>
          <w:tcPr>
            <w:tcW w:w="2710" w:type="dxa"/>
            <w:tcBorders>
              <w:top w:val="single" w:sz="4" w:space="0" w:color="auto"/>
              <w:left w:val="single" w:sz="4" w:space="0" w:color="auto"/>
              <w:bottom w:val="single" w:sz="4" w:space="0" w:color="auto"/>
              <w:right w:val="single" w:sz="4" w:space="0" w:color="auto"/>
            </w:tcBorders>
            <w:hideMark/>
          </w:tcPr>
          <w:p w14:paraId="6AB3A319" w14:textId="77777777" w:rsidR="00F85533" w:rsidRPr="00DB3299" w:rsidRDefault="00F85533" w:rsidP="00DB3299">
            <w:pPr>
              <w:rPr>
                <w:rFonts w:ascii="KievitPro-Regular" w:hAnsi="KievitPro-Regular"/>
                <w:lang w:val="it-CH"/>
              </w:rPr>
            </w:pPr>
            <w:r w:rsidRPr="00DB3299">
              <w:rPr>
                <w:rFonts w:ascii="KievitPro-Regular" w:hAnsi="KievitPro-Regular"/>
                <w:lang w:val="it-CH"/>
              </w:rPr>
              <w:t>Cliente:</w:t>
            </w:r>
          </w:p>
        </w:tc>
        <w:tc>
          <w:tcPr>
            <w:tcW w:w="2748" w:type="dxa"/>
            <w:tcBorders>
              <w:top w:val="single" w:sz="4" w:space="0" w:color="auto"/>
              <w:left w:val="single" w:sz="4" w:space="0" w:color="auto"/>
              <w:bottom w:val="single" w:sz="4" w:space="0" w:color="auto"/>
              <w:right w:val="single" w:sz="4" w:space="0" w:color="auto"/>
            </w:tcBorders>
          </w:tcPr>
          <w:p w14:paraId="0884D7F1" w14:textId="77777777" w:rsidR="00F85533" w:rsidRPr="00DB3299" w:rsidRDefault="00F85533" w:rsidP="00DB3299">
            <w:pPr>
              <w:spacing w:before="120" w:after="120"/>
              <w:jc w:val="left"/>
              <w:rPr>
                <w:rFonts w:ascii="KievitPro-Regular" w:hAnsi="KievitPro-Regular" w:cs="Arial"/>
                <w:b/>
                <w:lang w:val="it-CH"/>
              </w:rPr>
            </w:pPr>
          </w:p>
        </w:tc>
        <w:tc>
          <w:tcPr>
            <w:tcW w:w="1701" w:type="dxa"/>
            <w:tcBorders>
              <w:top w:val="single" w:sz="4" w:space="0" w:color="auto"/>
              <w:left w:val="single" w:sz="4" w:space="0" w:color="auto"/>
              <w:bottom w:val="single" w:sz="4" w:space="0" w:color="auto"/>
              <w:right w:val="single" w:sz="4" w:space="0" w:color="auto"/>
            </w:tcBorders>
            <w:hideMark/>
          </w:tcPr>
          <w:p w14:paraId="6B5CF491" w14:textId="77777777" w:rsidR="00F85533" w:rsidRPr="00DB3299" w:rsidRDefault="00F85533" w:rsidP="00DB3299">
            <w:pPr>
              <w:rPr>
                <w:rFonts w:ascii="KievitPro-Regular" w:hAnsi="KievitPro-Regular"/>
                <w:lang w:val="it-CH"/>
              </w:rPr>
            </w:pPr>
            <w:r w:rsidRPr="00DB3299">
              <w:rPr>
                <w:rFonts w:ascii="KievitPro-Regular" w:hAnsi="KievitPro-Regular"/>
                <w:lang w:val="it-CH"/>
              </w:rPr>
              <w:t>Redatto da:</w:t>
            </w:r>
          </w:p>
        </w:tc>
        <w:tc>
          <w:tcPr>
            <w:tcW w:w="2411" w:type="dxa"/>
            <w:tcBorders>
              <w:top w:val="single" w:sz="4" w:space="0" w:color="auto"/>
              <w:left w:val="single" w:sz="4" w:space="0" w:color="auto"/>
              <w:bottom w:val="single" w:sz="4" w:space="0" w:color="auto"/>
              <w:right w:val="single" w:sz="4" w:space="0" w:color="auto"/>
            </w:tcBorders>
          </w:tcPr>
          <w:p w14:paraId="681F4B78" w14:textId="77777777" w:rsidR="00F85533" w:rsidRPr="002858E4" w:rsidRDefault="00F85533" w:rsidP="00EB2FBE">
            <w:pPr>
              <w:spacing w:before="120" w:after="120"/>
              <w:rPr>
                <w:rFonts w:ascii="Avenir LT Std 35 Light" w:hAnsi="Avenir LT Std 35 Light" w:cs="Arial"/>
                <w:sz w:val="16"/>
                <w:szCs w:val="16"/>
                <w:lang w:val="it-CH"/>
              </w:rPr>
            </w:pPr>
          </w:p>
        </w:tc>
      </w:tr>
      <w:tr w:rsidR="00F85533" w:rsidRPr="00EA179C" w14:paraId="64E0B449" w14:textId="77777777" w:rsidTr="000E27FB">
        <w:tc>
          <w:tcPr>
            <w:tcW w:w="2710" w:type="dxa"/>
            <w:tcBorders>
              <w:top w:val="single" w:sz="4" w:space="0" w:color="auto"/>
              <w:left w:val="single" w:sz="4" w:space="0" w:color="auto"/>
              <w:bottom w:val="single" w:sz="4" w:space="0" w:color="auto"/>
              <w:right w:val="single" w:sz="4" w:space="0" w:color="auto"/>
            </w:tcBorders>
            <w:hideMark/>
          </w:tcPr>
          <w:p w14:paraId="5D2406DA" w14:textId="77777777" w:rsidR="00F85533" w:rsidRPr="00DB3299" w:rsidRDefault="00F85533" w:rsidP="00DB3299">
            <w:pPr>
              <w:rPr>
                <w:rFonts w:ascii="KievitPro-Regular" w:hAnsi="KievitPro-Regular"/>
                <w:lang w:val="it-CH"/>
              </w:rPr>
            </w:pPr>
            <w:r w:rsidRPr="00DB3299">
              <w:rPr>
                <w:rFonts w:ascii="KievitPro-Regular" w:hAnsi="KievitPro-Regular"/>
                <w:lang w:val="it-CH"/>
              </w:rPr>
              <w:t>Anno d’esercizio:</w:t>
            </w:r>
          </w:p>
        </w:tc>
        <w:tc>
          <w:tcPr>
            <w:tcW w:w="2748" w:type="dxa"/>
            <w:tcBorders>
              <w:top w:val="single" w:sz="4" w:space="0" w:color="auto"/>
              <w:left w:val="single" w:sz="4" w:space="0" w:color="auto"/>
              <w:bottom w:val="single" w:sz="4" w:space="0" w:color="auto"/>
              <w:right w:val="single" w:sz="4" w:space="0" w:color="auto"/>
            </w:tcBorders>
          </w:tcPr>
          <w:p w14:paraId="4A27B97A" w14:textId="77777777" w:rsidR="00F85533" w:rsidRPr="00DB3299" w:rsidRDefault="00F85533" w:rsidP="00DB3299">
            <w:pPr>
              <w:spacing w:before="120" w:after="120"/>
              <w:jc w:val="left"/>
              <w:rPr>
                <w:rFonts w:ascii="KievitPro-Regular" w:hAnsi="KievitPro-Regular" w:cs="Arial"/>
                <w:b/>
                <w:lang w:val="it-CH"/>
              </w:rPr>
            </w:pPr>
          </w:p>
        </w:tc>
        <w:tc>
          <w:tcPr>
            <w:tcW w:w="1701" w:type="dxa"/>
            <w:tcBorders>
              <w:top w:val="single" w:sz="4" w:space="0" w:color="auto"/>
              <w:left w:val="single" w:sz="4" w:space="0" w:color="auto"/>
              <w:bottom w:val="single" w:sz="4" w:space="0" w:color="auto"/>
              <w:right w:val="single" w:sz="4" w:space="0" w:color="auto"/>
            </w:tcBorders>
            <w:hideMark/>
          </w:tcPr>
          <w:p w14:paraId="710366D1" w14:textId="77777777" w:rsidR="00F85533" w:rsidRPr="00DB3299" w:rsidRDefault="00F85533" w:rsidP="00DB3299">
            <w:pPr>
              <w:rPr>
                <w:rFonts w:ascii="KievitPro-Regular" w:hAnsi="KievitPro-Regular"/>
                <w:lang w:val="it-CH"/>
              </w:rPr>
            </w:pPr>
            <w:r w:rsidRPr="00DB3299">
              <w:rPr>
                <w:rFonts w:ascii="KievitPro-Regular" w:hAnsi="KievitPro-Regular"/>
                <w:lang w:val="it-CH"/>
              </w:rPr>
              <w:t>Reviewed da:</w:t>
            </w:r>
          </w:p>
        </w:tc>
        <w:tc>
          <w:tcPr>
            <w:tcW w:w="2411" w:type="dxa"/>
            <w:tcBorders>
              <w:top w:val="single" w:sz="4" w:space="0" w:color="auto"/>
              <w:left w:val="single" w:sz="4" w:space="0" w:color="auto"/>
              <w:bottom w:val="single" w:sz="4" w:space="0" w:color="auto"/>
              <w:right w:val="single" w:sz="4" w:space="0" w:color="auto"/>
            </w:tcBorders>
          </w:tcPr>
          <w:p w14:paraId="2A8C568A" w14:textId="77777777" w:rsidR="00F85533" w:rsidRPr="002858E4" w:rsidRDefault="00F85533" w:rsidP="00EB2FBE">
            <w:pPr>
              <w:spacing w:before="120" w:after="120"/>
              <w:rPr>
                <w:rFonts w:ascii="Avenir LT Std 35 Light" w:hAnsi="Avenir LT Std 35 Light" w:cs="Arial"/>
                <w:sz w:val="16"/>
                <w:szCs w:val="16"/>
                <w:lang w:val="it-CH"/>
              </w:rPr>
            </w:pPr>
          </w:p>
        </w:tc>
      </w:tr>
      <w:tr w:rsidR="00F85533" w:rsidRPr="00EB2FBE" w14:paraId="5CCE6A9A" w14:textId="77777777" w:rsidTr="000E27FB">
        <w:tc>
          <w:tcPr>
            <w:tcW w:w="2710" w:type="dxa"/>
            <w:tcBorders>
              <w:top w:val="single" w:sz="4" w:space="0" w:color="auto"/>
              <w:left w:val="single" w:sz="4" w:space="0" w:color="auto"/>
              <w:bottom w:val="single" w:sz="4" w:space="0" w:color="auto"/>
              <w:right w:val="single" w:sz="4" w:space="0" w:color="auto"/>
            </w:tcBorders>
            <w:hideMark/>
          </w:tcPr>
          <w:p w14:paraId="1B7151A7" w14:textId="77777777" w:rsidR="00F85533" w:rsidRPr="00DB3299" w:rsidRDefault="00F85533" w:rsidP="00DB3299">
            <w:pPr>
              <w:rPr>
                <w:rFonts w:ascii="KievitPro-Regular" w:hAnsi="KievitPro-Regular"/>
                <w:lang w:val="it-CH"/>
              </w:rPr>
            </w:pPr>
            <w:r w:rsidRPr="00DB3299">
              <w:rPr>
                <w:rFonts w:ascii="KievitPro-Regular" w:hAnsi="KievitPro-Regular"/>
                <w:lang w:val="it-CH"/>
              </w:rPr>
              <w:t>Mandato:</w:t>
            </w:r>
          </w:p>
        </w:tc>
        <w:tc>
          <w:tcPr>
            <w:tcW w:w="2748" w:type="dxa"/>
            <w:tcBorders>
              <w:top w:val="single" w:sz="4" w:space="0" w:color="auto"/>
              <w:left w:val="single" w:sz="4" w:space="0" w:color="auto"/>
              <w:bottom w:val="single" w:sz="4" w:space="0" w:color="auto"/>
              <w:right w:val="single" w:sz="4" w:space="0" w:color="auto"/>
            </w:tcBorders>
            <w:hideMark/>
          </w:tcPr>
          <w:p w14:paraId="6556342E" w14:textId="77777777" w:rsidR="00F85533" w:rsidRPr="00DB3299" w:rsidRDefault="00F85533" w:rsidP="00EB2FBE">
            <w:pPr>
              <w:spacing w:before="120" w:after="120"/>
              <w:rPr>
                <w:rFonts w:ascii="KievitPro-Regular" w:hAnsi="KievitPro-Regular" w:cs="Arial"/>
                <w:i/>
                <w:sz w:val="18"/>
                <w:szCs w:val="18"/>
                <w:lang w:val="it-CH"/>
              </w:rPr>
            </w:pPr>
            <w:r w:rsidRPr="00DB3299">
              <w:rPr>
                <w:rFonts w:ascii="KievitPro-Regular" w:hAnsi="KievitPro-Regular" w:cs="Arial"/>
                <w:i/>
                <w:sz w:val="18"/>
                <w:szCs w:val="18"/>
                <w:lang w:val="it-CH"/>
              </w:rPr>
              <w:t>(p.es. revisione ordinaria/ revisione limitata, Review...)</w:t>
            </w:r>
          </w:p>
        </w:tc>
        <w:tc>
          <w:tcPr>
            <w:tcW w:w="1701" w:type="dxa"/>
            <w:tcBorders>
              <w:top w:val="single" w:sz="4" w:space="0" w:color="auto"/>
              <w:left w:val="single" w:sz="4" w:space="0" w:color="auto"/>
              <w:bottom w:val="single" w:sz="4" w:space="0" w:color="auto"/>
              <w:right w:val="single" w:sz="4" w:space="0" w:color="auto"/>
            </w:tcBorders>
          </w:tcPr>
          <w:p w14:paraId="371CB19D" w14:textId="77777777" w:rsidR="00F85533" w:rsidRPr="00DB3299" w:rsidRDefault="00F85533" w:rsidP="00DB3299">
            <w:pPr>
              <w:pStyle w:val="berschrift7"/>
              <w:numPr>
                <w:ilvl w:val="0"/>
                <w:numId w:val="0"/>
              </w:numPr>
              <w:ind w:left="1296"/>
              <w:rPr>
                <w:rFonts w:ascii="KievitPro-Regular" w:hAnsi="KievitPro-Regular" w:cs="Arial"/>
                <w:lang w:val="it-CH"/>
              </w:rPr>
            </w:pPr>
          </w:p>
        </w:tc>
        <w:tc>
          <w:tcPr>
            <w:tcW w:w="2411" w:type="dxa"/>
            <w:tcBorders>
              <w:top w:val="single" w:sz="4" w:space="0" w:color="auto"/>
              <w:left w:val="single" w:sz="4" w:space="0" w:color="auto"/>
              <w:bottom w:val="single" w:sz="4" w:space="0" w:color="auto"/>
              <w:right w:val="single" w:sz="4" w:space="0" w:color="auto"/>
            </w:tcBorders>
          </w:tcPr>
          <w:p w14:paraId="62D692E6" w14:textId="77777777" w:rsidR="00F85533" w:rsidRPr="002858E4" w:rsidRDefault="00F85533" w:rsidP="00EB2FBE">
            <w:pPr>
              <w:spacing w:before="120" w:after="120"/>
              <w:rPr>
                <w:rFonts w:ascii="Avenir LT Std 35 Light" w:hAnsi="Avenir LT Std 35 Light" w:cs="Arial"/>
                <w:sz w:val="16"/>
                <w:szCs w:val="16"/>
                <w:lang w:val="it-CH"/>
              </w:rPr>
            </w:pPr>
          </w:p>
        </w:tc>
      </w:tr>
    </w:tbl>
    <w:p w14:paraId="75DC891B" w14:textId="77777777" w:rsidR="00F85533" w:rsidRPr="00DB3299" w:rsidRDefault="00F85533" w:rsidP="00F85533">
      <w:pPr>
        <w:spacing w:before="360" w:after="360"/>
        <w:rPr>
          <w:rFonts w:ascii="KievitPro-Regular" w:hAnsi="KievitPro-Regular" w:cs="Arial"/>
          <w:sz w:val="28"/>
          <w:szCs w:val="28"/>
          <w:lang w:val="it-CH"/>
        </w:rPr>
      </w:pPr>
      <w:bookmarkStart w:id="133" w:name="_Hlk10267777"/>
      <w:r w:rsidRPr="00DB3299">
        <w:rPr>
          <w:rFonts w:ascii="KievitPro-Regular" w:hAnsi="KievitPro-Regular" w:cs="Arial"/>
          <w:sz w:val="28"/>
          <w:szCs w:val="28"/>
          <w:lang w:val="it-CH"/>
        </w:rPr>
        <w:t xml:space="preserve">Chiarimento circa la necessità di un riesame della qualità del mandato </w:t>
      </w:r>
    </w:p>
    <w:p w14:paraId="2884D7FB" w14:textId="77777777" w:rsidR="00F85533" w:rsidRPr="00DB3299" w:rsidRDefault="00F85533" w:rsidP="00F85533">
      <w:pPr>
        <w:pStyle w:val="Listenabsatz"/>
        <w:numPr>
          <w:ilvl w:val="0"/>
          <w:numId w:val="31"/>
        </w:numPr>
        <w:spacing w:after="200" w:line="276" w:lineRule="auto"/>
        <w:contextualSpacing/>
        <w:rPr>
          <w:rFonts w:ascii="KievitPro-Regular" w:hAnsi="KievitPro-Regular" w:cs="Arial"/>
          <w:b/>
          <w:lang w:val="it-CH"/>
        </w:rPr>
      </w:pPr>
      <w:r w:rsidRPr="00DB3299">
        <w:rPr>
          <w:rFonts w:ascii="KievitPro-Regular" w:hAnsi="KievitPro-Regular" w:cs="Arial"/>
          <w:b/>
          <w:lang w:val="it-CH"/>
        </w:rPr>
        <w:t xml:space="preserve">Società quotate in borsa </w:t>
      </w:r>
    </w:p>
    <w:p w14:paraId="0B5E85BD" w14:textId="26900605" w:rsidR="00F85533" w:rsidRDefault="00F85533" w:rsidP="002E205D">
      <w:pPr>
        <w:spacing w:line="276" w:lineRule="auto"/>
        <w:rPr>
          <w:rFonts w:ascii="KievitPro-Regular" w:hAnsi="KievitPro-Regular" w:cs="Arial"/>
          <w:lang w:val="it-CH"/>
        </w:rPr>
      </w:pPr>
      <w:r w:rsidRPr="00DB3299">
        <w:rPr>
          <w:rFonts w:ascii="KievitPro-Regular" w:hAnsi="KievitPro-Regular" w:cs="Arial"/>
          <w:lang w:val="it-CH"/>
        </w:rPr>
        <w:t>Un riesame della qualità del mandato è necessario in caso di revisione ordinaria di conti annuali risp. conti di gruppo annuali di una società quotata in borsa, ai sensi dell’art. 727 cpv. 1 cifra. 1 CO, in particolare:</w:t>
      </w:r>
    </w:p>
    <w:p w14:paraId="7E43C135" w14:textId="77777777" w:rsidR="00DB3299" w:rsidRPr="00DB3299" w:rsidRDefault="00DB3299" w:rsidP="00F85533">
      <w:pPr>
        <w:rPr>
          <w:rFonts w:ascii="KievitPro-Regular" w:hAnsi="KievitPro-Regular" w:cs="Arial"/>
          <w:lang w:val="it-CH"/>
        </w:rPr>
      </w:pPr>
    </w:p>
    <w:bookmarkEnd w:id="133"/>
    <w:tbl>
      <w:tblPr>
        <w:tblStyle w:val="Tabellenraster"/>
        <w:tblW w:w="0" w:type="auto"/>
        <w:tblInd w:w="108" w:type="dxa"/>
        <w:tblLook w:val="04A0" w:firstRow="1" w:lastRow="0" w:firstColumn="1" w:lastColumn="0" w:noHBand="0" w:noVBand="1"/>
      </w:tblPr>
      <w:tblGrid>
        <w:gridCol w:w="518"/>
        <w:gridCol w:w="6995"/>
        <w:gridCol w:w="931"/>
        <w:gridCol w:w="935"/>
      </w:tblGrid>
      <w:tr w:rsidR="00F85533" w:rsidRPr="00DB3299" w14:paraId="09FFF716" w14:textId="77777777" w:rsidTr="00EB2FBE">
        <w:tc>
          <w:tcPr>
            <w:tcW w:w="522" w:type="dxa"/>
            <w:tcBorders>
              <w:top w:val="single" w:sz="4" w:space="0" w:color="auto"/>
              <w:left w:val="single" w:sz="4" w:space="0" w:color="auto"/>
              <w:bottom w:val="nil"/>
              <w:right w:val="single" w:sz="4" w:space="0" w:color="auto"/>
            </w:tcBorders>
          </w:tcPr>
          <w:p w14:paraId="443D5710" w14:textId="77777777" w:rsidR="00F85533" w:rsidRPr="00DB3299" w:rsidRDefault="00F85533" w:rsidP="00EB2FBE">
            <w:pPr>
              <w:pStyle w:val="Listenabsatz"/>
              <w:spacing w:before="120" w:after="120"/>
              <w:ind w:left="0"/>
              <w:rPr>
                <w:rFonts w:ascii="KievitPro-Regular" w:hAnsi="KievitPro-Regular" w:cs="Arial"/>
                <w:lang w:val="it-CH"/>
              </w:rPr>
            </w:pPr>
          </w:p>
        </w:tc>
        <w:tc>
          <w:tcPr>
            <w:tcW w:w="7133" w:type="dxa"/>
            <w:tcBorders>
              <w:top w:val="single" w:sz="4" w:space="0" w:color="auto"/>
              <w:left w:val="single" w:sz="4" w:space="0" w:color="auto"/>
              <w:bottom w:val="nil"/>
              <w:right w:val="single" w:sz="4" w:space="0" w:color="auto"/>
            </w:tcBorders>
            <w:shd w:val="clear" w:color="auto" w:fill="BFBFBF" w:themeFill="background1" w:themeFillShade="BF"/>
            <w:hideMark/>
          </w:tcPr>
          <w:p w14:paraId="0041CB85" w14:textId="77777777" w:rsidR="00F85533" w:rsidRPr="00DB3299" w:rsidRDefault="00F85533" w:rsidP="00EB2FBE">
            <w:pPr>
              <w:pStyle w:val="Listenabsatz"/>
              <w:spacing w:before="120" w:after="120"/>
              <w:ind w:left="0"/>
              <w:rPr>
                <w:rFonts w:ascii="KievitPro-Regular" w:hAnsi="KievitPro-Regular" w:cs="Arial"/>
                <w:b/>
                <w:lang w:val="it-CH"/>
              </w:rPr>
            </w:pPr>
            <w:r w:rsidRPr="00DB3299">
              <w:rPr>
                <w:rFonts w:ascii="KievitPro-Regular" w:hAnsi="KievitPro-Regular" w:cs="Arial"/>
                <w:b/>
                <w:lang w:val="it-CH"/>
              </w:rPr>
              <w:t xml:space="preserve">Criterio </w:t>
            </w:r>
          </w:p>
        </w:tc>
        <w:tc>
          <w:tcPr>
            <w:tcW w:w="188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296476"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Soddisfatto</w:t>
            </w:r>
          </w:p>
        </w:tc>
      </w:tr>
      <w:tr w:rsidR="00F85533" w:rsidRPr="00DB3299" w14:paraId="093771CE" w14:textId="77777777" w:rsidTr="00EB2FBE">
        <w:tc>
          <w:tcPr>
            <w:tcW w:w="522" w:type="dxa"/>
            <w:tcBorders>
              <w:top w:val="nil"/>
              <w:left w:val="single" w:sz="4" w:space="0" w:color="auto"/>
              <w:bottom w:val="single" w:sz="4" w:space="0" w:color="auto"/>
              <w:right w:val="single" w:sz="4" w:space="0" w:color="auto"/>
            </w:tcBorders>
          </w:tcPr>
          <w:p w14:paraId="3BB6BE5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7133" w:type="dxa"/>
            <w:tcBorders>
              <w:top w:val="nil"/>
              <w:left w:val="single" w:sz="4" w:space="0" w:color="auto"/>
              <w:bottom w:val="single" w:sz="4" w:space="0" w:color="auto"/>
              <w:right w:val="single" w:sz="4" w:space="0" w:color="auto"/>
            </w:tcBorders>
            <w:shd w:val="clear" w:color="auto" w:fill="BFBFBF" w:themeFill="background1" w:themeFillShade="BF"/>
          </w:tcPr>
          <w:p w14:paraId="6CB1D88A"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CD0F67"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SI</w:t>
            </w:r>
          </w:p>
        </w:tc>
        <w:tc>
          <w:tcPr>
            <w:tcW w:w="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D4EA90"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NO</w:t>
            </w:r>
          </w:p>
        </w:tc>
      </w:tr>
      <w:tr w:rsidR="00F85533" w:rsidRPr="00EB2FBE" w14:paraId="76572D0C" w14:textId="77777777" w:rsidTr="00EB2FBE">
        <w:tc>
          <w:tcPr>
            <w:tcW w:w="522" w:type="dxa"/>
            <w:tcBorders>
              <w:top w:val="single" w:sz="4" w:space="0" w:color="auto"/>
              <w:left w:val="single" w:sz="4" w:space="0" w:color="auto"/>
              <w:bottom w:val="single" w:sz="4" w:space="0" w:color="auto"/>
              <w:right w:val="single" w:sz="4" w:space="0" w:color="auto"/>
            </w:tcBorders>
            <w:hideMark/>
          </w:tcPr>
          <w:p w14:paraId="2F1596FF"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a)</w:t>
            </w:r>
          </w:p>
        </w:tc>
        <w:tc>
          <w:tcPr>
            <w:tcW w:w="7133" w:type="dxa"/>
            <w:tcBorders>
              <w:top w:val="single" w:sz="4" w:space="0" w:color="auto"/>
              <w:left w:val="single" w:sz="4" w:space="0" w:color="auto"/>
              <w:bottom w:val="single" w:sz="4" w:space="0" w:color="auto"/>
              <w:right w:val="single" w:sz="4" w:space="0" w:color="auto"/>
            </w:tcBorders>
            <w:hideMark/>
          </w:tcPr>
          <w:p w14:paraId="6A4E8016"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La società ha titoli di partecipazione quotati in borsa.</w:t>
            </w:r>
          </w:p>
        </w:tc>
        <w:tc>
          <w:tcPr>
            <w:tcW w:w="943" w:type="dxa"/>
            <w:tcBorders>
              <w:top w:val="single" w:sz="4" w:space="0" w:color="auto"/>
              <w:left w:val="single" w:sz="4" w:space="0" w:color="auto"/>
              <w:bottom w:val="single" w:sz="4" w:space="0" w:color="auto"/>
              <w:right w:val="single" w:sz="4" w:space="0" w:color="auto"/>
            </w:tcBorders>
          </w:tcPr>
          <w:p w14:paraId="6094C8D2"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4" w:type="dxa"/>
            <w:tcBorders>
              <w:top w:val="single" w:sz="4" w:space="0" w:color="auto"/>
              <w:left w:val="single" w:sz="4" w:space="0" w:color="auto"/>
              <w:bottom w:val="single" w:sz="4" w:space="0" w:color="auto"/>
              <w:right w:val="single" w:sz="4" w:space="0" w:color="auto"/>
            </w:tcBorders>
          </w:tcPr>
          <w:p w14:paraId="46E911A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1DB905EA" w14:textId="77777777" w:rsidTr="00EB2FBE">
        <w:tc>
          <w:tcPr>
            <w:tcW w:w="522" w:type="dxa"/>
            <w:tcBorders>
              <w:top w:val="single" w:sz="4" w:space="0" w:color="auto"/>
              <w:left w:val="single" w:sz="4" w:space="0" w:color="auto"/>
              <w:bottom w:val="single" w:sz="4" w:space="0" w:color="auto"/>
              <w:right w:val="single" w:sz="4" w:space="0" w:color="auto"/>
            </w:tcBorders>
            <w:hideMark/>
          </w:tcPr>
          <w:p w14:paraId="09682F75"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b)</w:t>
            </w:r>
          </w:p>
        </w:tc>
        <w:tc>
          <w:tcPr>
            <w:tcW w:w="7133" w:type="dxa"/>
            <w:tcBorders>
              <w:top w:val="single" w:sz="4" w:space="0" w:color="auto"/>
              <w:left w:val="single" w:sz="4" w:space="0" w:color="auto"/>
              <w:bottom w:val="single" w:sz="4" w:space="0" w:color="auto"/>
              <w:right w:val="single" w:sz="4" w:space="0" w:color="auto"/>
            </w:tcBorders>
            <w:hideMark/>
          </w:tcPr>
          <w:p w14:paraId="7CF145FC"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La società è debitrice di prestiti in obbligazioni.</w:t>
            </w:r>
          </w:p>
        </w:tc>
        <w:tc>
          <w:tcPr>
            <w:tcW w:w="943" w:type="dxa"/>
            <w:tcBorders>
              <w:top w:val="single" w:sz="4" w:space="0" w:color="auto"/>
              <w:left w:val="single" w:sz="4" w:space="0" w:color="auto"/>
              <w:bottom w:val="single" w:sz="4" w:space="0" w:color="auto"/>
              <w:right w:val="single" w:sz="4" w:space="0" w:color="auto"/>
            </w:tcBorders>
          </w:tcPr>
          <w:p w14:paraId="4F16D46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4" w:type="dxa"/>
            <w:tcBorders>
              <w:top w:val="single" w:sz="4" w:space="0" w:color="auto"/>
              <w:left w:val="single" w:sz="4" w:space="0" w:color="auto"/>
              <w:bottom w:val="single" w:sz="4" w:space="0" w:color="auto"/>
              <w:right w:val="single" w:sz="4" w:space="0" w:color="auto"/>
            </w:tcBorders>
          </w:tcPr>
          <w:p w14:paraId="39DE3C3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015200DA" w14:textId="77777777" w:rsidTr="00EB2FBE">
        <w:tc>
          <w:tcPr>
            <w:tcW w:w="522" w:type="dxa"/>
            <w:tcBorders>
              <w:top w:val="single" w:sz="4" w:space="0" w:color="auto"/>
              <w:left w:val="single" w:sz="4" w:space="0" w:color="auto"/>
              <w:bottom w:val="single" w:sz="4" w:space="0" w:color="auto"/>
              <w:right w:val="single" w:sz="4" w:space="0" w:color="auto"/>
            </w:tcBorders>
            <w:hideMark/>
          </w:tcPr>
          <w:p w14:paraId="5E24A61E"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c)</w:t>
            </w:r>
          </w:p>
        </w:tc>
        <w:tc>
          <w:tcPr>
            <w:tcW w:w="7133" w:type="dxa"/>
            <w:tcBorders>
              <w:top w:val="single" w:sz="4" w:space="0" w:color="auto"/>
              <w:left w:val="single" w:sz="4" w:space="0" w:color="auto"/>
              <w:bottom w:val="single" w:sz="4" w:space="0" w:color="auto"/>
              <w:right w:val="single" w:sz="4" w:space="0" w:color="auto"/>
            </w:tcBorders>
            <w:hideMark/>
          </w:tcPr>
          <w:p w14:paraId="3F05AB02"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La società contribuisce almeno per il 20% degli attivi o della cifra d’affari al conto di gruppo di una società secondo le lettere a) o b). </w:t>
            </w:r>
          </w:p>
        </w:tc>
        <w:tc>
          <w:tcPr>
            <w:tcW w:w="943" w:type="dxa"/>
            <w:tcBorders>
              <w:top w:val="single" w:sz="4" w:space="0" w:color="auto"/>
              <w:left w:val="single" w:sz="4" w:space="0" w:color="auto"/>
              <w:bottom w:val="single" w:sz="4" w:space="0" w:color="auto"/>
              <w:right w:val="single" w:sz="4" w:space="0" w:color="auto"/>
            </w:tcBorders>
          </w:tcPr>
          <w:p w14:paraId="577E4AF6"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44" w:type="dxa"/>
            <w:tcBorders>
              <w:top w:val="single" w:sz="4" w:space="0" w:color="auto"/>
              <w:left w:val="single" w:sz="4" w:space="0" w:color="auto"/>
              <w:bottom w:val="single" w:sz="4" w:space="0" w:color="auto"/>
              <w:right w:val="single" w:sz="4" w:space="0" w:color="auto"/>
            </w:tcBorders>
          </w:tcPr>
          <w:p w14:paraId="230E940A"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bl>
    <w:p w14:paraId="41F76E08" w14:textId="77777777" w:rsidR="00F85533" w:rsidRPr="00DB3299" w:rsidRDefault="00F85533" w:rsidP="00F85533">
      <w:pPr>
        <w:pStyle w:val="Listenabsatz"/>
        <w:ind w:left="0"/>
        <w:rPr>
          <w:rFonts w:ascii="KievitPro-Regular" w:hAnsi="KievitPro-Regular" w:cs="Arial"/>
          <w:lang w:val="it-CH"/>
        </w:rPr>
      </w:pPr>
    </w:p>
    <w:p w14:paraId="4C4503A5" w14:textId="77777777" w:rsidR="00F85533" w:rsidRPr="00DB3299" w:rsidRDefault="00F85533" w:rsidP="00F85533">
      <w:pPr>
        <w:pStyle w:val="Listenabsatz"/>
        <w:numPr>
          <w:ilvl w:val="0"/>
          <w:numId w:val="31"/>
        </w:numPr>
        <w:spacing w:after="200" w:line="276" w:lineRule="auto"/>
        <w:contextualSpacing/>
        <w:rPr>
          <w:rFonts w:ascii="KievitPro-Regular" w:hAnsi="KievitPro-Regular" w:cs="Arial"/>
          <w:b/>
          <w:sz w:val="22"/>
          <w:szCs w:val="22"/>
          <w:lang w:val="it-CH"/>
        </w:rPr>
      </w:pPr>
      <w:r w:rsidRPr="00DB3299">
        <w:rPr>
          <w:rFonts w:ascii="KievitPro-Regular" w:hAnsi="KievitPro-Regular" w:cs="Arial"/>
          <w:b/>
          <w:sz w:val="22"/>
          <w:szCs w:val="22"/>
          <w:lang w:val="it-CH"/>
        </w:rPr>
        <w:t>Altri mandati di verifica</w:t>
      </w:r>
    </w:p>
    <w:p w14:paraId="0EA9B4F9" w14:textId="77777777" w:rsidR="00F85533" w:rsidRPr="00DB3299" w:rsidRDefault="00F85533" w:rsidP="00F85533">
      <w:pPr>
        <w:pStyle w:val="Listenabsatz"/>
        <w:ind w:left="0"/>
        <w:rPr>
          <w:rFonts w:ascii="KievitPro-Regular" w:hAnsi="KievitPro-Regular" w:cs="Arial"/>
          <w:sz w:val="22"/>
          <w:szCs w:val="22"/>
          <w:lang w:val="it-CH"/>
        </w:rPr>
      </w:pPr>
    </w:p>
    <w:p w14:paraId="1F907ABE" w14:textId="77777777" w:rsidR="00F85533" w:rsidRPr="00DB3299" w:rsidRDefault="00F85533" w:rsidP="002E205D">
      <w:pPr>
        <w:pStyle w:val="Listenabsatz"/>
        <w:spacing w:line="276" w:lineRule="auto"/>
        <w:ind w:left="0"/>
        <w:rPr>
          <w:rFonts w:ascii="KievitPro-Regular" w:hAnsi="KievitPro-Regular" w:cs="Arial"/>
          <w:sz w:val="22"/>
          <w:szCs w:val="22"/>
          <w:lang w:val="it-CH"/>
        </w:rPr>
      </w:pPr>
      <w:r w:rsidRPr="00DB3299">
        <w:rPr>
          <w:rFonts w:ascii="KievitPro-Regular" w:hAnsi="KievitPro-Regular" w:cs="Arial"/>
          <w:sz w:val="22"/>
          <w:szCs w:val="22"/>
          <w:lang w:val="it-CH"/>
        </w:rPr>
        <w:t xml:space="preserve">Anche per altri mandati di verifica può essere opportuno eseguire un riesame della qualità del mandato. I seguenti criteri sono da prendere in considerazione per prendere una decisione a riguardo: </w:t>
      </w:r>
    </w:p>
    <w:p w14:paraId="04C18D0A" w14:textId="77777777" w:rsidR="00F85533" w:rsidRPr="002858E4" w:rsidRDefault="00F85533" w:rsidP="00F85533">
      <w:pPr>
        <w:pStyle w:val="Listenabsatz"/>
        <w:ind w:left="0"/>
        <w:rPr>
          <w:rFonts w:ascii="Avenir LT Std 35 Light" w:hAnsi="Avenir LT Std 35 Light" w:cs="Arial"/>
          <w:lang w:val="it-CH"/>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F85533" w:rsidRPr="00DB3299" w14:paraId="35E2C55B" w14:textId="77777777" w:rsidTr="00EB2FBE">
        <w:tc>
          <w:tcPr>
            <w:tcW w:w="499" w:type="dxa"/>
            <w:tcBorders>
              <w:top w:val="single" w:sz="4" w:space="0" w:color="auto"/>
              <w:left w:val="single" w:sz="4" w:space="0" w:color="auto"/>
              <w:bottom w:val="nil"/>
              <w:right w:val="single" w:sz="4" w:space="0" w:color="auto"/>
            </w:tcBorders>
          </w:tcPr>
          <w:p w14:paraId="104C6D16" w14:textId="77777777" w:rsidR="00F85533" w:rsidRPr="00DB3299" w:rsidRDefault="00F85533" w:rsidP="00EB2FBE">
            <w:pPr>
              <w:pStyle w:val="Listenabsatz"/>
              <w:spacing w:before="120" w:after="120"/>
              <w:ind w:left="0"/>
              <w:rPr>
                <w:rFonts w:ascii="KievitPro-Regular" w:hAnsi="KievitPro-Regular" w:cs="Arial"/>
                <w:lang w:val="it-CH"/>
              </w:rPr>
            </w:pPr>
          </w:p>
        </w:tc>
        <w:tc>
          <w:tcPr>
            <w:tcW w:w="5313" w:type="dxa"/>
            <w:tcBorders>
              <w:top w:val="single" w:sz="4" w:space="0" w:color="auto"/>
              <w:left w:val="single" w:sz="4" w:space="0" w:color="auto"/>
              <w:bottom w:val="nil"/>
              <w:right w:val="single" w:sz="4" w:space="0" w:color="auto"/>
            </w:tcBorders>
            <w:shd w:val="clear" w:color="auto" w:fill="BFBFBF" w:themeFill="background1" w:themeFillShade="BF"/>
            <w:hideMark/>
          </w:tcPr>
          <w:p w14:paraId="5F019E29" w14:textId="77777777" w:rsidR="00F85533" w:rsidRPr="00DB3299" w:rsidRDefault="00F85533" w:rsidP="00EB2FBE">
            <w:pPr>
              <w:pStyle w:val="Listenabsatz"/>
              <w:spacing w:before="120" w:after="120"/>
              <w:ind w:left="0"/>
              <w:rPr>
                <w:rFonts w:ascii="KievitPro-Regular" w:hAnsi="KievitPro-Regular" w:cs="Arial"/>
                <w:b/>
                <w:lang w:val="it-CH"/>
              </w:rPr>
            </w:pPr>
            <w:r w:rsidRPr="00DB3299">
              <w:rPr>
                <w:rFonts w:ascii="KievitPro-Regular" w:hAnsi="KievitPro-Regular" w:cs="Arial"/>
                <w:b/>
                <w:lang w:val="it-CH"/>
              </w:rPr>
              <w:t xml:space="preserve">Criterio </w:t>
            </w:r>
          </w:p>
        </w:tc>
        <w:tc>
          <w:tcPr>
            <w:tcW w:w="1843" w:type="dxa"/>
            <w:tcBorders>
              <w:top w:val="single" w:sz="4" w:space="0" w:color="auto"/>
              <w:left w:val="single" w:sz="4" w:space="0" w:color="auto"/>
              <w:bottom w:val="nil"/>
              <w:right w:val="single" w:sz="4" w:space="0" w:color="auto"/>
            </w:tcBorders>
            <w:shd w:val="clear" w:color="auto" w:fill="BFBFBF" w:themeFill="background1" w:themeFillShade="BF"/>
            <w:hideMark/>
          </w:tcPr>
          <w:p w14:paraId="5C1D7B6F" w14:textId="77777777" w:rsidR="00F85533" w:rsidRPr="00DB3299" w:rsidRDefault="00F85533" w:rsidP="00EB2FBE">
            <w:pPr>
              <w:pStyle w:val="Listenabsatz"/>
              <w:spacing w:before="120" w:after="120"/>
              <w:ind w:left="0"/>
              <w:rPr>
                <w:rFonts w:ascii="KievitPro-Regular" w:hAnsi="KievitPro-Regular" w:cs="Arial"/>
                <w:b/>
                <w:lang w:val="it-CH"/>
              </w:rPr>
            </w:pPr>
            <w:r w:rsidRPr="00DB3299">
              <w:rPr>
                <w:rFonts w:ascii="KievitPro-Regular" w:hAnsi="KievitPro-Regular" w:cs="Arial"/>
                <w:b/>
                <w:lang w:val="it-CH"/>
              </w:rPr>
              <w:t>Osservazioni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154AC8"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Soddisfatto</w:t>
            </w:r>
          </w:p>
        </w:tc>
      </w:tr>
      <w:tr w:rsidR="00F85533" w:rsidRPr="00DB3299" w14:paraId="48D5BB67" w14:textId="77777777" w:rsidTr="00EB2FBE">
        <w:tc>
          <w:tcPr>
            <w:tcW w:w="499" w:type="dxa"/>
            <w:tcBorders>
              <w:top w:val="nil"/>
              <w:left w:val="single" w:sz="4" w:space="0" w:color="auto"/>
              <w:bottom w:val="single" w:sz="4" w:space="0" w:color="auto"/>
              <w:right w:val="single" w:sz="4" w:space="0" w:color="auto"/>
            </w:tcBorders>
          </w:tcPr>
          <w:p w14:paraId="57BA00B6"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5313" w:type="dxa"/>
            <w:tcBorders>
              <w:top w:val="nil"/>
              <w:left w:val="single" w:sz="4" w:space="0" w:color="auto"/>
              <w:bottom w:val="single" w:sz="4" w:space="0" w:color="auto"/>
              <w:right w:val="single" w:sz="4" w:space="0" w:color="auto"/>
            </w:tcBorders>
            <w:shd w:val="clear" w:color="auto" w:fill="BFBFBF" w:themeFill="background1" w:themeFillShade="BF"/>
          </w:tcPr>
          <w:p w14:paraId="15BA18FE"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1843" w:type="dxa"/>
            <w:tcBorders>
              <w:top w:val="nil"/>
              <w:left w:val="single" w:sz="4" w:space="0" w:color="auto"/>
              <w:bottom w:val="single" w:sz="4" w:space="0" w:color="auto"/>
              <w:right w:val="single" w:sz="4" w:space="0" w:color="auto"/>
            </w:tcBorders>
            <w:shd w:val="clear" w:color="auto" w:fill="BFBFBF" w:themeFill="background1" w:themeFillShade="BF"/>
          </w:tcPr>
          <w:p w14:paraId="1F5D77B5" w14:textId="77777777" w:rsidR="00F85533" w:rsidRPr="00DB3299" w:rsidRDefault="00F85533" w:rsidP="00EB2FBE">
            <w:pPr>
              <w:pStyle w:val="Listenabsatz"/>
              <w:spacing w:before="120" w:after="120"/>
              <w:ind w:left="0"/>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C60D67"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SI</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087" w14:textId="77777777" w:rsidR="00F85533" w:rsidRPr="00DB3299" w:rsidRDefault="00F85533" w:rsidP="00EB2FBE">
            <w:pPr>
              <w:pStyle w:val="Listenabsatz"/>
              <w:spacing w:before="120" w:after="120"/>
              <w:ind w:left="0"/>
              <w:jc w:val="center"/>
              <w:rPr>
                <w:rFonts w:ascii="KievitPro-Regular" w:hAnsi="KievitPro-Regular" w:cs="Arial"/>
                <w:b/>
                <w:lang w:val="it-CH"/>
              </w:rPr>
            </w:pPr>
            <w:r w:rsidRPr="00DB3299">
              <w:rPr>
                <w:rFonts w:ascii="KievitPro-Regular" w:hAnsi="KievitPro-Regular" w:cs="Arial"/>
                <w:b/>
                <w:lang w:val="it-CH"/>
              </w:rPr>
              <w:t>NO</w:t>
            </w:r>
          </w:p>
        </w:tc>
      </w:tr>
      <w:tr w:rsidR="00F85533" w:rsidRPr="00EB2FBE" w14:paraId="51209FC1" w14:textId="77777777" w:rsidTr="00EB2FBE">
        <w:tc>
          <w:tcPr>
            <w:tcW w:w="499" w:type="dxa"/>
            <w:tcBorders>
              <w:top w:val="single" w:sz="4" w:space="0" w:color="auto"/>
              <w:left w:val="single" w:sz="4" w:space="0" w:color="auto"/>
              <w:bottom w:val="single" w:sz="4" w:space="0" w:color="auto"/>
              <w:right w:val="single" w:sz="4" w:space="0" w:color="auto"/>
            </w:tcBorders>
          </w:tcPr>
          <w:p w14:paraId="4A832886"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24B668CF"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Natura del mandato (Verifica, Review)</w:t>
            </w:r>
          </w:p>
        </w:tc>
        <w:tc>
          <w:tcPr>
            <w:tcW w:w="1843" w:type="dxa"/>
            <w:tcBorders>
              <w:top w:val="single" w:sz="4" w:space="0" w:color="auto"/>
              <w:left w:val="single" w:sz="4" w:space="0" w:color="auto"/>
              <w:bottom w:val="single" w:sz="4" w:space="0" w:color="auto"/>
              <w:right w:val="single" w:sz="4" w:space="0" w:color="auto"/>
            </w:tcBorders>
          </w:tcPr>
          <w:p w14:paraId="04DF95A9"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07D1A5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A671F1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10D626AC" w14:textId="77777777" w:rsidTr="00EB2FBE">
        <w:tc>
          <w:tcPr>
            <w:tcW w:w="499" w:type="dxa"/>
            <w:tcBorders>
              <w:top w:val="single" w:sz="4" w:space="0" w:color="auto"/>
              <w:left w:val="single" w:sz="4" w:space="0" w:color="auto"/>
              <w:bottom w:val="single" w:sz="4" w:space="0" w:color="auto"/>
              <w:right w:val="single" w:sz="4" w:space="0" w:color="auto"/>
            </w:tcBorders>
          </w:tcPr>
          <w:p w14:paraId="6B9D8641"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15344EF9"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Cerchia di persone a cui è riferito il rapporto </w:t>
            </w:r>
          </w:p>
        </w:tc>
        <w:tc>
          <w:tcPr>
            <w:tcW w:w="1843" w:type="dxa"/>
            <w:tcBorders>
              <w:top w:val="single" w:sz="4" w:space="0" w:color="auto"/>
              <w:left w:val="single" w:sz="4" w:space="0" w:color="auto"/>
              <w:bottom w:val="single" w:sz="4" w:space="0" w:color="auto"/>
              <w:right w:val="single" w:sz="4" w:space="0" w:color="auto"/>
            </w:tcBorders>
          </w:tcPr>
          <w:p w14:paraId="12C6548B"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5DA600CE"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4479D466"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4E82A094" w14:textId="77777777" w:rsidTr="00EB2FBE">
        <w:tc>
          <w:tcPr>
            <w:tcW w:w="499" w:type="dxa"/>
            <w:tcBorders>
              <w:top w:val="single" w:sz="4" w:space="0" w:color="auto"/>
              <w:left w:val="single" w:sz="4" w:space="0" w:color="auto"/>
              <w:bottom w:val="single" w:sz="4" w:space="0" w:color="auto"/>
              <w:right w:val="single" w:sz="4" w:space="0" w:color="auto"/>
            </w:tcBorders>
          </w:tcPr>
          <w:p w14:paraId="02965141"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5BB7EA00"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Rischi (onere continuativo, alto rischio di truffa)  </w:t>
            </w:r>
          </w:p>
        </w:tc>
        <w:tc>
          <w:tcPr>
            <w:tcW w:w="1843" w:type="dxa"/>
            <w:tcBorders>
              <w:top w:val="single" w:sz="4" w:space="0" w:color="auto"/>
              <w:left w:val="single" w:sz="4" w:space="0" w:color="auto"/>
              <w:bottom w:val="single" w:sz="4" w:space="0" w:color="auto"/>
              <w:right w:val="single" w:sz="4" w:space="0" w:color="auto"/>
            </w:tcBorders>
          </w:tcPr>
          <w:p w14:paraId="3998F578"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3C0DC38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7713D295"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DB3299" w14:paraId="2A37562A" w14:textId="77777777" w:rsidTr="00EB2FBE">
        <w:tc>
          <w:tcPr>
            <w:tcW w:w="499" w:type="dxa"/>
            <w:tcBorders>
              <w:top w:val="single" w:sz="4" w:space="0" w:color="auto"/>
              <w:left w:val="single" w:sz="4" w:space="0" w:color="auto"/>
              <w:bottom w:val="single" w:sz="4" w:space="0" w:color="auto"/>
              <w:right w:val="single" w:sz="4" w:space="0" w:color="auto"/>
            </w:tcBorders>
          </w:tcPr>
          <w:p w14:paraId="045730C0"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1FF5E734"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Primo mandato di verifica</w:t>
            </w:r>
          </w:p>
        </w:tc>
        <w:tc>
          <w:tcPr>
            <w:tcW w:w="1843" w:type="dxa"/>
            <w:tcBorders>
              <w:top w:val="single" w:sz="4" w:space="0" w:color="auto"/>
              <w:left w:val="single" w:sz="4" w:space="0" w:color="auto"/>
              <w:bottom w:val="single" w:sz="4" w:space="0" w:color="auto"/>
              <w:right w:val="single" w:sz="4" w:space="0" w:color="auto"/>
            </w:tcBorders>
          </w:tcPr>
          <w:p w14:paraId="37B38B3C"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7DF1525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DF1A442"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DB3299" w14:paraId="0A893266" w14:textId="77777777" w:rsidTr="00EB2FBE">
        <w:tc>
          <w:tcPr>
            <w:tcW w:w="499" w:type="dxa"/>
            <w:tcBorders>
              <w:top w:val="single" w:sz="4" w:space="0" w:color="auto"/>
              <w:left w:val="single" w:sz="4" w:space="0" w:color="auto"/>
              <w:bottom w:val="single" w:sz="4" w:space="0" w:color="auto"/>
              <w:right w:val="single" w:sz="4" w:space="0" w:color="auto"/>
            </w:tcBorders>
          </w:tcPr>
          <w:p w14:paraId="27F14919"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6E8E14A1"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Complessità dell’oggetto della verifica </w:t>
            </w:r>
          </w:p>
        </w:tc>
        <w:tc>
          <w:tcPr>
            <w:tcW w:w="1843" w:type="dxa"/>
            <w:tcBorders>
              <w:top w:val="single" w:sz="4" w:space="0" w:color="auto"/>
              <w:left w:val="single" w:sz="4" w:space="0" w:color="auto"/>
              <w:bottom w:val="single" w:sz="4" w:space="0" w:color="auto"/>
              <w:right w:val="single" w:sz="4" w:space="0" w:color="auto"/>
            </w:tcBorders>
          </w:tcPr>
          <w:p w14:paraId="5BBA4871"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479FCE2"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6E717CF"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23DC1741" w14:textId="77777777" w:rsidTr="00EB2FBE">
        <w:tc>
          <w:tcPr>
            <w:tcW w:w="499" w:type="dxa"/>
            <w:tcBorders>
              <w:top w:val="single" w:sz="4" w:space="0" w:color="auto"/>
              <w:left w:val="single" w:sz="4" w:space="0" w:color="auto"/>
              <w:bottom w:val="single" w:sz="4" w:space="0" w:color="auto"/>
              <w:right w:val="single" w:sz="4" w:space="0" w:color="auto"/>
            </w:tcBorders>
          </w:tcPr>
          <w:p w14:paraId="4C5F307F"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7AD44FE0" w14:textId="77777777" w:rsidR="00F85533" w:rsidRPr="00DB3299" w:rsidRDefault="00F85533" w:rsidP="00EB2FBE">
            <w:pPr>
              <w:pStyle w:val="Listenabsatz"/>
              <w:spacing w:before="120" w:after="120"/>
              <w:ind w:left="0"/>
              <w:rPr>
                <w:rFonts w:ascii="KievitPro-Regular" w:hAnsi="KievitPro-Regular" w:cs="Arial"/>
                <w:color w:val="ED7D31" w:themeColor="accent2"/>
                <w:lang w:val="it-CH"/>
              </w:rPr>
            </w:pPr>
            <w:r w:rsidRPr="00DB3299">
              <w:rPr>
                <w:rFonts w:ascii="KievitPro-Regular" w:hAnsi="KievitPro-Regular" w:cs="Arial"/>
                <w:lang w:val="it-CH"/>
              </w:rPr>
              <w:t xml:space="preserve">Insieme di regole soggiacenti alla contabilità </w:t>
            </w:r>
          </w:p>
        </w:tc>
        <w:tc>
          <w:tcPr>
            <w:tcW w:w="1843" w:type="dxa"/>
            <w:tcBorders>
              <w:top w:val="single" w:sz="4" w:space="0" w:color="auto"/>
              <w:left w:val="single" w:sz="4" w:space="0" w:color="auto"/>
              <w:bottom w:val="single" w:sz="4" w:space="0" w:color="auto"/>
              <w:right w:val="single" w:sz="4" w:space="0" w:color="auto"/>
            </w:tcBorders>
          </w:tcPr>
          <w:p w14:paraId="3E09391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02E0E761"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09191F8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5D24FEBC" w14:textId="77777777" w:rsidTr="00EB2FBE">
        <w:tc>
          <w:tcPr>
            <w:tcW w:w="499" w:type="dxa"/>
            <w:tcBorders>
              <w:top w:val="single" w:sz="4" w:space="0" w:color="auto"/>
              <w:left w:val="single" w:sz="4" w:space="0" w:color="auto"/>
              <w:bottom w:val="single" w:sz="4" w:space="0" w:color="auto"/>
              <w:right w:val="single" w:sz="4" w:space="0" w:color="auto"/>
            </w:tcBorders>
          </w:tcPr>
          <w:p w14:paraId="4D74D778"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167AF066"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Rischi (onere continuativo, alto rischio di truffa)</w:t>
            </w:r>
          </w:p>
        </w:tc>
        <w:tc>
          <w:tcPr>
            <w:tcW w:w="1843" w:type="dxa"/>
            <w:tcBorders>
              <w:top w:val="single" w:sz="4" w:space="0" w:color="auto"/>
              <w:left w:val="single" w:sz="4" w:space="0" w:color="auto"/>
              <w:bottom w:val="single" w:sz="4" w:space="0" w:color="auto"/>
              <w:right w:val="single" w:sz="4" w:space="0" w:color="auto"/>
            </w:tcBorders>
          </w:tcPr>
          <w:p w14:paraId="0565341A"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68C8205"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2764B29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23D78F0B" w14:textId="77777777" w:rsidTr="00EB2FBE">
        <w:tc>
          <w:tcPr>
            <w:tcW w:w="499" w:type="dxa"/>
            <w:tcBorders>
              <w:top w:val="single" w:sz="4" w:space="0" w:color="auto"/>
              <w:left w:val="single" w:sz="4" w:space="0" w:color="auto"/>
              <w:bottom w:val="single" w:sz="4" w:space="0" w:color="auto"/>
              <w:right w:val="single" w:sz="4" w:space="0" w:color="auto"/>
            </w:tcBorders>
          </w:tcPr>
          <w:p w14:paraId="6F4D59FF"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05827477" w14:textId="77777777" w:rsidR="00F85533" w:rsidRPr="00DB3299" w:rsidRDefault="00F85533" w:rsidP="00EB2FBE">
            <w:pPr>
              <w:pStyle w:val="Listenabsatz"/>
              <w:spacing w:before="120" w:after="120"/>
              <w:ind w:left="0"/>
              <w:rPr>
                <w:rFonts w:ascii="KievitPro-Regular" w:hAnsi="KievitPro-Regular" w:cs="Arial"/>
                <w:lang w:val="en-GB"/>
              </w:rPr>
            </w:pPr>
            <w:r w:rsidRPr="00DB3299">
              <w:rPr>
                <w:rFonts w:ascii="KievitPro-Regular" w:hAnsi="KievitPro-Regular" w:cs="Arial"/>
                <w:lang w:val="en-GB"/>
              </w:rPr>
              <w:t>Situazione in relazione all’ art. 725 Abs. 2 CO</w:t>
            </w:r>
          </w:p>
        </w:tc>
        <w:tc>
          <w:tcPr>
            <w:tcW w:w="1843" w:type="dxa"/>
            <w:tcBorders>
              <w:top w:val="single" w:sz="4" w:space="0" w:color="auto"/>
              <w:left w:val="single" w:sz="4" w:space="0" w:color="auto"/>
              <w:bottom w:val="single" w:sz="4" w:space="0" w:color="auto"/>
              <w:right w:val="single" w:sz="4" w:space="0" w:color="auto"/>
            </w:tcBorders>
          </w:tcPr>
          <w:p w14:paraId="78BAB133" w14:textId="77777777" w:rsidR="00F85533" w:rsidRPr="00DB3299" w:rsidRDefault="00F85533" w:rsidP="00EB2FBE">
            <w:pPr>
              <w:pStyle w:val="Listenabsatz"/>
              <w:spacing w:before="120" w:after="120"/>
              <w:ind w:left="0"/>
              <w:jc w:val="center"/>
              <w:rPr>
                <w:rFonts w:ascii="KievitPro-Regular" w:hAnsi="KievitPro-Regular" w:cs="Arial"/>
                <w:b/>
                <w:lang w:val="en-GB"/>
              </w:rPr>
            </w:pPr>
          </w:p>
        </w:tc>
        <w:tc>
          <w:tcPr>
            <w:tcW w:w="992" w:type="dxa"/>
            <w:tcBorders>
              <w:top w:val="single" w:sz="4" w:space="0" w:color="auto"/>
              <w:left w:val="single" w:sz="4" w:space="0" w:color="auto"/>
              <w:bottom w:val="single" w:sz="4" w:space="0" w:color="auto"/>
              <w:right w:val="single" w:sz="4" w:space="0" w:color="auto"/>
            </w:tcBorders>
          </w:tcPr>
          <w:p w14:paraId="2D2CE5AB" w14:textId="77777777" w:rsidR="00F85533" w:rsidRPr="00DB3299" w:rsidRDefault="00F85533" w:rsidP="00EB2FBE">
            <w:pPr>
              <w:pStyle w:val="Listenabsatz"/>
              <w:spacing w:before="120" w:after="120"/>
              <w:ind w:left="0"/>
              <w:jc w:val="center"/>
              <w:rPr>
                <w:rFonts w:ascii="KievitPro-Regular" w:hAnsi="KievitPro-Regular" w:cs="Arial"/>
                <w:b/>
                <w:lang w:val="en-GB"/>
              </w:rPr>
            </w:pPr>
          </w:p>
        </w:tc>
        <w:tc>
          <w:tcPr>
            <w:tcW w:w="851" w:type="dxa"/>
            <w:tcBorders>
              <w:top w:val="single" w:sz="4" w:space="0" w:color="auto"/>
              <w:left w:val="single" w:sz="4" w:space="0" w:color="auto"/>
              <w:bottom w:val="single" w:sz="4" w:space="0" w:color="auto"/>
              <w:right w:val="single" w:sz="4" w:space="0" w:color="auto"/>
            </w:tcBorders>
          </w:tcPr>
          <w:p w14:paraId="2E739994" w14:textId="77777777" w:rsidR="00F85533" w:rsidRPr="00DB3299" w:rsidRDefault="00F85533" w:rsidP="00EB2FBE">
            <w:pPr>
              <w:pStyle w:val="Listenabsatz"/>
              <w:spacing w:before="120" w:after="120"/>
              <w:ind w:left="0"/>
              <w:jc w:val="center"/>
              <w:rPr>
                <w:rFonts w:ascii="KievitPro-Regular" w:hAnsi="KievitPro-Regular" w:cs="Arial"/>
                <w:b/>
                <w:lang w:val="en-GB"/>
              </w:rPr>
            </w:pPr>
          </w:p>
        </w:tc>
      </w:tr>
      <w:tr w:rsidR="00F85533" w:rsidRPr="00EB2FBE" w14:paraId="3600272B" w14:textId="77777777" w:rsidTr="00EB2FBE">
        <w:tc>
          <w:tcPr>
            <w:tcW w:w="499" w:type="dxa"/>
            <w:tcBorders>
              <w:top w:val="single" w:sz="4" w:space="0" w:color="auto"/>
              <w:left w:val="single" w:sz="4" w:space="0" w:color="auto"/>
              <w:bottom w:val="single" w:sz="4" w:space="0" w:color="auto"/>
              <w:right w:val="single" w:sz="4" w:space="0" w:color="auto"/>
            </w:tcBorders>
          </w:tcPr>
          <w:p w14:paraId="1F976F64"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en-GB"/>
              </w:rPr>
            </w:pPr>
          </w:p>
        </w:tc>
        <w:tc>
          <w:tcPr>
            <w:tcW w:w="5313" w:type="dxa"/>
            <w:tcBorders>
              <w:top w:val="single" w:sz="4" w:space="0" w:color="auto"/>
              <w:left w:val="single" w:sz="4" w:space="0" w:color="auto"/>
              <w:bottom w:val="single" w:sz="4" w:space="0" w:color="auto"/>
              <w:right w:val="single" w:sz="4" w:space="0" w:color="auto"/>
            </w:tcBorders>
            <w:hideMark/>
          </w:tcPr>
          <w:p w14:paraId="0F99135E"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Prognosi incerta di circa la capacità di continuare con gli affari della società </w:t>
            </w:r>
          </w:p>
        </w:tc>
        <w:tc>
          <w:tcPr>
            <w:tcW w:w="1843" w:type="dxa"/>
            <w:tcBorders>
              <w:top w:val="single" w:sz="4" w:space="0" w:color="auto"/>
              <w:left w:val="single" w:sz="4" w:space="0" w:color="auto"/>
              <w:bottom w:val="single" w:sz="4" w:space="0" w:color="auto"/>
              <w:right w:val="single" w:sz="4" w:space="0" w:color="auto"/>
            </w:tcBorders>
          </w:tcPr>
          <w:p w14:paraId="7E88ADEC"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5C854073"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7F067695"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6A9EB158" w14:textId="77777777" w:rsidTr="00EB2FBE">
        <w:tc>
          <w:tcPr>
            <w:tcW w:w="499" w:type="dxa"/>
            <w:tcBorders>
              <w:top w:val="single" w:sz="4" w:space="0" w:color="auto"/>
              <w:left w:val="single" w:sz="4" w:space="0" w:color="auto"/>
              <w:bottom w:val="single" w:sz="4" w:space="0" w:color="auto"/>
              <w:right w:val="single" w:sz="4" w:space="0" w:color="auto"/>
            </w:tcBorders>
          </w:tcPr>
          <w:p w14:paraId="3EEB6BF8"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6899F0A4"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Rischi (onere continuativo, alto rischio di truffa)</w:t>
            </w:r>
          </w:p>
        </w:tc>
        <w:tc>
          <w:tcPr>
            <w:tcW w:w="1843" w:type="dxa"/>
            <w:tcBorders>
              <w:top w:val="single" w:sz="4" w:space="0" w:color="auto"/>
              <w:left w:val="single" w:sz="4" w:space="0" w:color="auto"/>
              <w:bottom w:val="single" w:sz="4" w:space="0" w:color="auto"/>
              <w:right w:val="single" w:sz="4" w:space="0" w:color="auto"/>
            </w:tcBorders>
          </w:tcPr>
          <w:p w14:paraId="74B1C4D4"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62D8DF84"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3503B76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EB2FBE" w14:paraId="72C6DBFC" w14:textId="77777777" w:rsidTr="00EB2FBE">
        <w:tc>
          <w:tcPr>
            <w:tcW w:w="499" w:type="dxa"/>
            <w:tcBorders>
              <w:top w:val="single" w:sz="4" w:space="0" w:color="auto"/>
              <w:left w:val="single" w:sz="4" w:space="0" w:color="auto"/>
              <w:bottom w:val="single" w:sz="4" w:space="0" w:color="auto"/>
              <w:right w:val="single" w:sz="4" w:space="0" w:color="auto"/>
            </w:tcBorders>
          </w:tcPr>
          <w:p w14:paraId="65066425"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413CBDDA"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 xml:space="preserve">Scopo del bilancio in questione (p.es. bilancio di liquidazione, bilancio intermedio in caso di preoccupazioni giustificate di eccedenza di debiti) </w:t>
            </w:r>
          </w:p>
        </w:tc>
        <w:tc>
          <w:tcPr>
            <w:tcW w:w="1843" w:type="dxa"/>
            <w:tcBorders>
              <w:top w:val="single" w:sz="4" w:space="0" w:color="auto"/>
              <w:left w:val="single" w:sz="4" w:space="0" w:color="auto"/>
              <w:bottom w:val="single" w:sz="4" w:space="0" w:color="auto"/>
              <w:right w:val="single" w:sz="4" w:space="0" w:color="auto"/>
            </w:tcBorders>
          </w:tcPr>
          <w:p w14:paraId="524C28F0"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4ECB69BC"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6CA4365F"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r w:rsidR="00F85533" w:rsidRPr="00DB3299" w14:paraId="1B0A8DFC" w14:textId="77777777" w:rsidTr="00EB2FBE">
        <w:tc>
          <w:tcPr>
            <w:tcW w:w="499" w:type="dxa"/>
            <w:tcBorders>
              <w:top w:val="single" w:sz="4" w:space="0" w:color="auto"/>
              <w:left w:val="single" w:sz="4" w:space="0" w:color="auto"/>
              <w:bottom w:val="single" w:sz="4" w:space="0" w:color="auto"/>
              <w:right w:val="single" w:sz="4" w:space="0" w:color="auto"/>
            </w:tcBorders>
          </w:tcPr>
          <w:p w14:paraId="51F24DF4" w14:textId="77777777" w:rsidR="00F85533" w:rsidRPr="00DB3299" w:rsidRDefault="00F85533" w:rsidP="00F85533">
            <w:pPr>
              <w:pStyle w:val="Listenabsatz"/>
              <w:numPr>
                <w:ilvl w:val="0"/>
                <w:numId w:val="32"/>
              </w:numPr>
              <w:spacing w:before="120" w:after="120"/>
              <w:contextualSpacing/>
              <w:rPr>
                <w:rFonts w:ascii="KievitPro-Regular" w:hAnsi="KievitPro-Regular" w:cs="Arial"/>
                <w:lang w:val="it-CH"/>
              </w:rPr>
            </w:pPr>
          </w:p>
        </w:tc>
        <w:tc>
          <w:tcPr>
            <w:tcW w:w="5313" w:type="dxa"/>
            <w:tcBorders>
              <w:top w:val="single" w:sz="4" w:space="0" w:color="auto"/>
              <w:left w:val="single" w:sz="4" w:space="0" w:color="auto"/>
              <w:bottom w:val="single" w:sz="4" w:space="0" w:color="auto"/>
              <w:right w:val="single" w:sz="4" w:space="0" w:color="auto"/>
            </w:tcBorders>
            <w:hideMark/>
          </w:tcPr>
          <w:p w14:paraId="57A569C6" w14:textId="77777777" w:rsidR="00F85533" w:rsidRPr="00DB3299" w:rsidRDefault="00F85533" w:rsidP="00EB2FBE">
            <w:pPr>
              <w:pStyle w:val="Listenabsatz"/>
              <w:spacing w:before="120" w:after="120"/>
              <w:ind w:left="0"/>
              <w:rPr>
                <w:rFonts w:ascii="KievitPro-Regular" w:hAnsi="KievitPro-Regular" w:cs="Arial"/>
                <w:lang w:val="it-CH"/>
              </w:rPr>
            </w:pPr>
            <w:r w:rsidRPr="00DB3299">
              <w:rPr>
                <w:rFonts w:ascii="KievitPro-Regular" w:hAnsi="KievitPro-Regular" w:cs="Arial"/>
                <w:lang w:val="it-CH"/>
              </w:rPr>
              <w:t>Altre circostanze</w:t>
            </w:r>
          </w:p>
        </w:tc>
        <w:tc>
          <w:tcPr>
            <w:tcW w:w="1843" w:type="dxa"/>
            <w:tcBorders>
              <w:top w:val="single" w:sz="4" w:space="0" w:color="auto"/>
              <w:left w:val="single" w:sz="4" w:space="0" w:color="auto"/>
              <w:bottom w:val="single" w:sz="4" w:space="0" w:color="auto"/>
              <w:right w:val="single" w:sz="4" w:space="0" w:color="auto"/>
            </w:tcBorders>
          </w:tcPr>
          <w:p w14:paraId="7FD7AC7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992" w:type="dxa"/>
            <w:tcBorders>
              <w:top w:val="single" w:sz="4" w:space="0" w:color="auto"/>
              <w:left w:val="single" w:sz="4" w:space="0" w:color="auto"/>
              <w:bottom w:val="single" w:sz="4" w:space="0" w:color="auto"/>
              <w:right w:val="single" w:sz="4" w:space="0" w:color="auto"/>
            </w:tcBorders>
          </w:tcPr>
          <w:p w14:paraId="10013644"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c>
          <w:tcPr>
            <w:tcW w:w="851" w:type="dxa"/>
            <w:tcBorders>
              <w:top w:val="single" w:sz="4" w:space="0" w:color="auto"/>
              <w:left w:val="single" w:sz="4" w:space="0" w:color="auto"/>
              <w:bottom w:val="single" w:sz="4" w:space="0" w:color="auto"/>
              <w:right w:val="single" w:sz="4" w:space="0" w:color="auto"/>
            </w:tcBorders>
          </w:tcPr>
          <w:p w14:paraId="198B961D" w14:textId="77777777" w:rsidR="00F85533" w:rsidRPr="00DB3299" w:rsidRDefault="00F85533" w:rsidP="00EB2FBE">
            <w:pPr>
              <w:pStyle w:val="Listenabsatz"/>
              <w:spacing w:before="120" w:after="120"/>
              <w:ind w:left="0"/>
              <w:jc w:val="center"/>
              <w:rPr>
                <w:rFonts w:ascii="KievitPro-Regular" w:hAnsi="KievitPro-Regular" w:cs="Arial"/>
                <w:b/>
                <w:lang w:val="it-CH"/>
              </w:rPr>
            </w:pPr>
          </w:p>
        </w:tc>
      </w:tr>
    </w:tbl>
    <w:p w14:paraId="7EF5BFE7" w14:textId="77777777" w:rsidR="00F85533" w:rsidRPr="002858E4" w:rsidRDefault="00F85533" w:rsidP="00F85533">
      <w:pPr>
        <w:pStyle w:val="Listenabsatz"/>
        <w:ind w:left="0"/>
        <w:rPr>
          <w:rFonts w:ascii="Avenir LT Std 35 Light" w:hAnsi="Avenir LT Std 35 Light" w:cs="Arial"/>
          <w:lang w:val="it-CH"/>
        </w:rPr>
      </w:pPr>
    </w:p>
    <w:p w14:paraId="34D00C6F" w14:textId="77777777" w:rsidR="00F85533" w:rsidRPr="00DB3299" w:rsidRDefault="00F85533" w:rsidP="00F85533">
      <w:pPr>
        <w:pStyle w:val="Listenabsatz"/>
        <w:ind w:left="0"/>
        <w:rPr>
          <w:rFonts w:ascii="KievitPro-Regular" w:hAnsi="KievitPro-Regular" w:cs="Arial"/>
          <w:sz w:val="22"/>
          <w:szCs w:val="22"/>
          <w:lang w:val="it-CH"/>
        </w:rPr>
      </w:pPr>
    </w:p>
    <w:p w14:paraId="2C79E08F" w14:textId="77777777" w:rsidR="00F85533" w:rsidRPr="00DB3299" w:rsidRDefault="00F85533" w:rsidP="00F85533">
      <w:pPr>
        <w:pStyle w:val="Listenabsatz"/>
        <w:ind w:left="0"/>
        <w:rPr>
          <w:rFonts w:ascii="KievitPro-Regular" w:hAnsi="KievitPro-Regular" w:cs="Arial"/>
          <w:b/>
          <w:sz w:val="22"/>
          <w:szCs w:val="22"/>
          <w:lang w:val="it-CH"/>
        </w:rPr>
      </w:pPr>
    </w:p>
    <w:p w14:paraId="5AA88672" w14:textId="77777777" w:rsidR="00F85533" w:rsidRPr="00DB3299" w:rsidRDefault="00F85533" w:rsidP="00F85533">
      <w:pPr>
        <w:pStyle w:val="Listenabsatz"/>
        <w:numPr>
          <w:ilvl w:val="0"/>
          <w:numId w:val="31"/>
        </w:numPr>
        <w:spacing w:after="200" w:line="276" w:lineRule="auto"/>
        <w:contextualSpacing/>
        <w:rPr>
          <w:rFonts w:ascii="KievitPro-Regular" w:hAnsi="KievitPro-Regular" w:cs="Arial"/>
          <w:b/>
          <w:sz w:val="22"/>
          <w:szCs w:val="22"/>
          <w:lang w:val="it-CH"/>
        </w:rPr>
      </w:pPr>
      <w:r w:rsidRPr="00DB3299">
        <w:rPr>
          <w:rFonts w:ascii="KievitPro-Regular" w:hAnsi="KievitPro-Regular" w:cs="Arial"/>
          <w:b/>
          <w:sz w:val="22"/>
          <w:szCs w:val="22"/>
          <w:lang w:val="it-CH"/>
        </w:rPr>
        <w:t>Conclusioni:</w:t>
      </w:r>
    </w:p>
    <w:p w14:paraId="0E3A9B9C" w14:textId="77777777" w:rsidR="00F85533" w:rsidRPr="00DB3299" w:rsidRDefault="00F85533" w:rsidP="00F85533">
      <w:pPr>
        <w:pStyle w:val="Listenabsatz"/>
        <w:ind w:left="0"/>
        <w:rPr>
          <w:rFonts w:ascii="KievitPro-Regular" w:hAnsi="KievitPro-Regular" w:cs="Arial"/>
          <w:b/>
          <w:sz w:val="22"/>
          <w:szCs w:val="22"/>
          <w:lang w:val="it-CH"/>
        </w:rPr>
      </w:pPr>
    </w:p>
    <w:tbl>
      <w:tblPr>
        <w:tblStyle w:val="Tabellenraster"/>
        <w:tblW w:w="0" w:type="auto"/>
        <w:tblLook w:val="04A0" w:firstRow="1" w:lastRow="0" w:firstColumn="1" w:lastColumn="0" w:noHBand="0" w:noVBand="1"/>
      </w:tblPr>
      <w:tblGrid>
        <w:gridCol w:w="9487"/>
      </w:tblGrid>
      <w:tr w:rsidR="00F85533" w:rsidRPr="00DB3299" w14:paraId="6664E850" w14:textId="77777777" w:rsidTr="00EB2FBE">
        <w:tc>
          <w:tcPr>
            <w:tcW w:w="9777" w:type="dxa"/>
            <w:tcBorders>
              <w:top w:val="single" w:sz="4" w:space="0" w:color="auto"/>
              <w:left w:val="single" w:sz="4" w:space="0" w:color="auto"/>
              <w:bottom w:val="single" w:sz="4" w:space="0" w:color="auto"/>
              <w:right w:val="single" w:sz="4" w:space="0" w:color="auto"/>
            </w:tcBorders>
          </w:tcPr>
          <w:p w14:paraId="79705B21" w14:textId="77777777" w:rsidR="00F85533" w:rsidRPr="00DB3299" w:rsidRDefault="00F85533" w:rsidP="00EB2FBE">
            <w:pPr>
              <w:pStyle w:val="Listenabsatz"/>
              <w:ind w:left="0"/>
              <w:rPr>
                <w:rFonts w:ascii="KievitPro-Regular" w:hAnsi="KievitPro-Regular" w:cs="Arial"/>
                <w:sz w:val="22"/>
                <w:szCs w:val="22"/>
                <w:lang w:val="it-CH"/>
              </w:rPr>
            </w:pPr>
          </w:p>
        </w:tc>
      </w:tr>
    </w:tbl>
    <w:p w14:paraId="4831317C" w14:textId="77777777" w:rsidR="00F85533" w:rsidRPr="00DB3299" w:rsidRDefault="00F85533" w:rsidP="00F85533">
      <w:pPr>
        <w:pStyle w:val="Listenabsatz"/>
        <w:ind w:left="0"/>
        <w:rPr>
          <w:rFonts w:ascii="KievitPro-Regular" w:hAnsi="KievitPro-Regular" w:cs="Arial"/>
          <w:sz w:val="22"/>
          <w:szCs w:val="22"/>
          <w:lang w:val="it-CH"/>
        </w:rPr>
      </w:pPr>
    </w:p>
    <w:p w14:paraId="22443585" w14:textId="77777777" w:rsidR="00F85533" w:rsidRPr="00DB3299" w:rsidRDefault="00F85533" w:rsidP="00F85533">
      <w:pPr>
        <w:pStyle w:val="Listenabsatz"/>
        <w:ind w:left="0"/>
        <w:rPr>
          <w:rFonts w:ascii="KievitPro-Regular" w:hAnsi="KievitPro-Regular" w:cs="Arial"/>
          <w:sz w:val="22"/>
          <w:szCs w:val="22"/>
          <w:lang w:val="it-CH"/>
        </w:rPr>
      </w:pPr>
    </w:p>
    <w:p w14:paraId="2DC5F021" w14:textId="77777777" w:rsidR="00F85533" w:rsidRPr="00DB3299" w:rsidRDefault="00F85533" w:rsidP="00F85533">
      <w:pPr>
        <w:pStyle w:val="Listenabsatz"/>
        <w:ind w:left="0"/>
        <w:rPr>
          <w:rFonts w:ascii="KievitPro-Regular" w:hAnsi="KievitPro-Regular" w:cs="Arial"/>
          <w:sz w:val="22"/>
          <w:szCs w:val="22"/>
          <w:lang w:val="it-CH"/>
        </w:rPr>
      </w:pPr>
    </w:p>
    <w:p w14:paraId="1D9A0066" w14:textId="77777777" w:rsidR="00F85533" w:rsidRPr="00DB3299" w:rsidRDefault="00F85533" w:rsidP="00F85533">
      <w:pPr>
        <w:pStyle w:val="Listenabsatz"/>
        <w:ind w:left="0"/>
        <w:rPr>
          <w:rFonts w:ascii="KievitPro-Regular" w:hAnsi="KievitPro-Regular" w:cs="Arial"/>
          <w:sz w:val="22"/>
          <w:szCs w:val="22"/>
          <w:lang w:val="it-CH"/>
        </w:rPr>
      </w:pPr>
    </w:p>
    <w:p w14:paraId="380E1DCD" w14:textId="77777777" w:rsidR="00F85533" w:rsidRPr="00DB3299" w:rsidRDefault="00F85533" w:rsidP="00F85533">
      <w:pPr>
        <w:pStyle w:val="Listenabsatz"/>
        <w:ind w:left="0"/>
        <w:rPr>
          <w:rFonts w:ascii="KievitPro-Regular" w:hAnsi="KievitPro-Regular" w:cs="Arial"/>
          <w:sz w:val="22"/>
          <w:szCs w:val="22"/>
          <w:lang w:val="it-CH"/>
        </w:rPr>
      </w:pPr>
    </w:p>
    <w:p w14:paraId="109A05A9" w14:textId="77777777" w:rsidR="00F85533" w:rsidRPr="00DB3299" w:rsidRDefault="00F85533" w:rsidP="00F85533">
      <w:pPr>
        <w:pStyle w:val="Listenabsatz"/>
        <w:ind w:left="0"/>
        <w:rPr>
          <w:rFonts w:ascii="KievitPro-Regular" w:hAnsi="KievitPro-Regular" w:cs="Arial"/>
          <w:sz w:val="22"/>
          <w:szCs w:val="22"/>
          <w:lang w:val="it-CH"/>
        </w:rPr>
      </w:pPr>
    </w:p>
    <w:p w14:paraId="7FD7E31B" w14:textId="77777777" w:rsidR="00F85533" w:rsidRPr="00DB3299" w:rsidRDefault="00F85533" w:rsidP="00F85533">
      <w:pPr>
        <w:pStyle w:val="Textkrper"/>
        <w:spacing w:after="200"/>
        <w:rPr>
          <w:rFonts w:ascii="KievitPro-Regular" w:hAnsi="KievitPro-Regular"/>
          <w:sz w:val="22"/>
          <w:szCs w:val="22"/>
          <w:lang w:val="it-CH"/>
        </w:rPr>
      </w:pPr>
      <w:r w:rsidRPr="00DB3299">
        <w:rPr>
          <w:rFonts w:ascii="KievitPro-Regular" w:hAnsi="KievitPro-Regular"/>
          <w:sz w:val="22"/>
          <w:szCs w:val="22"/>
          <w:lang w:val="it-CH"/>
        </w:rPr>
        <w:t>Responsabile del mandato, Data</w:t>
      </w:r>
      <w:r w:rsidRPr="00DB3299">
        <w:rPr>
          <w:rFonts w:ascii="KievitPro-Regular" w:hAnsi="KievitPro-Regular"/>
          <w:sz w:val="22"/>
          <w:szCs w:val="22"/>
          <w:lang w:val="it-CH"/>
        </w:rPr>
        <w:tab/>
      </w:r>
      <w:r w:rsidRPr="00DB3299">
        <w:rPr>
          <w:rFonts w:ascii="KievitPro-Regular" w:hAnsi="KievitPro-Regular"/>
          <w:sz w:val="22"/>
          <w:szCs w:val="22"/>
          <w:lang w:val="it-CH"/>
        </w:rPr>
        <w:tab/>
      </w:r>
      <w:r w:rsidRPr="00DB3299">
        <w:rPr>
          <w:rFonts w:ascii="KievitPro-Regular" w:hAnsi="KievitPro-Regular"/>
          <w:sz w:val="22"/>
          <w:szCs w:val="22"/>
          <w:lang w:val="it-CH"/>
        </w:rPr>
        <w:tab/>
        <w:t xml:space="preserve"> Responsabile della garanzia della qualità, Data</w:t>
      </w:r>
    </w:p>
    <w:p w14:paraId="1830844A" w14:textId="77777777" w:rsidR="00F85533" w:rsidRPr="00DB3299" w:rsidRDefault="00F85533" w:rsidP="00F85533">
      <w:pPr>
        <w:pStyle w:val="Adresse"/>
        <w:rPr>
          <w:rFonts w:ascii="KievitPro-Regular" w:hAnsi="KievitPro-Regular"/>
          <w:b/>
          <w:sz w:val="22"/>
          <w:szCs w:val="22"/>
          <w:lang w:val="it-CH"/>
        </w:rPr>
      </w:pPr>
    </w:p>
    <w:p w14:paraId="184FB991" w14:textId="77777777" w:rsidR="00F85533" w:rsidRPr="00DB3299" w:rsidRDefault="00F85533" w:rsidP="00F85533">
      <w:pPr>
        <w:pStyle w:val="Textkrper-Zeileneinzug"/>
        <w:tabs>
          <w:tab w:val="left" w:pos="1276"/>
          <w:tab w:val="left" w:pos="4111"/>
        </w:tabs>
        <w:spacing w:before="60"/>
        <w:ind w:left="0" w:hanging="1"/>
        <w:rPr>
          <w:rFonts w:ascii="KievitPro-Regular" w:hAnsi="KievitPro-Regular" w:cs="Arial"/>
          <w:b/>
          <w:sz w:val="22"/>
          <w:szCs w:val="22"/>
          <w:lang w:val="it-CH"/>
        </w:rPr>
      </w:pPr>
    </w:p>
    <w:p w14:paraId="458EA95F" w14:textId="77777777" w:rsidR="00F85533" w:rsidRPr="00DB3299" w:rsidRDefault="00F85533" w:rsidP="00F85533">
      <w:pPr>
        <w:rPr>
          <w:rFonts w:ascii="KievitPro-Regular" w:hAnsi="KievitPro-Regular"/>
          <w:smallCaps/>
          <w:spacing w:val="5"/>
          <w:sz w:val="22"/>
          <w:szCs w:val="22"/>
          <w:lang w:val="it-CH"/>
        </w:rPr>
      </w:pPr>
      <w:r w:rsidRPr="00DB3299">
        <w:rPr>
          <w:rFonts w:ascii="KievitPro-Regular" w:hAnsi="KievitPro-Regular"/>
          <w:sz w:val="22"/>
          <w:szCs w:val="22"/>
          <w:lang w:val="it-CH"/>
        </w:rPr>
        <w:t>------------------------------------------------</w:t>
      </w:r>
      <w:r w:rsidRPr="00DB3299">
        <w:rPr>
          <w:rFonts w:ascii="KievitPro-Regular" w:hAnsi="KievitPro-Regular"/>
          <w:sz w:val="22"/>
          <w:szCs w:val="22"/>
          <w:lang w:val="it-CH"/>
        </w:rPr>
        <w:tab/>
      </w:r>
      <w:r w:rsidRPr="00DB3299">
        <w:rPr>
          <w:rFonts w:ascii="KievitPro-Regular" w:hAnsi="KievitPro-Regular"/>
          <w:sz w:val="22"/>
          <w:szCs w:val="22"/>
          <w:lang w:val="it-CH"/>
        </w:rPr>
        <w:tab/>
      </w:r>
      <w:r w:rsidRPr="00DB3299">
        <w:rPr>
          <w:rFonts w:ascii="KievitPro-Regular" w:hAnsi="KievitPro-Regular"/>
          <w:sz w:val="22"/>
          <w:szCs w:val="22"/>
          <w:lang w:val="it-CH"/>
        </w:rPr>
        <w:tab/>
        <w:t>---------------------------------------------------</w:t>
      </w:r>
      <w:bookmarkEnd w:id="132"/>
    </w:p>
    <w:p w14:paraId="47B8C358" w14:textId="06110C37" w:rsidR="00ED4133" w:rsidRPr="00DB3299" w:rsidRDefault="00ED4133" w:rsidP="00ED4133">
      <w:pPr>
        <w:rPr>
          <w:rFonts w:ascii="KievitPro-Regular" w:hAnsi="KievitPro-Regular" w:cs="Arial"/>
          <w:sz w:val="22"/>
          <w:szCs w:val="22"/>
          <w:lang w:val="it-CH"/>
        </w:rPr>
      </w:pPr>
    </w:p>
    <w:p w14:paraId="40BD3F7B" w14:textId="38AA1845" w:rsidR="00E63749" w:rsidRPr="00DB3299" w:rsidRDefault="00E63749" w:rsidP="00E63749">
      <w:pPr>
        <w:rPr>
          <w:rFonts w:ascii="KievitPro-Regular" w:hAnsi="KievitPro-Regular" w:cs="Arial"/>
          <w:b/>
          <w:sz w:val="22"/>
          <w:szCs w:val="22"/>
          <w:lang w:val="it-CH"/>
        </w:rPr>
      </w:pPr>
    </w:p>
    <w:sectPr w:rsidR="00E63749" w:rsidRPr="00DB3299" w:rsidSect="00F85533">
      <w:footerReference w:type="default" r:id="rId19"/>
      <w:pgSz w:w="11907" w:h="16840"/>
      <w:pgMar w:top="1418" w:right="992" w:bottom="851" w:left="1418"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894" w14:textId="77777777" w:rsidR="00EB2FBE" w:rsidRDefault="00EB2FBE">
      <w:r>
        <w:separator/>
      </w:r>
    </w:p>
  </w:endnote>
  <w:endnote w:type="continuationSeparator" w:id="0">
    <w:p w14:paraId="76B19DDF" w14:textId="77777777" w:rsidR="00EB2FBE" w:rsidRDefault="00EB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evitPro-Regular">
    <w:panose1 w:val="020B0504030101020102"/>
    <w:charset w:val="00"/>
    <w:family w:val="swiss"/>
    <w:notTrueType/>
    <w:pitch w:val="variable"/>
    <w:sig w:usb0="A00002FF" w:usb1="4000205B" w:usb2="00000000" w:usb3="00000000" w:csb0="0000009F" w:csb1="00000000"/>
  </w:font>
  <w:font w:name="Avenir LT Std 35 Light">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venir LT 85 Heavy">
    <w:altName w:val="Tw Cen MT Condensed Extra Bold"/>
    <w:charset w:val="00"/>
    <w:family w:val="swiss"/>
    <w:pitch w:val="variable"/>
    <w:sig w:usb0="80000003" w:usb1="00000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 LT 35 Light">
    <w:altName w:val="Malgun Gothic"/>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13FC210C" w14:textId="5CA34C68"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41024D" w:rsidRPr="0041024D">
          <w:rPr>
            <w:rFonts w:ascii="KievitPro-Regular" w:hAnsi="KievitPro-Regular"/>
            <w:noProof/>
            <w:lang w:val="de-DE"/>
          </w:rPr>
          <w:t>1</w:t>
        </w:r>
        <w:r w:rsidRPr="00985540">
          <w:rPr>
            <w:rFonts w:ascii="KievitPro-Regular" w:hAnsi="KievitPro-Regular"/>
          </w:rPr>
          <w:fldChar w:fldCharType="end"/>
        </w:r>
        <w:r>
          <w:rPr>
            <w:rFonts w:ascii="KievitPro-Regular" w:hAnsi="KievitPro-Regular"/>
          </w:rPr>
          <w:tab/>
        </w:r>
        <w:r>
          <w:rPr>
            <w:rFonts w:ascii="KievitPro-Regular" w:hAnsi="KievitPro-Regular"/>
          </w:rPr>
          <w:tab/>
          <w:t>www.fiduciarisuisse.ch</w:t>
        </w:r>
        <w:r>
          <w:tab/>
        </w:r>
      </w:p>
      <w:p w14:paraId="128D5518" w14:textId="18C69DDA" w:rsidR="00EB2FBE" w:rsidRDefault="0041024D" w:rsidP="0015513E">
        <w:pPr>
          <w:pStyle w:val="Fuzeile"/>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66B5" w14:textId="1B9088E6" w:rsidR="00EB2FBE" w:rsidRDefault="00EB2FBE">
    <w:pPr>
      <w:pStyle w:val="Fuzeile"/>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103342"/>
      <w:docPartObj>
        <w:docPartGallery w:val="Page Numbers (Bottom of Page)"/>
        <w:docPartUnique/>
      </w:docPartObj>
    </w:sdtPr>
    <w:sdtEndPr/>
    <w:sdtContent>
      <w:p w14:paraId="1EDBED63" w14:textId="7D3C3E92"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41024D" w:rsidRPr="0041024D">
          <w:rPr>
            <w:rFonts w:ascii="KievitPro-Regular" w:hAnsi="KievitPro-Regular"/>
            <w:noProof/>
            <w:lang w:val="de-DE"/>
          </w:rPr>
          <w:t>37</w:t>
        </w:r>
        <w:r w:rsidRPr="00985540">
          <w:rPr>
            <w:rFonts w:ascii="KievitPro-Regular" w:hAnsi="KievitPro-Regular"/>
          </w:rPr>
          <w:fldChar w:fldCharType="end"/>
        </w:r>
        <w:r>
          <w:rPr>
            <w:rFonts w:ascii="KievitPro-Regular" w:hAnsi="KievitPro-Regular"/>
          </w:rPr>
          <w:tab/>
        </w:r>
        <w:r>
          <w:rPr>
            <w:rFonts w:ascii="KievitPro-Regular" w:hAnsi="KievitPro-Regular"/>
          </w:rPr>
          <w:tab/>
          <w:t>www.fiduciarisuisse.ch</w:t>
        </w:r>
        <w:r>
          <w:tab/>
        </w:r>
      </w:p>
      <w:p w14:paraId="56EFE8BA" w14:textId="06AC6644" w:rsidR="00EB2FBE" w:rsidRDefault="0041024D" w:rsidP="0015513E">
        <w:pPr>
          <w:pStyle w:val="Fuzeile"/>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145707"/>
      <w:docPartObj>
        <w:docPartGallery w:val="Page Numbers (Bottom of Page)"/>
        <w:docPartUnique/>
      </w:docPartObj>
    </w:sdtPr>
    <w:sdtEndPr/>
    <w:sdtContent>
      <w:p w14:paraId="063C39D5" w14:textId="3126EAB5"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41024D" w:rsidRPr="0041024D">
          <w:rPr>
            <w:rFonts w:ascii="KievitPro-Regular" w:hAnsi="KievitPro-Regular"/>
            <w:noProof/>
            <w:lang w:val="de-DE"/>
          </w:rPr>
          <w:t>38</w:t>
        </w:r>
        <w:r w:rsidRPr="00985540">
          <w:rPr>
            <w:rFonts w:ascii="KievitPro-Regular" w:hAnsi="KievitPro-Regular"/>
          </w:rPr>
          <w:fldChar w:fldCharType="end"/>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r>
        <w:r>
          <w:rPr>
            <w:rFonts w:ascii="KievitPro-Regular" w:hAnsi="KievitPro-Regular"/>
          </w:rPr>
          <w:tab/>
          <w:t>www.fiduciarisuisse.ch</w:t>
        </w:r>
        <w:r>
          <w:tab/>
        </w:r>
      </w:p>
      <w:p w14:paraId="4F8346F7" w14:textId="77777777" w:rsidR="00EB2FBE" w:rsidRDefault="0041024D" w:rsidP="0015513E">
        <w:pPr>
          <w:pStyle w:val="Fuzeile"/>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761972"/>
      <w:docPartObj>
        <w:docPartGallery w:val="Page Numbers (Bottom of Page)"/>
        <w:docPartUnique/>
      </w:docPartObj>
    </w:sdtPr>
    <w:sdtEndPr/>
    <w:sdtContent>
      <w:p w14:paraId="36AAE54E" w14:textId="4DA74225" w:rsidR="00EB2FBE" w:rsidRDefault="00EB2FBE" w:rsidP="0015513E">
        <w:pPr>
          <w:pStyle w:val="Fuzeile"/>
          <w:jc w:val="center"/>
        </w:pPr>
        <w:r w:rsidRPr="00985540">
          <w:rPr>
            <w:rFonts w:ascii="KievitPro-Regular" w:hAnsi="KievitPro-Regular"/>
          </w:rPr>
          <w:fldChar w:fldCharType="begin"/>
        </w:r>
        <w:r w:rsidRPr="00985540">
          <w:rPr>
            <w:rFonts w:ascii="KievitPro-Regular" w:hAnsi="KievitPro-Regular"/>
          </w:rPr>
          <w:instrText>PAGE   \* MERGEFORMAT</w:instrText>
        </w:r>
        <w:r w:rsidRPr="00985540">
          <w:rPr>
            <w:rFonts w:ascii="KievitPro-Regular" w:hAnsi="KievitPro-Regular"/>
          </w:rPr>
          <w:fldChar w:fldCharType="separate"/>
        </w:r>
        <w:r w:rsidR="0041024D" w:rsidRPr="0041024D">
          <w:rPr>
            <w:rFonts w:ascii="KievitPro-Regular" w:hAnsi="KievitPro-Regular"/>
            <w:noProof/>
            <w:lang w:val="de-DE"/>
          </w:rPr>
          <w:t>39</w:t>
        </w:r>
        <w:r w:rsidRPr="00985540">
          <w:rPr>
            <w:rFonts w:ascii="KievitPro-Regular" w:hAnsi="KievitPro-Regular"/>
          </w:rPr>
          <w:fldChar w:fldCharType="end"/>
        </w:r>
        <w:r>
          <w:rPr>
            <w:rFonts w:ascii="KievitPro-Regular" w:hAnsi="KievitPro-Regular"/>
          </w:rPr>
          <w:tab/>
        </w:r>
        <w:r>
          <w:rPr>
            <w:rFonts w:ascii="KievitPro-Regular" w:hAnsi="KievitPro-Regular"/>
          </w:rPr>
          <w:tab/>
          <w:t>www.fiduciarisuisse.ch</w:t>
        </w:r>
        <w:r>
          <w:tab/>
        </w:r>
      </w:p>
      <w:p w14:paraId="552BAA64" w14:textId="77777777" w:rsidR="00EB2FBE" w:rsidRDefault="0041024D" w:rsidP="0015513E">
        <w:pPr>
          <w:pStyle w:val="Fuzeil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DE7" w14:textId="77777777" w:rsidR="00EB2FBE" w:rsidRDefault="00EB2FBE">
      <w:r>
        <w:separator/>
      </w:r>
    </w:p>
  </w:footnote>
  <w:footnote w:type="continuationSeparator" w:id="0">
    <w:p w14:paraId="6D65D770" w14:textId="77777777" w:rsidR="00EB2FBE" w:rsidRDefault="00EB2FBE">
      <w:r>
        <w:continuationSeparator/>
      </w:r>
    </w:p>
  </w:footnote>
  <w:footnote w:id="1">
    <w:p w14:paraId="7177CA7F" w14:textId="11A83DA2" w:rsidR="00EB2FBE" w:rsidRDefault="00EB2FBE" w:rsidP="000D11F0">
      <w:pPr>
        <w:pStyle w:val="Funotentext"/>
        <w:rPr>
          <w:rFonts w:ascii="KievitPro-Regular" w:hAnsi="KievitPro-Regular"/>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Le esigenze dello standard svizzero di controllo della qualità (ISQC-CH 1) e dello standard svizzero di revisione ISA-CH 220 devono essere applicati dalle aziende che effettuano delle revisioni ordinarie e dei controlli speciali. Vedi anche la circolare dell’ASR 1/2014. Da notare inoltre che EXPERTsuisse richiede ai suoi membri di applicare lo ISQC-CH 1 e lo ISA-CH 220. </w:t>
      </w:r>
    </w:p>
    <w:p w14:paraId="7E513B13" w14:textId="77777777" w:rsidR="00EB2FBE" w:rsidRPr="00186AEE" w:rsidRDefault="00EB2FBE" w:rsidP="000D11F0">
      <w:pPr>
        <w:pStyle w:val="Funotentext"/>
        <w:rPr>
          <w:rFonts w:ascii="KievitPro-Regular" w:hAnsi="KievitPro-Regular"/>
          <w:sz w:val="18"/>
          <w:szCs w:val="18"/>
          <w:lang w:val="it-IT"/>
        </w:rPr>
      </w:pPr>
    </w:p>
  </w:footnote>
  <w:footnote w:id="2">
    <w:p w14:paraId="1BA0603A" w14:textId="70CDAAB2" w:rsidR="00EB2FBE" w:rsidRDefault="00EB2FBE" w:rsidP="000D11F0">
      <w:pPr>
        <w:pStyle w:val="Funotentext"/>
        <w:rPr>
          <w:rFonts w:ascii="KievitPro-Regular" w:hAnsi="KievitPro-Regular"/>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Le istruzioni di FIDUCIAIRE|SUISSE possono essere utilizzate solo dalle imprese che effettuano unicamente le revisioni limitate.</w:t>
      </w:r>
    </w:p>
    <w:p w14:paraId="1D1A6547" w14:textId="77777777" w:rsidR="00EB2FBE" w:rsidRPr="00186AEE" w:rsidRDefault="00EB2FBE" w:rsidP="000D11F0">
      <w:pPr>
        <w:pStyle w:val="Funotentext"/>
        <w:rPr>
          <w:rFonts w:ascii="KievitPro-Regular" w:hAnsi="KievitPro-Regular"/>
          <w:sz w:val="18"/>
          <w:szCs w:val="18"/>
          <w:lang w:val="it-IT"/>
        </w:rPr>
      </w:pPr>
    </w:p>
  </w:footnote>
  <w:footnote w:id="3">
    <w:p w14:paraId="72984EBC" w14:textId="2CC212E9" w:rsidR="00EB2FBE" w:rsidRDefault="00EB2FBE" w:rsidP="000D11F0">
      <w:pPr>
        <w:pStyle w:val="Funotentext"/>
        <w:rPr>
          <w:rFonts w:ascii="KievitPro-Regular" w:hAnsi="KievitPro-Regular"/>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CH"/>
        </w:rPr>
        <w:t xml:space="preserve"> </w:t>
      </w:r>
      <w:r w:rsidRPr="00186AEE">
        <w:rPr>
          <w:rFonts w:ascii="KievitPro-Regular" w:hAnsi="KievitPro-Regular"/>
          <w:sz w:val="18"/>
          <w:szCs w:val="18"/>
          <w:lang w:val="it-IT"/>
        </w:rPr>
        <w:t>Gli standard ISQC-CH 1 e ISA-CH 220 vanno applicati per gli altri servizi di revisione, le verifiche speciali e le revisioni ordinarie.</w:t>
      </w:r>
    </w:p>
    <w:p w14:paraId="2C5C30BD" w14:textId="77777777" w:rsidR="00EB2FBE" w:rsidRDefault="00EB2FBE" w:rsidP="000D11F0">
      <w:pPr>
        <w:pStyle w:val="Funotentext"/>
        <w:rPr>
          <w:rFonts w:ascii="Avenir LT Std 35 Light" w:hAnsi="Avenir LT Std 35 Light"/>
          <w:lang w:val="it-IT"/>
        </w:rPr>
      </w:pPr>
    </w:p>
  </w:footnote>
  <w:footnote w:id="4">
    <w:p w14:paraId="58116EF1" w14:textId="77777777" w:rsidR="00EB2FBE" w:rsidRPr="000619AC" w:rsidRDefault="00EB2FBE" w:rsidP="000D11F0">
      <w:pPr>
        <w:pStyle w:val="Funotentext"/>
        <w:rPr>
          <w:rFonts w:ascii="KievitPro-Regular" w:hAnsi="KievitPro-Regular"/>
          <w:sz w:val="18"/>
          <w:szCs w:val="18"/>
          <w:lang w:val="it-CH"/>
        </w:rPr>
      </w:pPr>
      <w:r w:rsidRPr="000619AC">
        <w:rPr>
          <w:rStyle w:val="Funotenzeichen"/>
          <w:rFonts w:ascii="KievitPro-Regular" w:hAnsi="KievitPro-Regular"/>
          <w:sz w:val="18"/>
          <w:szCs w:val="18"/>
        </w:rPr>
        <w:footnoteRef/>
      </w:r>
      <w:r w:rsidRPr="000619AC">
        <w:rPr>
          <w:rFonts w:ascii="KievitPro-Regular" w:hAnsi="KievitPro-Regular"/>
          <w:sz w:val="18"/>
          <w:szCs w:val="18"/>
          <w:lang w:val="it-CH"/>
        </w:rPr>
        <w:t xml:space="preserve"> Nota: in particolare QS 1.24 e art. 728 CO.</w:t>
      </w:r>
    </w:p>
  </w:footnote>
  <w:footnote w:id="5">
    <w:p w14:paraId="2FD9FC14" w14:textId="77777777" w:rsidR="00EB2FBE" w:rsidRPr="00186AEE" w:rsidRDefault="00EB2FBE" w:rsidP="000D11F0">
      <w:pPr>
        <w:pStyle w:val="HTMLVorformatiert"/>
        <w:shd w:val="clear" w:color="auto" w:fill="FFFFFF"/>
        <w:rPr>
          <w:rFonts w:ascii="KievitPro-Regular" w:hAnsi="KievitPro-Regular"/>
          <w:color w:val="212121"/>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w:t>
      </w:r>
      <w:r w:rsidRPr="00186AEE">
        <w:rPr>
          <w:rFonts w:ascii="KievitPro-Regular" w:hAnsi="KievitPro-Regular"/>
          <w:color w:val="212121"/>
          <w:sz w:val="18"/>
          <w:szCs w:val="18"/>
          <w:lang w:val="it-IT"/>
        </w:rPr>
        <w:t xml:space="preserve">Nota: le società di revisione che non sono né membri di EXPERTsuisse né di TREUHAND | SUISSE devono garantire che i requisiti di formazione di una delle due associazioni siano soddisfatti. Il legislatore non ha emanato linee guida sulla portata e il contenuto della formazione. Dal punto di vista dell'ASR, l'obbligo di formazione è soddisfatto se vengono applicati i requisiti delle due associazioni di categoria in merito al tipo e alla portata della formazione (cfr. Dichiarazione dell'ASR: </w:t>
      </w:r>
      <w:hyperlink r:id="rId1" w:anchor="/page/102" w:history="1">
        <w:r w:rsidRPr="00186AEE">
          <w:rPr>
            <w:rStyle w:val="Hyperlink"/>
            <w:rFonts w:ascii="KievitPro-Regular" w:hAnsi="KievitPro-Regular"/>
            <w:sz w:val="18"/>
            <w:szCs w:val="18"/>
            <w:lang w:val="it-IT"/>
          </w:rPr>
          <w:t>https://www.rab-asr.ch/#/page/102</w:t>
        </w:r>
      </w:hyperlink>
      <w:r w:rsidRPr="00186AEE">
        <w:rPr>
          <w:rFonts w:ascii="KievitPro-Regular" w:hAnsi="KievitPro-Regular"/>
          <w:color w:val="212121"/>
          <w:sz w:val="18"/>
          <w:szCs w:val="18"/>
          <w:lang w:val="it-IT"/>
        </w:rPr>
        <w:t xml:space="preserve"> ), Requisiti di contenuto per la formazione continua)</w:t>
      </w:r>
    </w:p>
    <w:p w14:paraId="58A84DA7" w14:textId="77777777" w:rsidR="00EB2FBE" w:rsidRPr="00186AE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sz w:val="18"/>
          <w:szCs w:val="18"/>
          <w:lang w:val="it-IT"/>
        </w:rPr>
      </w:pPr>
    </w:p>
  </w:footnote>
  <w:footnote w:id="6">
    <w:p w14:paraId="4BB7D6F6" w14:textId="77777777" w:rsidR="00EB2FBE" w:rsidRPr="00186AEE" w:rsidRDefault="00EB2FBE" w:rsidP="000D1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18"/>
          <w:szCs w:val="18"/>
          <w:lang w:val="it-IT"/>
        </w:rPr>
      </w:pPr>
      <w:r w:rsidRPr="00186AEE">
        <w:rPr>
          <w:rStyle w:val="Funotenzeichen"/>
          <w:rFonts w:ascii="KievitPro-Regular" w:hAnsi="KievitPro-Regular"/>
          <w:sz w:val="18"/>
          <w:szCs w:val="18"/>
        </w:rPr>
        <w:footnoteRef/>
      </w:r>
      <w:r w:rsidRPr="00186AEE">
        <w:rPr>
          <w:rFonts w:ascii="KievitPro-Regular" w:hAnsi="KievitPro-Regular"/>
          <w:sz w:val="18"/>
          <w:szCs w:val="18"/>
          <w:lang w:val="it-IT"/>
        </w:rPr>
        <w:t xml:space="preserve"> </w:t>
      </w:r>
      <w:r w:rsidRPr="00186AEE">
        <w:rPr>
          <w:rFonts w:ascii="KievitPro-Regular" w:hAnsi="KievitPro-Regular" w:cs="Courier New"/>
          <w:color w:val="212121"/>
          <w:sz w:val="18"/>
          <w:szCs w:val="18"/>
          <w:lang w:val="it-IT"/>
        </w:rPr>
        <w:t xml:space="preserve">Nota: l'appartenenza della società di revisione o della persona fisica ad un'associazione professionale non esonera l'impresa di revisione dall'obbligo di eseguire il controllo interno e la documentazione della formazione continua (cfr. Dichiarazione dell'ASR: </w:t>
      </w:r>
      <w:hyperlink r:id="rId2" w:anchor="/page/102" w:history="1">
        <w:r w:rsidRPr="00186AEE">
          <w:rPr>
            <w:rStyle w:val="Hyperlink"/>
            <w:rFonts w:ascii="KievitPro-Regular" w:hAnsi="KievitPro-Regular" w:cs="Courier New"/>
            <w:sz w:val="18"/>
            <w:szCs w:val="18"/>
            <w:lang w:val="it-IT"/>
          </w:rPr>
          <w:t>https://www.rab-asr.ch/#/page/102</w:t>
        </w:r>
      </w:hyperlink>
      <w:r w:rsidRPr="00186AEE">
        <w:rPr>
          <w:rFonts w:ascii="KievitPro-Regular" w:hAnsi="KievitPro-Regular" w:cs="Courier New"/>
          <w:color w:val="212121"/>
          <w:sz w:val="18"/>
          <w:szCs w:val="18"/>
          <w:lang w:val="it-IT"/>
        </w:rPr>
        <w:t xml:space="preserve"> , requisiti di contenuto per la formazione continua)</w:t>
      </w:r>
    </w:p>
    <w:p w14:paraId="66BE664B" w14:textId="77777777" w:rsidR="00EB2FB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p>
  </w:footnote>
  <w:footnote w:id="7">
    <w:p w14:paraId="31673DAA" w14:textId="77777777" w:rsidR="00EB2FBE" w:rsidRPr="00A45D38"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cs="Courier New"/>
          <w:color w:val="212121"/>
          <w:sz w:val="18"/>
          <w:szCs w:val="18"/>
          <w:lang w:val="it-IT" w:eastAsia="en-US"/>
        </w:rPr>
      </w:pPr>
      <w:r w:rsidRPr="00A45D38">
        <w:rPr>
          <w:rStyle w:val="Funotenzeichen"/>
          <w:rFonts w:ascii="KievitPro-Regular" w:hAnsi="KievitPro-Regular"/>
          <w:sz w:val="18"/>
          <w:szCs w:val="18"/>
        </w:rPr>
        <w:footnoteRef/>
      </w:r>
      <w:r w:rsidRPr="00A45D38">
        <w:rPr>
          <w:rFonts w:ascii="KievitPro-Regular" w:hAnsi="KievitPro-Regular"/>
          <w:sz w:val="18"/>
          <w:szCs w:val="18"/>
          <w:lang w:val="it-CH"/>
        </w:rPr>
        <w:t xml:space="preserve"> </w:t>
      </w:r>
      <w:r w:rsidRPr="00A45D38">
        <w:rPr>
          <w:rFonts w:ascii="KievitPro-Regular" w:hAnsi="KievitPro-Regular" w:cs="Courier New"/>
          <w:color w:val="212121"/>
          <w:sz w:val="18"/>
          <w:szCs w:val="18"/>
          <w:lang w:val="it-IT" w:eastAsia="en-US"/>
        </w:rPr>
        <w:t>Le informazioni relative all’obbligo di rotazione possono essere lasciate via se la società di revisione utilizza le istruzioni relative alla garanzia della qualità per l’audit delle PMI (FIDUCIAIRE|SUISSE) o se non dispone dell’abilitazione quale perito revisore.</w:t>
      </w:r>
    </w:p>
  </w:footnote>
  <w:footnote w:id="8">
    <w:p w14:paraId="60B5643E" w14:textId="77777777" w:rsidR="00EB2FBE" w:rsidRPr="00A45D38" w:rsidRDefault="00EB2FBE" w:rsidP="000D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ievitPro-Regular" w:hAnsi="KievitPro-Regular"/>
          <w:sz w:val="18"/>
          <w:szCs w:val="18"/>
          <w:lang w:val="it-CH"/>
        </w:rPr>
      </w:pPr>
      <w:r w:rsidRPr="00A45D38">
        <w:rPr>
          <w:rStyle w:val="Funotenzeichen"/>
          <w:rFonts w:ascii="KievitPro-Regular" w:hAnsi="KievitPro-Regular"/>
          <w:sz w:val="18"/>
          <w:szCs w:val="18"/>
        </w:rPr>
        <w:footnoteRef/>
      </w:r>
      <w:r w:rsidRPr="00A45D38">
        <w:rPr>
          <w:rFonts w:ascii="KievitPro-Regular" w:hAnsi="KievitPro-Regular"/>
          <w:sz w:val="18"/>
          <w:szCs w:val="18"/>
          <w:lang w:val="it-CH"/>
        </w:rPr>
        <w:t xml:space="preserve"> Nota: Il Software copre lo Standard per la revisione limitata nonché le revisioni speciali. Ulteriori procedure di verifica </w:t>
      </w:r>
      <w:r w:rsidRPr="00A45D38">
        <w:rPr>
          <w:rFonts w:ascii="KievitPro-Regular" w:hAnsi="KievitPro-Regular"/>
          <w:sz w:val="18"/>
          <w:szCs w:val="18"/>
          <w:highlight w:val="red"/>
          <w:lang w:val="it-CH"/>
        </w:rPr>
        <w:t>necessarie (per esempio in caso di revisione ordinaria)</w:t>
      </w:r>
      <w:r w:rsidRPr="00A45D38">
        <w:rPr>
          <w:rFonts w:ascii="KievitPro-Regular" w:hAnsi="KievitPro-Regular"/>
          <w:sz w:val="18"/>
          <w:szCs w:val="18"/>
          <w:lang w:val="it-CH"/>
        </w:rPr>
        <w:t xml:space="preserve"> devono anche essere registrate nello strumento di revisione SQA o documentate separatamente.</w:t>
      </w:r>
    </w:p>
  </w:footnote>
  <w:footnote w:id="9">
    <w:p w14:paraId="29D39549" w14:textId="77777777" w:rsidR="00EB2FB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T Std 35 Light" w:hAnsi="Avenir LT Std 35 Light"/>
          <w:lang w:val="it-IT"/>
        </w:rPr>
      </w:pPr>
      <w:r>
        <w:rPr>
          <w:rStyle w:val="Funotenzeichen"/>
        </w:rPr>
        <w:footnoteRef/>
      </w:r>
      <w:r>
        <w:rPr>
          <w:lang w:val="it-CH"/>
        </w:rPr>
        <w:t xml:space="preserve"> </w:t>
      </w:r>
      <w:r>
        <w:rPr>
          <w:rFonts w:ascii="Avenir LT Std 35 Light" w:hAnsi="Avenir LT Std 35 Light"/>
          <w:lang w:val="it-IT"/>
        </w:rPr>
        <w:t>Proposta: con 4 revisori responsabili: 1° anno, revisori responsabili A e B, 2° anno, revisori C e D. ATTENZIONE, almeno un mandato di un revisore responsabile deve essere verificato ogni anno.</w:t>
      </w:r>
    </w:p>
  </w:footnote>
  <w:footnote w:id="10">
    <w:p w14:paraId="2D73FDF0" w14:textId="7C5B80BA" w:rsidR="00EB2FBE" w:rsidRPr="00BC7C5B" w:rsidRDefault="00EB2FBE">
      <w:pPr>
        <w:pStyle w:val="Funotentext"/>
        <w:rPr>
          <w:rFonts w:ascii="KievitPro-Regular" w:hAnsi="KievitPro-Regular"/>
          <w:sz w:val="18"/>
          <w:szCs w:val="18"/>
          <w:lang w:val="it-IT"/>
        </w:rPr>
      </w:pPr>
      <w:r w:rsidRPr="00BC7C5B">
        <w:rPr>
          <w:rStyle w:val="Funotenzeichen"/>
          <w:rFonts w:ascii="KievitPro-Regular" w:hAnsi="KievitPro-Regular"/>
          <w:sz w:val="18"/>
          <w:szCs w:val="18"/>
        </w:rPr>
        <w:footnoteRef/>
      </w:r>
      <w:r w:rsidRPr="00BC7C5B">
        <w:rPr>
          <w:rFonts w:ascii="KievitPro-Regular" w:hAnsi="KievitPro-Regular"/>
          <w:sz w:val="18"/>
          <w:szCs w:val="18"/>
          <w:lang w:val="it-IT"/>
        </w:rPr>
        <w:t xml:space="preserve"> Nota: </w:t>
      </w:r>
      <w:r w:rsidRPr="00BC7C5B">
        <w:rPr>
          <w:rFonts w:ascii="KievitPro-Regular" w:hAnsi="KievitPro-Regular"/>
          <w:sz w:val="18"/>
          <w:szCs w:val="18"/>
          <w:highlight w:val="red"/>
          <w:lang w:val="it-IT"/>
        </w:rPr>
        <w:t>se un mandato che sottostà a revisione ordinaria è scelto nell’ambito del controllo interno, la persona che effettua il controllo deve avere l’abilitazione di perito revisore</w:t>
      </w:r>
      <w:r w:rsidRPr="00BC7C5B">
        <w:rPr>
          <w:rFonts w:ascii="KievitPro-Regular" w:hAnsi="KievitPro-Regular"/>
          <w:sz w:val="18"/>
          <w:szCs w:val="18"/>
          <w:lang w:val="it-IT"/>
        </w:rPr>
        <w:t>. Anche nel caso di verifiche speciali e altri servizi di revisione il revisore deve sempre avere l’abilitazione necessaria per questo controllo o servizio.</w:t>
      </w:r>
    </w:p>
  </w:footnote>
  <w:footnote w:id="11">
    <w:p w14:paraId="3512E78A" w14:textId="0F1B1F27" w:rsidR="00EB2FBE" w:rsidRDefault="00EB2FBE" w:rsidP="000D11F0">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T Std 35 Light" w:hAnsi="Avenir LT Std 35 Light"/>
          <w:lang w:val="it-IT"/>
        </w:rPr>
      </w:pPr>
    </w:p>
  </w:footnote>
  <w:footnote w:id="12">
    <w:p w14:paraId="6F21D841" w14:textId="77777777" w:rsidR="00EB2FBE" w:rsidRDefault="00EB2FBE" w:rsidP="00ED4133">
      <w:pPr>
        <w:pStyle w:val="Funote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LT 35 Light" w:hAnsi="Avenir LT 35 Light"/>
          <w:sz w:val="18"/>
          <w:szCs w:val="18"/>
          <w:lang w:val="it-CH"/>
        </w:rPr>
      </w:pPr>
      <w:r>
        <w:rPr>
          <w:rStyle w:val="Funotenzeichen"/>
          <w:rFonts w:ascii="Avenir LT 35 Light" w:hAnsi="Avenir LT 35 Light"/>
          <w:sz w:val="18"/>
          <w:szCs w:val="18"/>
        </w:rPr>
        <w:footnoteRef/>
      </w:r>
      <w:r>
        <w:rPr>
          <w:rFonts w:ascii="Avenir LT 35 Light" w:hAnsi="Avenir LT 35 Light"/>
          <w:sz w:val="16"/>
          <w:szCs w:val="16"/>
          <w:lang w:val="it-CH"/>
        </w:rPr>
        <w:t>Da compilare quando è applicabile alla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CD71" w14:textId="08BDC123" w:rsidR="00EB2FBE" w:rsidRPr="000A7994" w:rsidRDefault="00EB2FBE" w:rsidP="00985540">
    <w:pPr>
      <w:pStyle w:val="Kopfzeile"/>
      <w:tabs>
        <w:tab w:val="clear" w:pos="9072"/>
        <w:tab w:val="right" w:pos="9498"/>
      </w:tabs>
      <w:ind w:left="-1418"/>
      <w:rPr>
        <w:sz w:val="16"/>
      </w:rPr>
    </w:pPr>
    <w:r>
      <w:rPr>
        <w:noProof/>
        <w:snapToGrid/>
        <w:lang w:eastAsia="de-CH"/>
      </w:rPr>
      <w:drawing>
        <wp:inline distT="0" distB="0" distL="0" distR="0" wp14:anchorId="72A70260" wp14:editId="304C7C76">
          <wp:extent cx="7581900" cy="71591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90059" cy="7261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6A0" w14:textId="2793EBEA" w:rsidR="00EB2FBE" w:rsidRDefault="00F57730" w:rsidP="00985540">
    <w:pPr>
      <w:pStyle w:val="Kopfzeile"/>
      <w:ind w:left="-1418"/>
    </w:pPr>
    <w:r>
      <w:rPr>
        <w:noProof/>
        <w:lang w:eastAsia="de-CH"/>
      </w:rPr>
      <w:drawing>
        <wp:inline distT="0" distB="0" distL="0" distR="0" wp14:anchorId="19DFC385" wp14:editId="5EC78706">
          <wp:extent cx="7583805" cy="7131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7131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C227" w14:textId="09D9FD4A" w:rsidR="00EB2FBE" w:rsidRDefault="00EB2FBE" w:rsidP="00985540">
    <w:pPr>
      <w:pStyle w:val="Kopfzeile"/>
      <w:tabs>
        <w:tab w:val="clear" w:pos="9072"/>
        <w:tab w:val="right" w:pos="9498"/>
      </w:tabs>
      <w:ind w:left="-1418"/>
      <w:rPr>
        <w:sz w:val="16"/>
      </w:rPr>
    </w:pPr>
  </w:p>
  <w:p w14:paraId="0AD6B0E4" w14:textId="69F7520D" w:rsidR="00EB2FBE" w:rsidRDefault="00EB2FBE" w:rsidP="00985540">
    <w:pPr>
      <w:pStyle w:val="Kopfzeile"/>
      <w:tabs>
        <w:tab w:val="clear" w:pos="9072"/>
        <w:tab w:val="right" w:pos="9498"/>
      </w:tabs>
      <w:ind w:left="-1418"/>
      <w:rPr>
        <w:sz w:val="16"/>
      </w:rPr>
    </w:pPr>
  </w:p>
  <w:p w14:paraId="50139E5B" w14:textId="1B23CD3F" w:rsidR="00EB2FBE" w:rsidRDefault="00EB2FBE" w:rsidP="00985540">
    <w:pPr>
      <w:pStyle w:val="Kopfzeile"/>
      <w:tabs>
        <w:tab w:val="clear" w:pos="9072"/>
        <w:tab w:val="right" w:pos="9498"/>
      </w:tabs>
      <w:ind w:left="-1418"/>
      <w:rPr>
        <w:sz w:val="16"/>
      </w:rPr>
    </w:pPr>
  </w:p>
  <w:p w14:paraId="4785AE12" w14:textId="7300AF62" w:rsidR="00EB2FBE" w:rsidRPr="00E63749" w:rsidRDefault="00EB2FBE" w:rsidP="00E63749">
    <w:pPr>
      <w:pStyle w:val="Kopfzeile"/>
      <w:jc w:val="center"/>
      <w:rPr>
        <w:sz w:val="16"/>
        <w:lang w:val="it-CH"/>
      </w:rPr>
    </w:pPr>
    <w:r w:rsidRPr="00E63749">
      <w:rPr>
        <w:rFonts w:ascii="KievitPro-Regular" w:hAnsi="KievitPro-Regular"/>
        <w:lang w:val="it-CH"/>
      </w:rPr>
      <w:t>Modello di manuale di garanzia della qualità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602DFE"/>
    <w:lvl w:ilvl="0">
      <w:numFmt w:val="decimal"/>
      <w:lvlText w:val="*"/>
      <w:lvlJc w:val="left"/>
      <w:pPr>
        <w:ind w:left="0" w:firstLine="0"/>
      </w:pPr>
    </w:lvl>
  </w:abstractNum>
  <w:abstractNum w:abstractNumId="11" w15:restartNumberingAfterBreak="0">
    <w:nsid w:val="015A1B71"/>
    <w:multiLevelType w:val="multilevel"/>
    <w:tmpl w:val="86FCE4C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0722620D"/>
    <w:multiLevelType w:val="hybridMultilevel"/>
    <w:tmpl w:val="ACE414B0"/>
    <w:lvl w:ilvl="0" w:tplc="5360FAA2">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4" w15:restartNumberingAfterBreak="0">
    <w:nsid w:val="07EE6BA4"/>
    <w:multiLevelType w:val="hybridMultilevel"/>
    <w:tmpl w:val="1624A1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6" w15:restartNumberingAfterBreak="0">
    <w:nsid w:val="0EF20B42"/>
    <w:multiLevelType w:val="multilevel"/>
    <w:tmpl w:val="C9FA2F0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1378213C"/>
    <w:multiLevelType w:val="multilevel"/>
    <w:tmpl w:val="800E2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5D7716A"/>
    <w:multiLevelType w:val="hybridMultilevel"/>
    <w:tmpl w:val="FD52D1B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9" w15:restartNumberingAfterBreak="0">
    <w:nsid w:val="2FC857AD"/>
    <w:multiLevelType w:val="hybridMultilevel"/>
    <w:tmpl w:val="EE607496"/>
    <w:lvl w:ilvl="0" w:tplc="7DA47534">
      <w:start w:val="1"/>
      <w:numFmt w:val="decimal"/>
      <w:lvlText w:val="2.%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0" w15:restartNumberingAfterBreak="0">
    <w:nsid w:val="3F670A3C"/>
    <w:multiLevelType w:val="hybridMultilevel"/>
    <w:tmpl w:val="717E583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458F4E8A"/>
    <w:multiLevelType w:val="hybridMultilevel"/>
    <w:tmpl w:val="28A6E728"/>
    <w:lvl w:ilvl="0" w:tplc="88467684">
      <w:start w:val="3"/>
      <w:numFmt w:val="bullet"/>
      <w:lvlText w:val="-"/>
      <w:lvlJc w:val="left"/>
      <w:pPr>
        <w:ind w:left="360" w:hanging="360"/>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8663BFD"/>
    <w:multiLevelType w:val="hybridMultilevel"/>
    <w:tmpl w:val="3A926C7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3" w15:restartNumberingAfterBreak="0">
    <w:nsid w:val="48A944FD"/>
    <w:multiLevelType w:val="hybridMultilevel"/>
    <w:tmpl w:val="E2FECA1A"/>
    <w:lvl w:ilvl="0" w:tplc="C2D28B00">
      <w:start w:val="1"/>
      <w:numFmt w:val="bullet"/>
      <w:lvlText w:val=""/>
      <w:lvlJc w:val="left"/>
      <w:pPr>
        <w:ind w:left="786" w:hanging="360"/>
      </w:pPr>
      <w:rPr>
        <w:rFonts w:ascii="Symbol" w:hAnsi="Symbol" w:hint="default"/>
        <w:color w:val="auto"/>
      </w:rPr>
    </w:lvl>
    <w:lvl w:ilvl="1" w:tplc="08070003">
      <w:start w:val="1"/>
      <w:numFmt w:val="bullet"/>
      <w:lvlText w:val="o"/>
      <w:lvlJc w:val="left"/>
      <w:pPr>
        <w:ind w:left="1866" w:hanging="360"/>
      </w:pPr>
      <w:rPr>
        <w:rFonts w:ascii="Courier New" w:hAnsi="Courier New" w:cs="Courier New" w:hint="default"/>
      </w:rPr>
    </w:lvl>
    <w:lvl w:ilvl="2" w:tplc="08070005">
      <w:start w:val="1"/>
      <w:numFmt w:val="bullet"/>
      <w:lvlText w:val=""/>
      <w:lvlJc w:val="left"/>
      <w:pPr>
        <w:ind w:left="2586" w:hanging="360"/>
      </w:pPr>
      <w:rPr>
        <w:rFonts w:ascii="Wingdings" w:hAnsi="Wingdings" w:hint="default"/>
      </w:rPr>
    </w:lvl>
    <w:lvl w:ilvl="3" w:tplc="08070001">
      <w:start w:val="1"/>
      <w:numFmt w:val="bullet"/>
      <w:lvlText w:val=""/>
      <w:lvlJc w:val="left"/>
      <w:pPr>
        <w:ind w:left="3306" w:hanging="360"/>
      </w:pPr>
      <w:rPr>
        <w:rFonts w:ascii="Symbol" w:hAnsi="Symbol" w:hint="default"/>
      </w:rPr>
    </w:lvl>
    <w:lvl w:ilvl="4" w:tplc="08070003">
      <w:start w:val="1"/>
      <w:numFmt w:val="bullet"/>
      <w:lvlText w:val="o"/>
      <w:lvlJc w:val="left"/>
      <w:pPr>
        <w:ind w:left="4026" w:hanging="360"/>
      </w:pPr>
      <w:rPr>
        <w:rFonts w:ascii="Courier New" w:hAnsi="Courier New" w:cs="Courier New" w:hint="default"/>
      </w:rPr>
    </w:lvl>
    <w:lvl w:ilvl="5" w:tplc="08070005">
      <w:start w:val="1"/>
      <w:numFmt w:val="bullet"/>
      <w:lvlText w:val=""/>
      <w:lvlJc w:val="left"/>
      <w:pPr>
        <w:ind w:left="4746" w:hanging="360"/>
      </w:pPr>
      <w:rPr>
        <w:rFonts w:ascii="Wingdings" w:hAnsi="Wingdings" w:hint="default"/>
      </w:rPr>
    </w:lvl>
    <w:lvl w:ilvl="6" w:tplc="08070001">
      <w:start w:val="1"/>
      <w:numFmt w:val="bullet"/>
      <w:lvlText w:val=""/>
      <w:lvlJc w:val="left"/>
      <w:pPr>
        <w:ind w:left="5466" w:hanging="360"/>
      </w:pPr>
      <w:rPr>
        <w:rFonts w:ascii="Symbol" w:hAnsi="Symbol" w:hint="default"/>
      </w:rPr>
    </w:lvl>
    <w:lvl w:ilvl="7" w:tplc="08070003">
      <w:start w:val="1"/>
      <w:numFmt w:val="bullet"/>
      <w:lvlText w:val="o"/>
      <w:lvlJc w:val="left"/>
      <w:pPr>
        <w:ind w:left="6186" w:hanging="360"/>
      </w:pPr>
      <w:rPr>
        <w:rFonts w:ascii="Courier New" w:hAnsi="Courier New" w:cs="Courier New" w:hint="default"/>
      </w:rPr>
    </w:lvl>
    <w:lvl w:ilvl="8" w:tplc="08070005">
      <w:start w:val="1"/>
      <w:numFmt w:val="bullet"/>
      <w:lvlText w:val=""/>
      <w:lvlJc w:val="left"/>
      <w:pPr>
        <w:ind w:left="6906" w:hanging="360"/>
      </w:pPr>
      <w:rPr>
        <w:rFonts w:ascii="Wingdings" w:hAnsi="Wingdings" w:hint="default"/>
      </w:rPr>
    </w:lvl>
  </w:abstractNum>
  <w:abstractNum w:abstractNumId="24" w15:restartNumberingAfterBreak="0">
    <w:nsid w:val="49BA3318"/>
    <w:multiLevelType w:val="hybridMultilevel"/>
    <w:tmpl w:val="A9D6151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A01907"/>
    <w:multiLevelType w:val="hybridMultilevel"/>
    <w:tmpl w:val="E572F7CE"/>
    <w:lvl w:ilvl="0" w:tplc="6B064ED6">
      <w:numFmt w:val="bullet"/>
      <w:lvlText w:val="-"/>
      <w:lvlJc w:val="left"/>
      <w:pPr>
        <w:ind w:left="720" w:hanging="360"/>
      </w:pPr>
      <w:rPr>
        <w:rFonts w:ascii="Avenir LT Std 35 Light" w:eastAsia="Times New Roman" w:hAnsi="Avenir LT Std 35 Light"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6"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65152C5D"/>
    <w:multiLevelType w:val="hybridMultilevel"/>
    <w:tmpl w:val="1EF4B7F0"/>
    <w:lvl w:ilvl="0" w:tplc="F680529A">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8" w15:restartNumberingAfterBreak="0">
    <w:nsid w:val="6A5A5581"/>
    <w:multiLevelType w:val="hybridMultilevel"/>
    <w:tmpl w:val="0F1C1EA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6FA01333"/>
    <w:multiLevelType w:val="hybridMultilevel"/>
    <w:tmpl w:val="8B62D5E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0" w15:restartNumberingAfterBreak="0">
    <w:nsid w:val="73222EF8"/>
    <w:multiLevelType w:val="hybridMultilevel"/>
    <w:tmpl w:val="5B5C3484"/>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4"/>
  </w:num>
  <w:num w:numId="13">
    <w:abstractNumId w:val="17"/>
  </w:num>
  <w:num w:numId="14">
    <w:abstractNumId w:val="21"/>
  </w:num>
  <w:num w:numId="15">
    <w:abstractNumId w:val="2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9"/>
  </w:num>
  <w:num w:numId="21">
    <w:abstractNumId w:val="2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6"/>
  </w:num>
  <w:num w:numId="25">
    <w:abstractNumId w:val="14"/>
  </w:num>
  <w:num w:numId="26">
    <w:abstractNumId w:val="20"/>
  </w:num>
  <w:num w:numId="27">
    <w:abstractNumId w:val="10"/>
    <w:lvlOverride w:ilvl="0">
      <w:lvl w:ilvl="0">
        <w:numFmt w:val="bullet"/>
        <w:lvlText w:val=""/>
        <w:legacy w:legacy="1" w:legacySpace="0" w:legacyIndent="283"/>
        <w:lvlJc w:val="left"/>
        <w:pPr>
          <w:ind w:left="963" w:hanging="283"/>
        </w:pPr>
        <w:rPr>
          <w:rFonts w:ascii="Symbol" w:hAnsi="Symbol" w:hint="default"/>
        </w:rPr>
      </w:lvl>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 w:ilvl="0">
        <w:numFmt w:val="bullet"/>
        <w:lvlText w:val=""/>
        <w:legacy w:legacy="1" w:legacySpace="0" w:legacyIndent="283"/>
        <w:lvlJc w:val="left"/>
        <w:pPr>
          <w:ind w:left="709" w:hanging="283"/>
        </w:pPr>
        <w:rPr>
          <w:rFonts w:ascii="Symbol" w:hAnsi="Symbol" w:hint="default"/>
          <w:color w:val="auto"/>
        </w:rPr>
      </w:lvl>
    </w:lvlOverride>
  </w:num>
  <w:num w:numId="30">
    <w:abstractNumId w:val="2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DA3"/>
    <w:rsid w:val="0004654A"/>
    <w:rsid w:val="00051E56"/>
    <w:rsid w:val="00060285"/>
    <w:rsid w:val="000619AC"/>
    <w:rsid w:val="0006474C"/>
    <w:rsid w:val="00066A1A"/>
    <w:rsid w:val="00072264"/>
    <w:rsid w:val="00077D95"/>
    <w:rsid w:val="00096A19"/>
    <w:rsid w:val="000A4888"/>
    <w:rsid w:val="000A7994"/>
    <w:rsid w:val="000B6002"/>
    <w:rsid w:val="000B7B7E"/>
    <w:rsid w:val="000C1B45"/>
    <w:rsid w:val="000C2409"/>
    <w:rsid w:val="000C6262"/>
    <w:rsid w:val="000C7C33"/>
    <w:rsid w:val="000D11F0"/>
    <w:rsid w:val="000D3F3A"/>
    <w:rsid w:val="000D6B47"/>
    <w:rsid w:val="000E11F3"/>
    <w:rsid w:val="000E27FB"/>
    <w:rsid w:val="000E747F"/>
    <w:rsid w:val="000F1A95"/>
    <w:rsid w:val="000F325B"/>
    <w:rsid w:val="00101061"/>
    <w:rsid w:val="00102EBF"/>
    <w:rsid w:val="00110148"/>
    <w:rsid w:val="0012328F"/>
    <w:rsid w:val="0012347A"/>
    <w:rsid w:val="0013786E"/>
    <w:rsid w:val="00144323"/>
    <w:rsid w:val="00145A51"/>
    <w:rsid w:val="0015437A"/>
    <w:rsid w:val="0015513E"/>
    <w:rsid w:val="00164C3A"/>
    <w:rsid w:val="001679DB"/>
    <w:rsid w:val="00170985"/>
    <w:rsid w:val="001725F0"/>
    <w:rsid w:val="00174A28"/>
    <w:rsid w:val="00174A88"/>
    <w:rsid w:val="0018046C"/>
    <w:rsid w:val="00186AEE"/>
    <w:rsid w:val="001A4D24"/>
    <w:rsid w:val="001A54D8"/>
    <w:rsid w:val="001B0079"/>
    <w:rsid w:val="001B18F0"/>
    <w:rsid w:val="001D2316"/>
    <w:rsid w:val="001D2452"/>
    <w:rsid w:val="001E530F"/>
    <w:rsid w:val="00204444"/>
    <w:rsid w:val="002120A4"/>
    <w:rsid w:val="0021610B"/>
    <w:rsid w:val="00226832"/>
    <w:rsid w:val="00230144"/>
    <w:rsid w:val="002356A0"/>
    <w:rsid w:val="00240800"/>
    <w:rsid w:val="002456E2"/>
    <w:rsid w:val="002653C6"/>
    <w:rsid w:val="002718A0"/>
    <w:rsid w:val="002723DB"/>
    <w:rsid w:val="0027665E"/>
    <w:rsid w:val="00281641"/>
    <w:rsid w:val="002A7AFF"/>
    <w:rsid w:val="002B0BE7"/>
    <w:rsid w:val="002C2C7D"/>
    <w:rsid w:val="002D2F05"/>
    <w:rsid w:val="002E205D"/>
    <w:rsid w:val="002E3EF6"/>
    <w:rsid w:val="002E6CCA"/>
    <w:rsid w:val="002F4559"/>
    <w:rsid w:val="002F5F8A"/>
    <w:rsid w:val="00304E79"/>
    <w:rsid w:val="00310D19"/>
    <w:rsid w:val="003149D7"/>
    <w:rsid w:val="00315E83"/>
    <w:rsid w:val="00323419"/>
    <w:rsid w:val="003314C9"/>
    <w:rsid w:val="00337F3E"/>
    <w:rsid w:val="003429F7"/>
    <w:rsid w:val="00345540"/>
    <w:rsid w:val="003565AD"/>
    <w:rsid w:val="00375A89"/>
    <w:rsid w:val="00375E96"/>
    <w:rsid w:val="00383EAE"/>
    <w:rsid w:val="00384BBA"/>
    <w:rsid w:val="00393036"/>
    <w:rsid w:val="00394B1E"/>
    <w:rsid w:val="00394E38"/>
    <w:rsid w:val="003B7168"/>
    <w:rsid w:val="003E1BCC"/>
    <w:rsid w:val="003E1C3E"/>
    <w:rsid w:val="003E26AD"/>
    <w:rsid w:val="003E2702"/>
    <w:rsid w:val="003E3625"/>
    <w:rsid w:val="003E69D0"/>
    <w:rsid w:val="003F12C0"/>
    <w:rsid w:val="0041024D"/>
    <w:rsid w:val="00421161"/>
    <w:rsid w:val="00422058"/>
    <w:rsid w:val="004303D5"/>
    <w:rsid w:val="004377F1"/>
    <w:rsid w:val="00441B9B"/>
    <w:rsid w:val="00443E5B"/>
    <w:rsid w:val="004578A8"/>
    <w:rsid w:val="004601B6"/>
    <w:rsid w:val="0046052A"/>
    <w:rsid w:val="00465695"/>
    <w:rsid w:val="00467CDC"/>
    <w:rsid w:val="00470147"/>
    <w:rsid w:val="004735F8"/>
    <w:rsid w:val="004759BC"/>
    <w:rsid w:val="00476B5A"/>
    <w:rsid w:val="0048052C"/>
    <w:rsid w:val="004862FE"/>
    <w:rsid w:val="00491672"/>
    <w:rsid w:val="00491BE7"/>
    <w:rsid w:val="00493F6A"/>
    <w:rsid w:val="004A1404"/>
    <w:rsid w:val="004A3868"/>
    <w:rsid w:val="004B7FCC"/>
    <w:rsid w:val="004C05E4"/>
    <w:rsid w:val="004C17BC"/>
    <w:rsid w:val="004C391A"/>
    <w:rsid w:val="004C7F44"/>
    <w:rsid w:val="004D06E9"/>
    <w:rsid w:val="004D6744"/>
    <w:rsid w:val="004D67B5"/>
    <w:rsid w:val="004F2FF0"/>
    <w:rsid w:val="004F73AE"/>
    <w:rsid w:val="00504080"/>
    <w:rsid w:val="0050586D"/>
    <w:rsid w:val="005107ED"/>
    <w:rsid w:val="00517ECA"/>
    <w:rsid w:val="00522300"/>
    <w:rsid w:val="00522AC4"/>
    <w:rsid w:val="00526F16"/>
    <w:rsid w:val="00535282"/>
    <w:rsid w:val="00546D74"/>
    <w:rsid w:val="00564EE4"/>
    <w:rsid w:val="00571136"/>
    <w:rsid w:val="00573278"/>
    <w:rsid w:val="005825E4"/>
    <w:rsid w:val="005878B2"/>
    <w:rsid w:val="005A2704"/>
    <w:rsid w:val="005A2741"/>
    <w:rsid w:val="005B719D"/>
    <w:rsid w:val="005C676F"/>
    <w:rsid w:val="005E05A8"/>
    <w:rsid w:val="005F1CC3"/>
    <w:rsid w:val="005F4A29"/>
    <w:rsid w:val="006003C8"/>
    <w:rsid w:val="00602170"/>
    <w:rsid w:val="0060673D"/>
    <w:rsid w:val="00607B2C"/>
    <w:rsid w:val="006238F4"/>
    <w:rsid w:val="00631204"/>
    <w:rsid w:val="00634458"/>
    <w:rsid w:val="00635E7E"/>
    <w:rsid w:val="00642E5B"/>
    <w:rsid w:val="00650B30"/>
    <w:rsid w:val="00655803"/>
    <w:rsid w:val="006607B9"/>
    <w:rsid w:val="00662FF0"/>
    <w:rsid w:val="00663EC4"/>
    <w:rsid w:val="00667ABF"/>
    <w:rsid w:val="00675162"/>
    <w:rsid w:val="0069052E"/>
    <w:rsid w:val="00692882"/>
    <w:rsid w:val="006945D8"/>
    <w:rsid w:val="006A0E6E"/>
    <w:rsid w:val="006A55E4"/>
    <w:rsid w:val="006B2AE1"/>
    <w:rsid w:val="006B5914"/>
    <w:rsid w:val="006B7908"/>
    <w:rsid w:val="006C34ED"/>
    <w:rsid w:val="006C390B"/>
    <w:rsid w:val="006D6F4B"/>
    <w:rsid w:val="006D71E7"/>
    <w:rsid w:val="006E5CE6"/>
    <w:rsid w:val="00704FB2"/>
    <w:rsid w:val="00705010"/>
    <w:rsid w:val="00711B71"/>
    <w:rsid w:val="007203AC"/>
    <w:rsid w:val="00743283"/>
    <w:rsid w:val="0074346B"/>
    <w:rsid w:val="00760CD8"/>
    <w:rsid w:val="00762F93"/>
    <w:rsid w:val="00767821"/>
    <w:rsid w:val="0077055E"/>
    <w:rsid w:val="00776ED8"/>
    <w:rsid w:val="007827CA"/>
    <w:rsid w:val="007A2A1B"/>
    <w:rsid w:val="007A76AA"/>
    <w:rsid w:val="007B091F"/>
    <w:rsid w:val="007B2DA9"/>
    <w:rsid w:val="007B75FB"/>
    <w:rsid w:val="007C2F13"/>
    <w:rsid w:val="007C31AA"/>
    <w:rsid w:val="007D32FC"/>
    <w:rsid w:val="007E5835"/>
    <w:rsid w:val="007E58AA"/>
    <w:rsid w:val="007E5E0A"/>
    <w:rsid w:val="007F538A"/>
    <w:rsid w:val="00802A2C"/>
    <w:rsid w:val="00802B8C"/>
    <w:rsid w:val="00810A6C"/>
    <w:rsid w:val="00813ED9"/>
    <w:rsid w:val="008160B9"/>
    <w:rsid w:val="008166D1"/>
    <w:rsid w:val="00822233"/>
    <w:rsid w:val="00824E43"/>
    <w:rsid w:val="00825C49"/>
    <w:rsid w:val="008275E3"/>
    <w:rsid w:val="008326B5"/>
    <w:rsid w:val="00864782"/>
    <w:rsid w:val="00865C66"/>
    <w:rsid w:val="008672C9"/>
    <w:rsid w:val="00867A45"/>
    <w:rsid w:val="0088750A"/>
    <w:rsid w:val="00887554"/>
    <w:rsid w:val="008903D9"/>
    <w:rsid w:val="008A07B1"/>
    <w:rsid w:val="008A429E"/>
    <w:rsid w:val="008B644E"/>
    <w:rsid w:val="008C2574"/>
    <w:rsid w:val="008D12D6"/>
    <w:rsid w:val="008D5272"/>
    <w:rsid w:val="008D5662"/>
    <w:rsid w:val="008E58BF"/>
    <w:rsid w:val="008F4738"/>
    <w:rsid w:val="008F5A12"/>
    <w:rsid w:val="0090004A"/>
    <w:rsid w:val="00902D7B"/>
    <w:rsid w:val="009143B5"/>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50BD"/>
    <w:rsid w:val="00997D54"/>
    <w:rsid w:val="009A2785"/>
    <w:rsid w:val="009A6A3C"/>
    <w:rsid w:val="009B5205"/>
    <w:rsid w:val="009C0B54"/>
    <w:rsid w:val="009C448E"/>
    <w:rsid w:val="009D1E4F"/>
    <w:rsid w:val="009D4FD9"/>
    <w:rsid w:val="009D7702"/>
    <w:rsid w:val="009E0B29"/>
    <w:rsid w:val="009F0FF3"/>
    <w:rsid w:val="00A0143D"/>
    <w:rsid w:val="00A023CC"/>
    <w:rsid w:val="00A13812"/>
    <w:rsid w:val="00A307C8"/>
    <w:rsid w:val="00A325D1"/>
    <w:rsid w:val="00A41B20"/>
    <w:rsid w:val="00A44292"/>
    <w:rsid w:val="00A45D38"/>
    <w:rsid w:val="00A46E00"/>
    <w:rsid w:val="00A5100D"/>
    <w:rsid w:val="00A55AA7"/>
    <w:rsid w:val="00A57521"/>
    <w:rsid w:val="00A7402A"/>
    <w:rsid w:val="00A75EF5"/>
    <w:rsid w:val="00A76ABE"/>
    <w:rsid w:val="00A7761B"/>
    <w:rsid w:val="00A8442B"/>
    <w:rsid w:val="00A84AF9"/>
    <w:rsid w:val="00A84FE2"/>
    <w:rsid w:val="00A879D9"/>
    <w:rsid w:val="00A87C82"/>
    <w:rsid w:val="00A95016"/>
    <w:rsid w:val="00A971BA"/>
    <w:rsid w:val="00AB0C6B"/>
    <w:rsid w:val="00AB2E7C"/>
    <w:rsid w:val="00AB32DB"/>
    <w:rsid w:val="00AB434A"/>
    <w:rsid w:val="00AD1BF5"/>
    <w:rsid w:val="00AD4626"/>
    <w:rsid w:val="00AE469E"/>
    <w:rsid w:val="00AE4EF4"/>
    <w:rsid w:val="00AE5A0C"/>
    <w:rsid w:val="00B06F23"/>
    <w:rsid w:val="00B1040B"/>
    <w:rsid w:val="00B16EC7"/>
    <w:rsid w:val="00B17EDA"/>
    <w:rsid w:val="00B21A8F"/>
    <w:rsid w:val="00B224E2"/>
    <w:rsid w:val="00B24B1C"/>
    <w:rsid w:val="00B26A26"/>
    <w:rsid w:val="00B27B41"/>
    <w:rsid w:val="00B35FA8"/>
    <w:rsid w:val="00B43B78"/>
    <w:rsid w:val="00B47370"/>
    <w:rsid w:val="00B62A15"/>
    <w:rsid w:val="00B62FDF"/>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C7C5B"/>
    <w:rsid w:val="00BD4F8D"/>
    <w:rsid w:val="00BF165F"/>
    <w:rsid w:val="00C012D3"/>
    <w:rsid w:val="00C0342D"/>
    <w:rsid w:val="00C0466B"/>
    <w:rsid w:val="00C06F70"/>
    <w:rsid w:val="00C07E4D"/>
    <w:rsid w:val="00C2424B"/>
    <w:rsid w:val="00C3472E"/>
    <w:rsid w:val="00C36DEB"/>
    <w:rsid w:val="00C44883"/>
    <w:rsid w:val="00C479DD"/>
    <w:rsid w:val="00C5100B"/>
    <w:rsid w:val="00C55E55"/>
    <w:rsid w:val="00C678B1"/>
    <w:rsid w:val="00C70B6F"/>
    <w:rsid w:val="00C84A8B"/>
    <w:rsid w:val="00C85AAF"/>
    <w:rsid w:val="00C86CC1"/>
    <w:rsid w:val="00C87E74"/>
    <w:rsid w:val="00C90441"/>
    <w:rsid w:val="00C94A72"/>
    <w:rsid w:val="00C95DDE"/>
    <w:rsid w:val="00CA1829"/>
    <w:rsid w:val="00CA62C6"/>
    <w:rsid w:val="00CB391A"/>
    <w:rsid w:val="00CB6C33"/>
    <w:rsid w:val="00CB7581"/>
    <w:rsid w:val="00CC07D8"/>
    <w:rsid w:val="00CC1CB1"/>
    <w:rsid w:val="00CC502D"/>
    <w:rsid w:val="00CC7C9E"/>
    <w:rsid w:val="00CD451B"/>
    <w:rsid w:val="00CD79B0"/>
    <w:rsid w:val="00CE5E8E"/>
    <w:rsid w:val="00CF4B3F"/>
    <w:rsid w:val="00D11B1C"/>
    <w:rsid w:val="00D15BA5"/>
    <w:rsid w:val="00D27B96"/>
    <w:rsid w:val="00D30D7A"/>
    <w:rsid w:val="00D35A2D"/>
    <w:rsid w:val="00D5243F"/>
    <w:rsid w:val="00D5432F"/>
    <w:rsid w:val="00D546B1"/>
    <w:rsid w:val="00D5764A"/>
    <w:rsid w:val="00D613EB"/>
    <w:rsid w:val="00D634BB"/>
    <w:rsid w:val="00D65B18"/>
    <w:rsid w:val="00D8046F"/>
    <w:rsid w:val="00D84062"/>
    <w:rsid w:val="00D84224"/>
    <w:rsid w:val="00DA2416"/>
    <w:rsid w:val="00DB1BE3"/>
    <w:rsid w:val="00DB3299"/>
    <w:rsid w:val="00DB701A"/>
    <w:rsid w:val="00DC402E"/>
    <w:rsid w:val="00DE084F"/>
    <w:rsid w:val="00DF141B"/>
    <w:rsid w:val="00DF2447"/>
    <w:rsid w:val="00DF2D46"/>
    <w:rsid w:val="00DF58D6"/>
    <w:rsid w:val="00E07034"/>
    <w:rsid w:val="00E10547"/>
    <w:rsid w:val="00E11D75"/>
    <w:rsid w:val="00E14F83"/>
    <w:rsid w:val="00E17F7A"/>
    <w:rsid w:val="00E20681"/>
    <w:rsid w:val="00E22AF9"/>
    <w:rsid w:val="00E24752"/>
    <w:rsid w:val="00E25EFC"/>
    <w:rsid w:val="00E26038"/>
    <w:rsid w:val="00E3110D"/>
    <w:rsid w:val="00E47614"/>
    <w:rsid w:val="00E527F0"/>
    <w:rsid w:val="00E5723C"/>
    <w:rsid w:val="00E60D1E"/>
    <w:rsid w:val="00E618C5"/>
    <w:rsid w:val="00E63749"/>
    <w:rsid w:val="00E733A6"/>
    <w:rsid w:val="00E83F13"/>
    <w:rsid w:val="00E86BDC"/>
    <w:rsid w:val="00E87ACF"/>
    <w:rsid w:val="00E92557"/>
    <w:rsid w:val="00E93342"/>
    <w:rsid w:val="00EA2946"/>
    <w:rsid w:val="00EB114D"/>
    <w:rsid w:val="00EB2FBE"/>
    <w:rsid w:val="00EB5313"/>
    <w:rsid w:val="00EB65CC"/>
    <w:rsid w:val="00EB70BB"/>
    <w:rsid w:val="00EC04FE"/>
    <w:rsid w:val="00EC7915"/>
    <w:rsid w:val="00ED3956"/>
    <w:rsid w:val="00ED4046"/>
    <w:rsid w:val="00ED4133"/>
    <w:rsid w:val="00ED414C"/>
    <w:rsid w:val="00EE1788"/>
    <w:rsid w:val="00EF0045"/>
    <w:rsid w:val="00F071AA"/>
    <w:rsid w:val="00F072F9"/>
    <w:rsid w:val="00F1182D"/>
    <w:rsid w:val="00F17425"/>
    <w:rsid w:val="00F20EE9"/>
    <w:rsid w:val="00F232BC"/>
    <w:rsid w:val="00F25AB9"/>
    <w:rsid w:val="00F26DE6"/>
    <w:rsid w:val="00F347B6"/>
    <w:rsid w:val="00F35AA7"/>
    <w:rsid w:val="00F37313"/>
    <w:rsid w:val="00F45778"/>
    <w:rsid w:val="00F57730"/>
    <w:rsid w:val="00F70736"/>
    <w:rsid w:val="00F85533"/>
    <w:rsid w:val="00F9751C"/>
    <w:rsid w:val="00FA3551"/>
    <w:rsid w:val="00FA3DCC"/>
    <w:rsid w:val="00FB5C5C"/>
    <w:rsid w:val="00FC49ED"/>
    <w:rsid w:val="00FC4AA1"/>
    <w:rsid w:val="00FD15E2"/>
    <w:rsid w:val="00FD17EF"/>
    <w:rsid w:val="00FE1A2B"/>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1"/>
      </w:num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semiHidden/>
    <w:pPr>
      <w:tabs>
        <w:tab w:val="left" w:pos="440"/>
        <w:tab w:val="left" w:pos="993"/>
        <w:tab w:val="right" w:leader="dot" w:pos="9345"/>
      </w:tabs>
      <w:spacing w:after="120"/>
      <w:ind w:left="425"/>
    </w:pPr>
    <w:rPr>
      <w:noProof/>
    </w:rPr>
  </w:style>
  <w:style w:type="paragraph" w:styleId="Verzeichnis1">
    <w:name w:val="toc 1"/>
    <w:basedOn w:val="Standard"/>
    <w:next w:val="Standard"/>
    <w:autoRedefine/>
    <w:semiHidden/>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semiHidden/>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uiPriority w:val="99"/>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link w:val="HTMLVorformatiertZchn"/>
    <w:uiPriority w:val="99"/>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iPriority w:val="99"/>
    <w:semiHidden/>
    <w:unhideWhenUsed/>
    <w:rsid w:val="00E07034"/>
    <w:rPr>
      <w:sz w:val="16"/>
      <w:szCs w:val="16"/>
    </w:rPr>
  </w:style>
  <w:style w:type="paragraph" w:styleId="Kommentarthema">
    <w:name w:val="annotation subject"/>
    <w:basedOn w:val="Kommentartext"/>
    <w:next w:val="Kommentartext"/>
    <w:link w:val="KommentarthemaZchn"/>
    <w:uiPriority w:val="99"/>
    <w:semiHidden/>
    <w:unhideWhenUsed/>
    <w:rsid w:val="00E07034"/>
    <w:rPr>
      <w:b/>
      <w:bCs/>
    </w:rPr>
  </w:style>
  <w:style w:type="character" w:customStyle="1" w:styleId="KommentartextZchn">
    <w:name w:val="Kommentartext Zchn"/>
    <w:basedOn w:val="Absatz-Standardschriftart"/>
    <w:link w:val="Kommentartext"/>
    <w:semiHidden/>
    <w:rsid w:val="00E07034"/>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E07034"/>
    <w:rPr>
      <w:rFonts w:ascii="Arial" w:hAnsi="Arial"/>
      <w:b/>
      <w:bCs/>
      <w:snapToGrid w:val="0"/>
      <w:lang w:eastAsia="de-DE"/>
    </w:rPr>
  </w:style>
  <w:style w:type="paragraph" w:styleId="Inhaltsverzeichnisberschrift">
    <w:name w:val="TOC Heading"/>
    <w:basedOn w:val="berschrift1"/>
    <w:next w:val="Standard"/>
    <w:uiPriority w:val="39"/>
    <w:semiHidden/>
    <w:unhideWhenUsed/>
    <w:qFormat/>
    <w:rsid w:val="000D11F0"/>
    <w:pPr>
      <w:keepLines/>
      <w:spacing w:before="24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HTMLVorformatiertZchn">
    <w:name w:val="HTML Vorformatiert Zchn"/>
    <w:basedOn w:val="Absatz-Standardschriftart"/>
    <w:link w:val="HTMLVorformatiert"/>
    <w:uiPriority w:val="99"/>
    <w:semiHidden/>
    <w:rsid w:val="000D11F0"/>
    <w:rPr>
      <w:rFonts w:ascii="Courier New" w:hAnsi="Courier New" w:cs="Courier New"/>
      <w:snapToGrid w:val="0"/>
      <w:lang w:eastAsia="de-DE"/>
    </w:rPr>
  </w:style>
  <w:style w:type="character" w:customStyle="1" w:styleId="FunotentextZchn">
    <w:name w:val="Fußnotentext Zchn"/>
    <w:basedOn w:val="Absatz-Standardschriftart"/>
    <w:link w:val="Funotentext"/>
    <w:uiPriority w:val="99"/>
    <w:semiHidden/>
    <w:rsid w:val="000D11F0"/>
    <w:rPr>
      <w:rFonts w:ascii="Arial" w:hAnsi="Arial"/>
      <w:snapToGrid w:val="0"/>
      <w:lang w:eastAsia="de-DE"/>
    </w:rPr>
  </w:style>
  <w:style w:type="character" w:styleId="Funotenzeichen">
    <w:name w:val="footnote reference"/>
    <w:semiHidden/>
    <w:unhideWhenUsed/>
    <w:rsid w:val="000D11F0"/>
    <w:rPr>
      <w:vertAlign w:val="superscript"/>
    </w:rPr>
  </w:style>
  <w:style w:type="character" w:customStyle="1" w:styleId="KopfzeileZchn">
    <w:name w:val="Kopfzeile Zchn"/>
    <w:basedOn w:val="Absatz-Standardschriftart"/>
    <w:link w:val="Kopfzeile"/>
    <w:uiPriority w:val="99"/>
    <w:rsid w:val="00E63749"/>
    <w:rPr>
      <w:rFonts w:ascii="Arial" w:hAnsi="Arial"/>
      <w:snapToGrid w:val="0"/>
      <w:lang w:eastAsia="de-DE"/>
    </w:rPr>
  </w:style>
  <w:style w:type="paragraph" w:customStyle="1" w:styleId="Referenz">
    <w:name w:val="Referenz"/>
    <w:basedOn w:val="Standard"/>
    <w:uiPriority w:val="99"/>
    <w:rsid w:val="00ED4133"/>
    <w:pPr>
      <w:overflowPunct w:val="0"/>
      <w:autoSpaceDE w:val="0"/>
      <w:autoSpaceDN w:val="0"/>
      <w:adjustRightInd w:val="0"/>
      <w:spacing w:after="200" w:line="276" w:lineRule="auto"/>
      <w:jc w:val="left"/>
    </w:pPr>
    <w:rPr>
      <w:rFonts w:ascii="Cambria" w:hAnsi="Cambria"/>
      <w:snapToGrid/>
      <w:sz w:val="18"/>
      <w:lang w:eastAsia="en-US" w:bidi="en-US"/>
    </w:rPr>
  </w:style>
  <w:style w:type="paragraph" w:customStyle="1" w:styleId="Kopffrage">
    <w:name w:val="Kopffrage"/>
    <w:basedOn w:val="Standard"/>
    <w:uiPriority w:val="99"/>
    <w:rsid w:val="00F85533"/>
    <w:pPr>
      <w:keepNext/>
      <w:keepLines/>
      <w:tabs>
        <w:tab w:val="left" w:pos="374"/>
      </w:tabs>
      <w:overflowPunct w:val="0"/>
      <w:autoSpaceDE w:val="0"/>
      <w:autoSpaceDN w:val="0"/>
      <w:adjustRightInd w:val="0"/>
      <w:spacing w:before="240" w:after="40" w:line="276" w:lineRule="auto"/>
      <w:ind w:left="374" w:hanging="374"/>
      <w:jc w:val="left"/>
    </w:pPr>
    <w:rPr>
      <w:rFonts w:ascii="Times" w:hAnsi="Times"/>
      <w:snapToGrid/>
      <w:sz w:val="18"/>
      <w:lang w:val="en-US" w:eastAsia="en-US" w:bidi="en-US"/>
    </w:rPr>
  </w:style>
  <w:style w:type="paragraph" w:customStyle="1" w:styleId="Box-Absatz">
    <w:name w:val="Box-Absatz"/>
    <w:basedOn w:val="Standard"/>
    <w:uiPriority w:val="99"/>
    <w:rsid w:val="00F85533"/>
    <w:pPr>
      <w:overflowPunct w:val="0"/>
      <w:autoSpaceDE w:val="0"/>
      <w:autoSpaceDN w:val="0"/>
      <w:adjustRightInd w:val="0"/>
      <w:spacing w:after="200" w:line="276" w:lineRule="auto"/>
      <w:ind w:left="284" w:right="284"/>
      <w:jc w:val="left"/>
    </w:pPr>
    <w:rPr>
      <w:rFonts w:ascii="Times" w:hAnsi="Times"/>
      <w:snapToGrid/>
      <w:sz w:val="24"/>
      <w:lang w:val="en-US" w:eastAsia="en-US" w:bidi="en-US"/>
    </w:rPr>
  </w:style>
  <w:style w:type="paragraph" w:customStyle="1" w:styleId="Adresse">
    <w:name w:val="Adresse"/>
    <w:basedOn w:val="Standard"/>
    <w:uiPriority w:val="99"/>
    <w:rsid w:val="00F85533"/>
    <w:rPr>
      <w:rFonts w:cs="Arial"/>
      <w:snapToGrid/>
      <w:szCs w:val="24"/>
    </w:rPr>
  </w:style>
  <w:style w:type="character" w:customStyle="1" w:styleId="berschrift1Zchn">
    <w:name w:val="Überschrift 1 Zchn"/>
    <w:basedOn w:val="Absatz-Standardschriftart"/>
    <w:link w:val="berschrift1"/>
    <w:uiPriority w:val="9"/>
    <w:rsid w:val="000E27FB"/>
    <w:rPr>
      <w:rFonts w:ascii="Arial" w:hAnsi="Arial"/>
      <w:b/>
      <w:snapToGrid w:val="0"/>
      <w:kern w:val="28"/>
      <w:lang w:eastAsia="de-DE"/>
    </w:rPr>
  </w:style>
  <w:style w:type="character" w:customStyle="1" w:styleId="berschrift2Zchn">
    <w:name w:val="Überschrift 2 Zchn"/>
    <w:basedOn w:val="Absatz-Standardschriftart"/>
    <w:link w:val="berschrift2"/>
    <w:uiPriority w:val="9"/>
    <w:rsid w:val="000E27FB"/>
    <w:rPr>
      <w:rFonts w:ascii="Arial" w:hAnsi="Arial"/>
      <w:b/>
      <w:snapToGrid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revisionsaufsichtsbehoerde.ch" TargetMode="External"/><Relationship Id="rId2" Type="http://schemas.openxmlformats.org/officeDocument/2006/relationships/numbering" Target="numbering.xml"/><Relationship Id="rId16" Type="http://schemas.openxmlformats.org/officeDocument/2006/relationships/hyperlink" Target="http://www.expertsuisse.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rab-asr.ch/" TargetMode="External"/><Relationship Id="rId1" Type="http://schemas.openxmlformats.org/officeDocument/2006/relationships/hyperlink" Target="https://www.rab-as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D6A7-265D-4113-9628-9A93F0F4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10369</Words>
  <Characters>65327</Characters>
  <Application>Microsoft Office Word</Application>
  <DocSecurity>0</DocSecurity>
  <Lines>544</Lines>
  <Paragraphs>151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Milena Zimmermann</cp:lastModifiedBy>
  <cp:revision>2</cp:revision>
  <cp:lastPrinted>2022-08-23T12:51:00Z</cp:lastPrinted>
  <dcterms:created xsi:type="dcterms:W3CDTF">2023-10-05T13:08:00Z</dcterms:created>
  <dcterms:modified xsi:type="dcterms:W3CDTF">2023-10-05T13:08:00Z</dcterms:modified>
</cp:coreProperties>
</file>