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496" w:rsidRPr="006E1857" w:rsidRDefault="00612722" w:rsidP="002B60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40"/>
        </w:tabs>
        <w:rPr>
          <w:rFonts w:cs="Arial"/>
          <w:b/>
          <w:sz w:val="22"/>
          <w:szCs w:val="22"/>
          <w:lang w:val="fr-CH"/>
        </w:rPr>
      </w:pPr>
      <w:bookmarkStart w:id="0" w:name="_GoBack"/>
      <w:bookmarkEnd w:id="0"/>
      <w:r>
        <w:rPr>
          <w:rFonts w:cs="Arial"/>
          <w:b/>
          <w:sz w:val="22"/>
          <w:szCs w:val="22"/>
          <w:lang w:val="fr-CH"/>
        </w:rPr>
        <w:t>LIMF Informations aux clients</w:t>
      </w:r>
    </w:p>
    <w:p w:rsidR="002B604B" w:rsidRDefault="002B604B" w:rsidP="006E1857">
      <w:pPr>
        <w:spacing w:line="324" w:lineRule="auto"/>
        <w:rPr>
          <w:sz w:val="22"/>
          <w:szCs w:val="22"/>
          <w:lang w:val="fr-CH"/>
        </w:rPr>
      </w:pPr>
    </w:p>
    <w:p w:rsidR="00612722" w:rsidRDefault="00612722" w:rsidP="006E1857">
      <w:pPr>
        <w:spacing w:line="324" w:lineRule="auto"/>
        <w:rPr>
          <w:sz w:val="22"/>
          <w:szCs w:val="22"/>
          <w:lang w:val="fr-CH"/>
        </w:rPr>
      </w:pPr>
    </w:p>
    <w:p w:rsidR="00612722" w:rsidRPr="00612722" w:rsidRDefault="00612722" w:rsidP="00612722">
      <w:pPr>
        <w:spacing w:line="324" w:lineRule="auto"/>
        <w:contextualSpacing/>
        <w:rPr>
          <w:sz w:val="22"/>
          <w:szCs w:val="22"/>
          <w:highlight w:val="yellow"/>
          <w:lang w:val="fr-CH"/>
        </w:rPr>
      </w:pPr>
      <w:r w:rsidRPr="00612722">
        <w:rPr>
          <w:sz w:val="22"/>
          <w:szCs w:val="22"/>
          <w:highlight w:val="yellow"/>
          <w:lang w:val="fr-CH"/>
        </w:rPr>
        <w:t xml:space="preserve">Monsieur, Madame, </w:t>
      </w:r>
    </w:p>
    <w:p w:rsidR="00612722" w:rsidRPr="00612722" w:rsidRDefault="00612722" w:rsidP="00612722">
      <w:pPr>
        <w:spacing w:line="324" w:lineRule="auto"/>
        <w:contextualSpacing/>
        <w:rPr>
          <w:sz w:val="22"/>
          <w:szCs w:val="22"/>
          <w:lang w:val="fr-CH"/>
        </w:rPr>
      </w:pPr>
    </w:p>
    <w:p w:rsidR="00612722" w:rsidRDefault="00612722" w:rsidP="00612722">
      <w:pPr>
        <w:spacing w:line="324" w:lineRule="auto"/>
        <w:contextualSpacing/>
        <w:rPr>
          <w:rFonts w:eastAsiaTheme="minorHAnsi"/>
          <w:sz w:val="22"/>
          <w:szCs w:val="22"/>
          <w:lang w:val="fr-CH" w:eastAsia="en-US"/>
        </w:rPr>
      </w:pPr>
      <w:r w:rsidRPr="00612722">
        <w:rPr>
          <w:rFonts w:eastAsiaTheme="minorHAnsi"/>
          <w:sz w:val="22"/>
          <w:szCs w:val="22"/>
          <w:lang w:val="fr-CH" w:eastAsia="en-US"/>
        </w:rPr>
        <w:t>Dans le cadre de ce contrôle annuel, nous devons en tant qu’organe de révision légal, vérifier le respect des dispositions concernant la loi sur l'infrastructure des marchés financiers LIMF et de présenter un rapport écrit sur le résultat de cet examen. Ci-dessous, un aperçu des nouvelles dispositions est donné ainsi que la nécessité d’agir de la société soumise à l’obligation de révision (client de l’audit).</w:t>
      </w:r>
    </w:p>
    <w:p w:rsidR="00612722" w:rsidRPr="00612722" w:rsidRDefault="00612722" w:rsidP="00612722">
      <w:pPr>
        <w:spacing w:line="324" w:lineRule="auto"/>
        <w:contextualSpacing/>
        <w:rPr>
          <w:rFonts w:eastAsiaTheme="minorHAnsi"/>
          <w:b/>
          <w:bCs/>
          <w:sz w:val="22"/>
          <w:szCs w:val="22"/>
          <w:lang w:val="fr-CH" w:eastAsia="en-US"/>
        </w:rPr>
      </w:pPr>
    </w:p>
    <w:p w:rsidR="00612722" w:rsidRPr="00612722" w:rsidRDefault="00612722" w:rsidP="00612722">
      <w:pPr>
        <w:spacing w:line="324" w:lineRule="auto"/>
        <w:contextualSpacing/>
        <w:rPr>
          <w:b/>
          <w:bCs/>
          <w:sz w:val="22"/>
          <w:szCs w:val="22"/>
          <w:lang w:val="fr-CH"/>
        </w:rPr>
      </w:pPr>
      <w:r w:rsidRPr="00612722">
        <w:rPr>
          <w:b/>
          <w:bCs/>
          <w:sz w:val="22"/>
          <w:szCs w:val="22"/>
          <w:lang w:val="fr-CH"/>
        </w:rPr>
        <w:t>Aperçu LIMF / OIMF</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r w:rsidRPr="00612722">
        <w:rPr>
          <w:sz w:val="22"/>
          <w:szCs w:val="22"/>
          <w:lang w:val="fr-CH"/>
        </w:rPr>
        <w:t>La Suisse a créé la « loi fédérale sur les infrastructures des marchés financiers et le comportement sur le marché en matière de négociation de valeurs mobilières et de dérivés (loi sur l’infrastructure des marchés financiers, LIMF) y compris l’ordonnance correspondante (OIMF) afin de réduire entre autre les risques systématiques et opérationnels du négoce des dérivés. Les dispositions correspondantes sont en vigueur depuis le 1</w:t>
      </w:r>
      <w:r w:rsidRPr="00612722">
        <w:rPr>
          <w:sz w:val="22"/>
          <w:szCs w:val="22"/>
          <w:vertAlign w:val="superscript"/>
          <w:lang w:val="fr-CH"/>
        </w:rPr>
        <w:t>er</w:t>
      </w:r>
      <w:r w:rsidRPr="00612722">
        <w:rPr>
          <w:sz w:val="22"/>
          <w:szCs w:val="22"/>
          <w:lang w:val="fr-CH"/>
        </w:rPr>
        <w:t xml:space="preserve"> janvier 2016.</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r w:rsidRPr="00612722">
        <w:rPr>
          <w:sz w:val="22"/>
          <w:szCs w:val="22"/>
          <w:lang w:val="fr-CH"/>
        </w:rPr>
        <w:t>Sont concernée en principe toutes les sociétés qui sont inscrites au registre du commerce suisse (art. 77 al. 1 OIMF). Toutefois le champ d’application de la loi dépend du statut de chaque société (contreparties financières ou contreparties non financières) ainsi que du volume négocié des dérivés dans l’ensemble du groupe. Entre dans le champ d’application de la LIMF le négoce des dérivés interne ou externe au groupe effectués sur une plate-forme de négociation (Exchange Traded Derivatives – ETD) ou hors bourse (Over the Counter – OTC).</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r w:rsidRPr="00612722">
        <w:rPr>
          <w:sz w:val="22"/>
          <w:szCs w:val="22"/>
          <w:lang w:val="fr-CH"/>
        </w:rPr>
        <w:t>La plupart des sociétés opérant en dehors du secteur financier en Suisse se qualifient en tant que « petite contrepartie non financière ». Ces sociétés sont soumises aux exigences suivantes (en cas de négociation de dérivés) :</w:t>
      </w:r>
    </w:p>
    <w:p w:rsidR="00612722" w:rsidRPr="00612722" w:rsidRDefault="00612722" w:rsidP="00612722">
      <w:pPr>
        <w:spacing w:line="324" w:lineRule="auto"/>
        <w:contextualSpacing/>
        <w:rPr>
          <w:sz w:val="22"/>
          <w:szCs w:val="22"/>
          <w:lang w:val="fr-CH"/>
        </w:rPr>
      </w:pPr>
    </w:p>
    <w:p w:rsidR="00612722" w:rsidRPr="00612722" w:rsidRDefault="00612722" w:rsidP="00612722">
      <w:pPr>
        <w:pStyle w:val="Listenabsatz"/>
        <w:numPr>
          <w:ilvl w:val="0"/>
          <w:numId w:val="32"/>
        </w:numPr>
        <w:spacing w:line="324" w:lineRule="auto"/>
        <w:contextualSpacing/>
        <w:rPr>
          <w:sz w:val="22"/>
          <w:szCs w:val="22"/>
          <w:lang w:val="fr-CH"/>
        </w:rPr>
      </w:pPr>
      <w:r w:rsidRPr="00612722">
        <w:rPr>
          <w:sz w:val="22"/>
          <w:szCs w:val="22"/>
          <w:lang w:val="fr-CH"/>
        </w:rPr>
        <w:t>Surveillance des seuils (art. 98 – 100 LIMF)</w:t>
      </w:r>
    </w:p>
    <w:p w:rsidR="00612722" w:rsidRPr="00612722" w:rsidRDefault="00612722" w:rsidP="00612722">
      <w:pPr>
        <w:pStyle w:val="Listenabsatz"/>
        <w:numPr>
          <w:ilvl w:val="0"/>
          <w:numId w:val="32"/>
        </w:numPr>
        <w:spacing w:line="324" w:lineRule="auto"/>
        <w:contextualSpacing/>
        <w:rPr>
          <w:sz w:val="22"/>
          <w:szCs w:val="22"/>
          <w:lang w:val="fr-CH"/>
        </w:rPr>
      </w:pPr>
      <w:r w:rsidRPr="00612722">
        <w:rPr>
          <w:sz w:val="22"/>
          <w:szCs w:val="22"/>
          <w:lang w:val="fr-CH"/>
        </w:rPr>
        <w:t>Obligation de déclarer (art. 104 LIMF)</w:t>
      </w:r>
    </w:p>
    <w:p w:rsidR="00612722" w:rsidRPr="00612722" w:rsidRDefault="00612722" w:rsidP="00612722">
      <w:pPr>
        <w:pStyle w:val="Listenabsatz"/>
        <w:numPr>
          <w:ilvl w:val="0"/>
          <w:numId w:val="32"/>
        </w:numPr>
        <w:spacing w:line="324" w:lineRule="auto"/>
        <w:contextualSpacing/>
        <w:rPr>
          <w:sz w:val="22"/>
          <w:szCs w:val="22"/>
          <w:lang w:val="fr-CH"/>
        </w:rPr>
      </w:pPr>
      <w:r w:rsidRPr="00612722">
        <w:rPr>
          <w:sz w:val="22"/>
          <w:szCs w:val="22"/>
          <w:lang w:val="fr-CH"/>
        </w:rPr>
        <w:t>Réduction des risques (art. 107 LIMF)</w:t>
      </w:r>
    </w:p>
    <w:p w:rsidR="00612722" w:rsidRPr="00612722" w:rsidRDefault="00612722" w:rsidP="00612722">
      <w:pPr>
        <w:pStyle w:val="Listenabsatz"/>
        <w:numPr>
          <w:ilvl w:val="0"/>
          <w:numId w:val="32"/>
        </w:numPr>
        <w:spacing w:line="324" w:lineRule="auto"/>
        <w:contextualSpacing/>
        <w:rPr>
          <w:sz w:val="22"/>
          <w:szCs w:val="22"/>
          <w:lang w:val="fr-CH"/>
        </w:rPr>
      </w:pPr>
      <w:r w:rsidRPr="00612722">
        <w:rPr>
          <w:sz w:val="22"/>
          <w:szCs w:val="22"/>
          <w:lang w:val="fr-CH"/>
        </w:rPr>
        <w:t>Obligation de documentation (art. 113 OIMF)</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r w:rsidRPr="00612722">
        <w:rPr>
          <w:sz w:val="22"/>
          <w:szCs w:val="22"/>
          <w:lang w:val="fr-CH"/>
        </w:rPr>
        <w:t xml:space="preserve">La LIMF exige l’examen du respect des dispositions par la société d’audit dans le cadre de la révision légale (contrôle ordinaire / contrôle restreint). </w:t>
      </w:r>
    </w:p>
    <w:p w:rsidR="00612722" w:rsidRDefault="00612722">
      <w:pPr>
        <w:jc w:val="left"/>
        <w:rPr>
          <w:sz w:val="22"/>
          <w:szCs w:val="22"/>
          <w:lang w:val="fr-CH"/>
        </w:rPr>
      </w:pPr>
      <w:r>
        <w:rPr>
          <w:sz w:val="22"/>
          <w:szCs w:val="22"/>
          <w:lang w:val="fr-CH"/>
        </w:rPr>
        <w:br w:type="page"/>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r w:rsidRPr="00612722">
        <w:rPr>
          <w:b/>
          <w:bCs/>
          <w:sz w:val="22"/>
          <w:szCs w:val="22"/>
          <w:lang w:val="fr-CH"/>
        </w:rPr>
        <w:t xml:space="preserve">Mesures à prendre dans votre entreprise </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r w:rsidRPr="00612722">
        <w:rPr>
          <w:sz w:val="22"/>
          <w:szCs w:val="22"/>
          <w:lang w:val="fr-CH"/>
        </w:rPr>
        <w:t xml:space="preserve">A notre connaissance, votre société n’a pas recours à des dérivés. Dans ce cas, il est possible de se libérer des obligations susmentionnées. A cet effet, il faut une décision écrite de l’organe de surveillance (alternativement la direction). Cette dernière pourrait être formulée pour une SA comme suit: </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i/>
          <w:iCs/>
          <w:sz w:val="22"/>
          <w:szCs w:val="22"/>
          <w:lang w:val="fr-CH"/>
        </w:rPr>
      </w:pPr>
      <w:r w:rsidRPr="00612722">
        <w:rPr>
          <w:i/>
          <w:iCs/>
          <w:sz w:val="22"/>
          <w:szCs w:val="22"/>
          <w:lang w:val="fr-CH"/>
        </w:rPr>
        <w:t>Loi sur l'infrastructure des marchés financiers, LIMF</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i/>
          <w:iCs/>
          <w:sz w:val="22"/>
          <w:szCs w:val="22"/>
          <w:lang w:val="fr-CH"/>
        </w:rPr>
      </w:pPr>
      <w:r w:rsidRPr="00612722">
        <w:rPr>
          <w:i/>
          <w:iCs/>
          <w:sz w:val="22"/>
          <w:szCs w:val="22"/>
          <w:lang w:val="fr-CH"/>
        </w:rPr>
        <w:t>La société ABC SA n’est pas réputée « contreparties financières » au sens de l’art. 93 al. 2 LIMF et, est ainsi réputée « contreparties non financières » au sens de l’art. 93 al. 3 LIMF.</w:t>
      </w:r>
    </w:p>
    <w:p w:rsidR="00612722" w:rsidRPr="00612722" w:rsidRDefault="00612722" w:rsidP="00612722">
      <w:pPr>
        <w:spacing w:line="324" w:lineRule="auto"/>
        <w:contextualSpacing/>
        <w:rPr>
          <w:i/>
          <w:iCs/>
          <w:sz w:val="22"/>
          <w:szCs w:val="22"/>
          <w:lang w:val="fr-CH"/>
        </w:rPr>
      </w:pPr>
    </w:p>
    <w:p w:rsidR="00612722" w:rsidRPr="00612722" w:rsidRDefault="00612722" w:rsidP="00612722">
      <w:pPr>
        <w:spacing w:line="324" w:lineRule="auto"/>
        <w:contextualSpacing/>
        <w:rPr>
          <w:i/>
          <w:iCs/>
          <w:sz w:val="22"/>
          <w:szCs w:val="22"/>
          <w:lang w:val="fr-CH"/>
        </w:rPr>
      </w:pPr>
      <w:r w:rsidRPr="00612722">
        <w:rPr>
          <w:i/>
          <w:iCs/>
          <w:sz w:val="22"/>
          <w:szCs w:val="22"/>
          <w:lang w:val="fr-CH"/>
        </w:rPr>
        <w:t xml:space="preserve">Le conseil d’administration note qu’au sens de l’article 113al. 2 OIMF, la société n’a pas négocié au cours de l’exercice 2017 et jusqu’à cette décision des dérivés et ne compte pas à l’avenir négocier des dérivés. Par conséquent, elle renonce à régler par écrit les processus selon art. 113 al. 1 OIMF. </w:t>
      </w:r>
    </w:p>
    <w:p w:rsidR="00612722" w:rsidRPr="00612722" w:rsidRDefault="00612722" w:rsidP="00612722">
      <w:pPr>
        <w:spacing w:line="324" w:lineRule="auto"/>
        <w:contextualSpacing/>
        <w:rPr>
          <w:i/>
          <w:iCs/>
          <w:sz w:val="22"/>
          <w:szCs w:val="22"/>
          <w:lang w:val="fr-CH"/>
        </w:rPr>
      </w:pPr>
    </w:p>
    <w:p w:rsidR="00612722" w:rsidRPr="00612722" w:rsidRDefault="00612722" w:rsidP="00612722">
      <w:pPr>
        <w:spacing w:line="324" w:lineRule="auto"/>
        <w:contextualSpacing/>
        <w:rPr>
          <w:i/>
          <w:iCs/>
          <w:sz w:val="22"/>
          <w:szCs w:val="22"/>
          <w:lang w:val="fr-CH"/>
        </w:rPr>
      </w:pPr>
      <w:r w:rsidRPr="00612722">
        <w:rPr>
          <w:i/>
          <w:iCs/>
          <w:sz w:val="22"/>
          <w:szCs w:val="22"/>
          <w:lang w:val="fr-CH"/>
        </w:rPr>
        <w:t>S’il était envisagé à l’avenir de négocier des dérivés, le conseil d’administration doit respecter et se conformer aux dispositions sur la documentation sur les dérivés selon art. 113 OIMF.</w:t>
      </w:r>
    </w:p>
    <w:p w:rsidR="00612722" w:rsidRPr="00612722" w:rsidRDefault="00612722" w:rsidP="00612722">
      <w:pPr>
        <w:spacing w:line="324" w:lineRule="auto"/>
        <w:contextualSpacing/>
        <w:rPr>
          <w:i/>
          <w:iCs/>
          <w:sz w:val="22"/>
          <w:szCs w:val="22"/>
          <w:lang w:val="fr-CH"/>
        </w:rPr>
      </w:pPr>
    </w:p>
    <w:p w:rsidR="00612722" w:rsidRPr="00612722" w:rsidRDefault="00612722" w:rsidP="00612722">
      <w:pPr>
        <w:spacing w:line="324" w:lineRule="auto"/>
        <w:contextualSpacing/>
        <w:rPr>
          <w:i/>
          <w:iCs/>
          <w:sz w:val="22"/>
          <w:szCs w:val="22"/>
          <w:lang w:val="fr-CH"/>
        </w:rPr>
      </w:pPr>
      <w:r w:rsidRPr="00612722">
        <w:rPr>
          <w:i/>
          <w:iCs/>
          <w:sz w:val="22"/>
          <w:szCs w:val="22"/>
          <w:lang w:val="fr-CH"/>
        </w:rPr>
        <w:t xml:space="preserve">Le conseil d’administration veille à ce que le management soit informé de la présente décision. </w:t>
      </w:r>
    </w:p>
    <w:p w:rsidR="00612722" w:rsidRPr="00612722" w:rsidRDefault="00612722" w:rsidP="00612722">
      <w:pPr>
        <w:spacing w:line="324" w:lineRule="auto"/>
        <w:contextualSpacing/>
        <w:rPr>
          <w:i/>
          <w:iCs/>
          <w:sz w:val="22"/>
          <w:szCs w:val="22"/>
          <w:lang w:val="fr-CH"/>
        </w:rPr>
      </w:pPr>
    </w:p>
    <w:p w:rsidR="00612722" w:rsidRPr="00612722" w:rsidRDefault="00612722" w:rsidP="00612722">
      <w:pPr>
        <w:spacing w:line="324" w:lineRule="auto"/>
        <w:contextualSpacing/>
        <w:rPr>
          <w:sz w:val="22"/>
          <w:szCs w:val="22"/>
          <w:lang w:val="fr-CH"/>
        </w:rPr>
      </w:pPr>
      <w:r w:rsidRPr="00612722">
        <w:rPr>
          <w:sz w:val="22"/>
          <w:szCs w:val="22"/>
          <w:lang w:val="fr-CH"/>
        </w:rPr>
        <w:t>Nous vous prions de prendre une telle décision (si applicable) et de la documenter sous forme d’un procès-verbal. Nous vous saurions gré de nous faire parvenir ensuite une copie signée du procès-verbal.</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r w:rsidRPr="00612722">
        <w:rPr>
          <w:sz w:val="22"/>
          <w:szCs w:val="22"/>
          <w:lang w:val="fr-CH"/>
        </w:rPr>
        <w:t>Nous vous remercions par avance et nous nous tenons volontiers à votre disposition en cas de questions.</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r w:rsidRPr="00612722">
        <w:rPr>
          <w:sz w:val="22"/>
          <w:szCs w:val="22"/>
          <w:lang w:val="fr-CH"/>
        </w:rPr>
        <w:t>Nous vous présentons, Monsieur, Madame, nos meilleures salutations.</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r w:rsidRPr="00612722">
        <w:rPr>
          <w:sz w:val="22"/>
          <w:szCs w:val="22"/>
          <w:lang w:val="fr-CH"/>
        </w:rPr>
        <w:t xml:space="preserve">Nom du réviseur responsable </w:t>
      </w:r>
    </w:p>
    <w:p w:rsidR="00612722" w:rsidRPr="00612722" w:rsidRDefault="00612722" w:rsidP="00612722">
      <w:pPr>
        <w:spacing w:line="324" w:lineRule="auto"/>
        <w:contextualSpacing/>
        <w:rPr>
          <w:sz w:val="22"/>
          <w:szCs w:val="22"/>
          <w:lang w:val="fr-CH"/>
        </w:rPr>
      </w:pPr>
      <w:r w:rsidRPr="00612722">
        <w:rPr>
          <w:sz w:val="22"/>
          <w:szCs w:val="22"/>
          <w:lang w:val="fr-CH"/>
        </w:rPr>
        <w:t xml:space="preserve">Expert-comptable diplômé </w:t>
      </w:r>
    </w:p>
    <w:p w:rsidR="00612722" w:rsidRPr="00612722" w:rsidRDefault="00612722" w:rsidP="00612722">
      <w:pPr>
        <w:spacing w:line="324" w:lineRule="auto"/>
        <w:contextualSpacing/>
        <w:rPr>
          <w:sz w:val="22"/>
          <w:szCs w:val="22"/>
          <w:lang w:val="fr-CH"/>
        </w:rPr>
      </w:pPr>
      <w:r w:rsidRPr="00612722">
        <w:rPr>
          <w:sz w:val="22"/>
          <w:szCs w:val="22"/>
          <w:lang w:val="fr-CH"/>
        </w:rPr>
        <w:t>Expert-réviseur agréé</w:t>
      </w:r>
    </w:p>
    <w:p w:rsidR="00612722" w:rsidRPr="00612722" w:rsidRDefault="00612722" w:rsidP="00612722">
      <w:pPr>
        <w:spacing w:line="324" w:lineRule="auto"/>
        <w:contextualSpacing/>
        <w:rPr>
          <w:sz w:val="22"/>
          <w:szCs w:val="22"/>
          <w:lang w:val="fr-CH"/>
        </w:rPr>
      </w:pPr>
    </w:p>
    <w:p w:rsidR="00612722" w:rsidRPr="00612722" w:rsidRDefault="00612722" w:rsidP="00612722">
      <w:pPr>
        <w:spacing w:line="324" w:lineRule="auto"/>
        <w:contextualSpacing/>
        <w:rPr>
          <w:sz w:val="22"/>
          <w:szCs w:val="22"/>
          <w:lang w:val="fr-CH"/>
        </w:rPr>
      </w:pPr>
    </w:p>
    <w:p w:rsidR="00E826CF" w:rsidRPr="00612722" w:rsidRDefault="00E826CF" w:rsidP="00612722">
      <w:pPr>
        <w:spacing w:line="324" w:lineRule="auto"/>
        <w:contextualSpacing/>
        <w:rPr>
          <w:sz w:val="22"/>
          <w:szCs w:val="22"/>
          <w:lang w:val="fr-FR"/>
        </w:rPr>
      </w:pPr>
    </w:p>
    <w:sectPr w:rsidR="00E826CF" w:rsidRPr="00612722" w:rsidSect="002B604B">
      <w:headerReference w:type="default" r:id="rId8"/>
      <w:footerReference w:type="default" r:id="rId9"/>
      <w:pgSz w:w="11907" w:h="16840"/>
      <w:pgMar w:top="1449" w:right="1134" w:bottom="1134" w:left="1418" w:header="567"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94" w:rsidRDefault="005E2E94">
      <w:r>
        <w:separator/>
      </w:r>
    </w:p>
  </w:endnote>
  <w:endnote w:type="continuationSeparator" w:id="0">
    <w:p w:rsidR="005E2E94" w:rsidRDefault="005E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altName w:val="Frutiger 45 Light"/>
    <w:panose1 w:val="00000000000000000000"/>
    <w:charset w:val="4D"/>
    <w:family w:val="auto"/>
    <w:notTrueType/>
    <w:pitch w:val="default"/>
    <w:sig w:usb0="00000003" w:usb1="00000000" w:usb2="00000000" w:usb3="00000000" w:csb0="00000001" w:csb1="00000000"/>
  </w:font>
  <w:font w:name="Frutiger-Bold">
    <w:altName w:val="Frutiger 55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161"/>
      <w:gridCol w:w="2194"/>
    </w:tblGrid>
    <w:tr w:rsidR="000A7994" w:rsidTr="00C06F70">
      <w:tc>
        <w:tcPr>
          <w:tcW w:w="7268" w:type="dxa"/>
        </w:tcPr>
        <w:p w:rsidR="000A7994" w:rsidRDefault="00E826CF" w:rsidP="00975A9E">
          <w:pPr>
            <w:pStyle w:val="Fuzeile"/>
            <w:jc w:val="left"/>
            <w:rPr>
              <w:lang w:val="de-DE"/>
            </w:rPr>
          </w:pPr>
          <w:r>
            <w:rPr>
              <w:rFonts w:cs="Arial"/>
              <w:color w:val="5A5A5A"/>
              <w:sz w:val="16"/>
              <w:szCs w:val="16"/>
              <w:lang w:val="en-US"/>
            </w:rPr>
            <w:t>SIFER – Schweizerisches Institut für die eingeschränkte Revision</w:t>
          </w:r>
        </w:p>
      </w:tc>
      <w:tc>
        <w:tcPr>
          <w:tcW w:w="2227" w:type="dxa"/>
        </w:tcPr>
        <w:p w:rsidR="000A7994" w:rsidRDefault="000A7994" w:rsidP="00383EAE">
          <w:pPr>
            <w:pStyle w:val="Fuzeile"/>
            <w:jc w:val="right"/>
            <w:rPr>
              <w:lang w:val="de-DE"/>
            </w:rPr>
          </w:pPr>
          <w:r>
            <w:rPr>
              <w:rStyle w:val="Seitenzahl"/>
              <w:sz w:val="16"/>
            </w:rPr>
            <w:fldChar w:fldCharType="begin"/>
          </w:r>
          <w:r>
            <w:rPr>
              <w:rStyle w:val="Seitenzahl"/>
              <w:sz w:val="16"/>
            </w:rPr>
            <w:instrText xml:space="preserve"> PAGE </w:instrText>
          </w:r>
          <w:r>
            <w:rPr>
              <w:rStyle w:val="Seitenzahl"/>
              <w:sz w:val="16"/>
            </w:rPr>
            <w:fldChar w:fldCharType="separate"/>
          </w:r>
          <w:r w:rsidR="00490D5D">
            <w:rPr>
              <w:rStyle w:val="Seitenzahl"/>
              <w:noProof/>
              <w:sz w:val="16"/>
            </w:rPr>
            <w:t>2</w:t>
          </w:r>
          <w:r>
            <w:rPr>
              <w:rStyle w:val="Seitenzahl"/>
              <w:sz w:val="16"/>
            </w:rPr>
            <w:fldChar w:fldCharType="end"/>
          </w:r>
          <w:r w:rsidR="00383EAE">
            <w:rPr>
              <w:rStyle w:val="Seitenzahl"/>
              <w:sz w:val="16"/>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490D5D">
            <w:rPr>
              <w:rStyle w:val="Seitenzahl"/>
              <w:noProof/>
              <w:sz w:val="16"/>
            </w:rPr>
            <w:t>2</w:t>
          </w:r>
          <w:r>
            <w:rPr>
              <w:rStyle w:val="Seitenzahl"/>
              <w:sz w:val="16"/>
            </w:rPr>
            <w:fldChar w:fldCharType="end"/>
          </w:r>
        </w:p>
      </w:tc>
    </w:tr>
  </w:tbl>
  <w:p w:rsidR="00C06F70" w:rsidRDefault="00C06F70">
    <w:pPr>
      <w:pStyle w:val="Fuzeile"/>
      <w:jc w:val="left"/>
    </w:pP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94" w:rsidRDefault="005E2E94">
      <w:r>
        <w:separator/>
      </w:r>
    </w:p>
  </w:footnote>
  <w:footnote w:type="continuationSeparator" w:id="0">
    <w:p w:rsidR="005E2E94" w:rsidRDefault="005E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F70" w:rsidRPr="000A7994" w:rsidRDefault="00A47264" w:rsidP="000A7994">
    <w:pPr>
      <w:pStyle w:val="Kopfzeile"/>
      <w:tabs>
        <w:tab w:val="clear" w:pos="9072"/>
        <w:tab w:val="right" w:pos="9498"/>
      </w:tabs>
      <w:rPr>
        <w:sz w:val="16"/>
      </w:rPr>
    </w:pPr>
    <w:r>
      <w:rPr>
        <w:sz w:val="16"/>
      </w:rPr>
      <w:t>Bern,</w:t>
    </w:r>
    <w:r w:rsidR="000E19DF">
      <w:rPr>
        <w:sz w:val="16"/>
      </w:rPr>
      <w:t xml:space="preserve"> </w:t>
    </w:r>
    <w:r w:rsidR="00E826CF">
      <w:rPr>
        <w:sz w:val="16"/>
      </w:rPr>
      <w:t>16. April 2018</w:t>
    </w:r>
    <w:r w:rsidR="006E1857">
      <w:rPr>
        <w:sz w:val="16"/>
      </w:rPr>
      <w:tab/>
    </w:r>
    <w:r w:rsidR="006E1857">
      <w:rPr>
        <w:sz w:val="16"/>
      </w:rPr>
      <w:tab/>
    </w:r>
    <w:r w:rsidR="006E1857">
      <w:rPr>
        <w:noProof/>
        <w:snapToGrid/>
        <w:sz w:val="16"/>
        <w:lang w:eastAsia="de-CH"/>
      </w:rPr>
      <w:drawing>
        <wp:inline distT="0" distB="0" distL="0" distR="0" wp14:anchorId="55C391B8" wp14:editId="4ABA10D7">
          <wp:extent cx="2386584" cy="48463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U-SUISSE-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6584" cy="4846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555C4D"/>
    <w:multiLevelType w:val="hybridMultilevel"/>
    <w:tmpl w:val="859AEB34"/>
    <w:lvl w:ilvl="0" w:tplc="04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53628E4"/>
    <w:multiLevelType w:val="hybridMultilevel"/>
    <w:tmpl w:val="8BB8885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3B648C"/>
    <w:multiLevelType w:val="hybridMultilevel"/>
    <w:tmpl w:val="41F83E1A"/>
    <w:lvl w:ilvl="0" w:tplc="04070003">
      <w:start w:val="1"/>
      <w:numFmt w:val="bullet"/>
      <w:lvlText w:val="o"/>
      <w:lvlJc w:val="left"/>
      <w:pPr>
        <w:ind w:left="862" w:hanging="360"/>
      </w:pPr>
      <w:rPr>
        <w:rFonts w:ascii="Courier New" w:hAnsi="Courier New" w:cs="Courier New"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14" w15:restartNumberingAfterBreak="0">
    <w:nsid w:val="0DE53DA2"/>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11F87FD7"/>
    <w:multiLevelType w:val="multilevel"/>
    <w:tmpl w:val="E56E4BE2"/>
    <w:lvl w:ilvl="0">
      <w:start w:val="1"/>
      <w:numFmt w:val="decimal"/>
      <w:lvlText w:val="%1."/>
      <w:lvlJc w:val="left"/>
      <w:pPr>
        <w:ind w:left="720" w:hanging="360"/>
      </w:p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56E4838"/>
    <w:multiLevelType w:val="hybridMultilevel"/>
    <w:tmpl w:val="33CEC98E"/>
    <w:lvl w:ilvl="0" w:tplc="2368B50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B8900E5"/>
    <w:multiLevelType w:val="hybridMultilevel"/>
    <w:tmpl w:val="6638D10C"/>
    <w:lvl w:ilvl="0" w:tplc="089C94BC">
      <w:start w:val="1"/>
      <w:numFmt w:val="lowerLetter"/>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8" w15:restartNumberingAfterBreak="0">
    <w:nsid w:val="20CE3D66"/>
    <w:multiLevelType w:val="hybridMultilevel"/>
    <w:tmpl w:val="8414549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4267F8A"/>
    <w:multiLevelType w:val="hybridMultilevel"/>
    <w:tmpl w:val="30F46AAA"/>
    <w:lvl w:ilvl="0" w:tplc="4162B7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D6012A"/>
    <w:multiLevelType w:val="hybridMultilevel"/>
    <w:tmpl w:val="A6BCF5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BE54AD"/>
    <w:multiLevelType w:val="hybridMultilevel"/>
    <w:tmpl w:val="0104386E"/>
    <w:lvl w:ilvl="0" w:tplc="EBB40312">
      <w:start w:val="1"/>
      <w:numFmt w:val="decimal"/>
      <w:lvlText w:val="%1."/>
      <w:lvlJc w:val="left"/>
      <w:pPr>
        <w:ind w:left="720" w:hanging="360"/>
      </w:pPr>
      <w:rPr>
        <w:rFonts w:ascii="Arial" w:hAnsi="Arial" w:cs="Arial"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70F3CFE"/>
    <w:multiLevelType w:val="hybridMultilevel"/>
    <w:tmpl w:val="CD1C2C1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03E2E84"/>
    <w:multiLevelType w:val="hybridMultilevel"/>
    <w:tmpl w:val="798EC69E"/>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A757A33"/>
    <w:multiLevelType w:val="hybridMultilevel"/>
    <w:tmpl w:val="C05629B0"/>
    <w:lvl w:ilvl="0" w:tplc="04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85A1124"/>
    <w:multiLevelType w:val="hybridMultilevel"/>
    <w:tmpl w:val="7534B3A0"/>
    <w:lvl w:ilvl="0" w:tplc="16D0B014">
      <w:start w:val="24"/>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6" w15:restartNumberingAfterBreak="0">
    <w:nsid w:val="68764F1C"/>
    <w:multiLevelType w:val="hybridMultilevel"/>
    <w:tmpl w:val="9790EE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FEE5310"/>
    <w:multiLevelType w:val="hybridMultilevel"/>
    <w:tmpl w:val="CE38E664"/>
    <w:lvl w:ilvl="0" w:tplc="2B387EA4">
      <w:start w:val="1"/>
      <w:numFmt w:val="bullet"/>
      <w:lvlText w:val="-"/>
      <w:lvlJc w:val="left"/>
      <w:pPr>
        <w:ind w:left="1080" w:hanging="360"/>
      </w:pPr>
      <w:rPr>
        <w:rFonts w:ascii="Calibri" w:eastAsia="Calibri" w:hAnsi="Calibri" w:cs="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8" w15:restartNumberingAfterBreak="0">
    <w:nsid w:val="70C515DC"/>
    <w:multiLevelType w:val="hybridMultilevel"/>
    <w:tmpl w:val="C10A5850"/>
    <w:lvl w:ilvl="0" w:tplc="2368B50C">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7ED1C9B"/>
    <w:multiLevelType w:val="multilevel"/>
    <w:tmpl w:val="3E48E536"/>
    <w:name w:val="PwCBulletListTemplate"/>
    <w:lvl w:ilvl="0">
      <w:start w:val="1"/>
      <w:numFmt w:val="decimal"/>
      <w:lvlText w:val="%1."/>
      <w:lvlJc w:val="left"/>
      <w:pPr>
        <w:tabs>
          <w:tab w:val="num" w:pos="360"/>
        </w:tabs>
        <w:ind w:left="360" w:hanging="360"/>
      </w:pPr>
      <w:rPr>
        <w:rFonts w:hint="default"/>
        <w:b/>
        <w:sz w:val="18"/>
      </w:rPr>
    </w:lvl>
    <w:lvl w:ilvl="1">
      <w:start w:val="1"/>
      <w:numFmt w:val="bullet"/>
      <w:lvlText w:val="§"/>
      <w:lvlJc w:val="left"/>
      <w:pPr>
        <w:tabs>
          <w:tab w:val="num" w:pos="1191"/>
        </w:tabs>
        <w:ind w:left="1191" w:hanging="595"/>
      </w:pPr>
      <w:rPr>
        <w:rFonts w:ascii="Wingdings" w:hAnsi="Wingdings"/>
        <w:sz w:val="18"/>
      </w:rPr>
    </w:lvl>
    <w:lvl w:ilvl="2">
      <w:start w:val="1"/>
      <w:numFmt w:val="bullet"/>
      <w:lvlText w:val="§"/>
      <w:lvlJc w:val="left"/>
      <w:pPr>
        <w:tabs>
          <w:tab w:val="num" w:pos="1786"/>
        </w:tabs>
        <w:ind w:left="1786" w:hanging="595"/>
      </w:pPr>
      <w:rPr>
        <w:rFonts w:ascii="Wingdings" w:hAnsi="Wingdings" w:hint="default"/>
        <w:sz w:val="18"/>
      </w:rPr>
    </w:lvl>
    <w:lvl w:ilvl="3">
      <w:start w:val="1"/>
      <w:numFmt w:val="bullet"/>
      <w:lvlText w:val="§"/>
      <w:lvlJc w:val="left"/>
      <w:pPr>
        <w:tabs>
          <w:tab w:val="num" w:pos="2381"/>
        </w:tabs>
        <w:ind w:left="2381" w:hanging="595"/>
      </w:pPr>
      <w:rPr>
        <w:rFonts w:ascii="Wingdings" w:hAnsi="Wingdings" w:hint="default"/>
        <w:sz w:val="18"/>
      </w:rPr>
    </w:lvl>
    <w:lvl w:ilvl="4">
      <w:start w:val="1"/>
      <w:numFmt w:val="bullet"/>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30" w15:restartNumberingAfterBreak="0">
    <w:nsid w:val="7EF379C2"/>
    <w:multiLevelType w:val="hybridMultilevel"/>
    <w:tmpl w:val="CB1C72C4"/>
    <w:lvl w:ilvl="0" w:tplc="08070001">
      <w:start w:val="1"/>
      <w:numFmt w:val="bullet"/>
      <w:lvlText w:val=""/>
      <w:lvlJc w:val="left"/>
      <w:pPr>
        <w:tabs>
          <w:tab w:val="num" w:pos="363"/>
        </w:tabs>
        <w:ind w:left="363" w:hanging="360"/>
      </w:pPr>
      <w:rPr>
        <w:rFonts w:ascii="Symbol" w:hAnsi="Symbol" w:hint="default"/>
      </w:rPr>
    </w:lvl>
    <w:lvl w:ilvl="1" w:tplc="08070003">
      <w:start w:val="1"/>
      <w:numFmt w:val="bullet"/>
      <w:lvlText w:val="o"/>
      <w:lvlJc w:val="left"/>
      <w:pPr>
        <w:tabs>
          <w:tab w:val="num" w:pos="1083"/>
        </w:tabs>
        <w:ind w:left="1083" w:hanging="360"/>
      </w:pPr>
      <w:rPr>
        <w:rFonts w:ascii="Courier New" w:hAnsi="Courier New" w:cs="Courier New" w:hint="default"/>
      </w:rPr>
    </w:lvl>
    <w:lvl w:ilvl="2" w:tplc="08070005" w:tentative="1">
      <w:start w:val="1"/>
      <w:numFmt w:val="bullet"/>
      <w:lvlText w:val=""/>
      <w:lvlJc w:val="left"/>
      <w:pPr>
        <w:tabs>
          <w:tab w:val="num" w:pos="1803"/>
        </w:tabs>
        <w:ind w:left="1803" w:hanging="360"/>
      </w:pPr>
      <w:rPr>
        <w:rFonts w:ascii="Wingdings" w:hAnsi="Wingdings" w:hint="default"/>
      </w:rPr>
    </w:lvl>
    <w:lvl w:ilvl="3" w:tplc="08070001" w:tentative="1">
      <w:start w:val="1"/>
      <w:numFmt w:val="bullet"/>
      <w:lvlText w:val=""/>
      <w:lvlJc w:val="left"/>
      <w:pPr>
        <w:tabs>
          <w:tab w:val="num" w:pos="2523"/>
        </w:tabs>
        <w:ind w:left="2523" w:hanging="360"/>
      </w:pPr>
      <w:rPr>
        <w:rFonts w:ascii="Symbol" w:hAnsi="Symbol" w:hint="default"/>
      </w:rPr>
    </w:lvl>
    <w:lvl w:ilvl="4" w:tplc="08070003" w:tentative="1">
      <w:start w:val="1"/>
      <w:numFmt w:val="bullet"/>
      <w:lvlText w:val="o"/>
      <w:lvlJc w:val="left"/>
      <w:pPr>
        <w:tabs>
          <w:tab w:val="num" w:pos="3243"/>
        </w:tabs>
        <w:ind w:left="3243" w:hanging="360"/>
      </w:pPr>
      <w:rPr>
        <w:rFonts w:ascii="Courier New" w:hAnsi="Courier New" w:cs="Courier New" w:hint="default"/>
      </w:rPr>
    </w:lvl>
    <w:lvl w:ilvl="5" w:tplc="08070005" w:tentative="1">
      <w:start w:val="1"/>
      <w:numFmt w:val="bullet"/>
      <w:lvlText w:val=""/>
      <w:lvlJc w:val="left"/>
      <w:pPr>
        <w:tabs>
          <w:tab w:val="num" w:pos="3963"/>
        </w:tabs>
        <w:ind w:left="3963" w:hanging="360"/>
      </w:pPr>
      <w:rPr>
        <w:rFonts w:ascii="Wingdings" w:hAnsi="Wingdings" w:hint="default"/>
      </w:rPr>
    </w:lvl>
    <w:lvl w:ilvl="6" w:tplc="08070001" w:tentative="1">
      <w:start w:val="1"/>
      <w:numFmt w:val="bullet"/>
      <w:lvlText w:val=""/>
      <w:lvlJc w:val="left"/>
      <w:pPr>
        <w:tabs>
          <w:tab w:val="num" w:pos="4683"/>
        </w:tabs>
        <w:ind w:left="4683" w:hanging="360"/>
      </w:pPr>
      <w:rPr>
        <w:rFonts w:ascii="Symbol" w:hAnsi="Symbol" w:hint="default"/>
      </w:rPr>
    </w:lvl>
    <w:lvl w:ilvl="7" w:tplc="08070003" w:tentative="1">
      <w:start w:val="1"/>
      <w:numFmt w:val="bullet"/>
      <w:lvlText w:val="o"/>
      <w:lvlJc w:val="left"/>
      <w:pPr>
        <w:tabs>
          <w:tab w:val="num" w:pos="5403"/>
        </w:tabs>
        <w:ind w:left="5403" w:hanging="360"/>
      </w:pPr>
      <w:rPr>
        <w:rFonts w:ascii="Courier New" w:hAnsi="Courier New" w:cs="Courier New" w:hint="default"/>
      </w:rPr>
    </w:lvl>
    <w:lvl w:ilvl="8" w:tplc="08070005" w:tentative="1">
      <w:start w:val="1"/>
      <w:numFmt w:val="bullet"/>
      <w:lvlText w:val=""/>
      <w:lvlJc w:val="left"/>
      <w:pPr>
        <w:tabs>
          <w:tab w:val="num" w:pos="6123"/>
        </w:tabs>
        <w:ind w:left="6123" w:hanging="360"/>
      </w:pPr>
      <w:rPr>
        <w:rFonts w:ascii="Wingdings" w:hAnsi="Wingdings" w:hint="default"/>
      </w:rPr>
    </w:lvl>
  </w:abstractNum>
  <w:abstractNum w:abstractNumId="31" w15:restartNumberingAfterBreak="0">
    <w:nsid w:val="7F150CB0"/>
    <w:multiLevelType w:val="hybridMultilevel"/>
    <w:tmpl w:val="E6749F10"/>
    <w:lvl w:ilvl="0" w:tplc="4162B770">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31"/>
  </w:num>
  <w:num w:numId="14">
    <w:abstractNumId w:val="20"/>
  </w:num>
  <w:num w:numId="15">
    <w:abstractNumId w:val="26"/>
  </w:num>
  <w:num w:numId="16">
    <w:abstractNumId w:val="19"/>
  </w:num>
  <w:num w:numId="17">
    <w:abstractNumId w:val="27"/>
  </w:num>
  <w:num w:numId="18">
    <w:abstractNumId w:val="17"/>
  </w:num>
  <w:num w:numId="19">
    <w:abstractNumId w:val="16"/>
  </w:num>
  <w:num w:numId="20">
    <w:abstractNumId w:val="28"/>
  </w:num>
  <w:num w:numId="21">
    <w:abstractNumId w:val="25"/>
  </w:num>
  <w:num w:numId="22">
    <w:abstractNumId w:val="12"/>
  </w:num>
  <w:num w:numId="23">
    <w:abstractNumId w:val="15"/>
  </w:num>
  <w:num w:numId="24">
    <w:abstractNumId w:val="22"/>
  </w:num>
  <w:num w:numId="25">
    <w:abstractNumId w:val="24"/>
  </w:num>
  <w:num w:numId="26">
    <w:abstractNumId w:val="18"/>
  </w:num>
  <w:num w:numId="27">
    <w:abstractNumId w:val="13"/>
  </w:num>
  <w:num w:numId="28">
    <w:abstractNumId w:val="11"/>
  </w:num>
  <w:num w:numId="29">
    <w:abstractNumId w:val="29"/>
  </w:num>
  <w:num w:numId="30">
    <w:abstractNumId w:val="30"/>
  </w:num>
  <w:num w:numId="31">
    <w:abstractNumId w:val="2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55DF2"/>
    <w:rsid w:val="000616A8"/>
    <w:rsid w:val="000A0C63"/>
    <w:rsid w:val="000A7994"/>
    <w:rsid w:val="000E19DF"/>
    <w:rsid w:val="00133E17"/>
    <w:rsid w:val="00143B2C"/>
    <w:rsid w:val="001710C5"/>
    <w:rsid w:val="001778BF"/>
    <w:rsid w:val="001A6D73"/>
    <w:rsid w:val="001C5E24"/>
    <w:rsid w:val="002161FD"/>
    <w:rsid w:val="002562D7"/>
    <w:rsid w:val="002664C1"/>
    <w:rsid w:val="00287EFF"/>
    <w:rsid w:val="002A6649"/>
    <w:rsid w:val="002A6B52"/>
    <w:rsid w:val="002B604B"/>
    <w:rsid w:val="002C79F8"/>
    <w:rsid w:val="002F5A89"/>
    <w:rsid w:val="002F5EA0"/>
    <w:rsid w:val="003103C7"/>
    <w:rsid w:val="003148E1"/>
    <w:rsid w:val="00373E5D"/>
    <w:rsid w:val="00383EAE"/>
    <w:rsid w:val="003C16BE"/>
    <w:rsid w:val="003D2EEC"/>
    <w:rsid w:val="003E1FF5"/>
    <w:rsid w:val="004237AA"/>
    <w:rsid w:val="00451143"/>
    <w:rsid w:val="004860D6"/>
    <w:rsid w:val="00490D5D"/>
    <w:rsid w:val="00495296"/>
    <w:rsid w:val="004B064B"/>
    <w:rsid w:val="004B495E"/>
    <w:rsid w:val="004C088A"/>
    <w:rsid w:val="004D67B5"/>
    <w:rsid w:val="004E0022"/>
    <w:rsid w:val="005119E2"/>
    <w:rsid w:val="00512D12"/>
    <w:rsid w:val="00573957"/>
    <w:rsid w:val="00587C33"/>
    <w:rsid w:val="005B65B9"/>
    <w:rsid w:val="005C1645"/>
    <w:rsid w:val="005E2E94"/>
    <w:rsid w:val="005E4283"/>
    <w:rsid w:val="005F039F"/>
    <w:rsid w:val="00602493"/>
    <w:rsid w:val="00612722"/>
    <w:rsid w:val="006153AD"/>
    <w:rsid w:val="00633021"/>
    <w:rsid w:val="0067176A"/>
    <w:rsid w:val="00675162"/>
    <w:rsid w:val="006802CD"/>
    <w:rsid w:val="00691DAA"/>
    <w:rsid w:val="006A3A55"/>
    <w:rsid w:val="006C62D2"/>
    <w:rsid w:val="006E1857"/>
    <w:rsid w:val="007765D8"/>
    <w:rsid w:val="00780530"/>
    <w:rsid w:val="00787B98"/>
    <w:rsid w:val="00793F1A"/>
    <w:rsid w:val="00797C9C"/>
    <w:rsid w:val="007B1B2A"/>
    <w:rsid w:val="007B70EA"/>
    <w:rsid w:val="007B710D"/>
    <w:rsid w:val="007E3906"/>
    <w:rsid w:val="007F4FED"/>
    <w:rsid w:val="00802B8C"/>
    <w:rsid w:val="00810A6C"/>
    <w:rsid w:val="00816186"/>
    <w:rsid w:val="008561D4"/>
    <w:rsid w:val="00861575"/>
    <w:rsid w:val="008A3047"/>
    <w:rsid w:val="008B60C6"/>
    <w:rsid w:val="008C009E"/>
    <w:rsid w:val="008D7E7D"/>
    <w:rsid w:val="0092237A"/>
    <w:rsid w:val="00975A9E"/>
    <w:rsid w:val="009845D5"/>
    <w:rsid w:val="009B0B71"/>
    <w:rsid w:val="009C4AFA"/>
    <w:rsid w:val="009E2033"/>
    <w:rsid w:val="009E4337"/>
    <w:rsid w:val="009F4E23"/>
    <w:rsid w:val="00A43D20"/>
    <w:rsid w:val="00A45B36"/>
    <w:rsid w:val="00A47264"/>
    <w:rsid w:val="00A55AA7"/>
    <w:rsid w:val="00A8224D"/>
    <w:rsid w:val="00A83000"/>
    <w:rsid w:val="00A83371"/>
    <w:rsid w:val="00A92CF8"/>
    <w:rsid w:val="00AC652C"/>
    <w:rsid w:val="00AF0D24"/>
    <w:rsid w:val="00B06F23"/>
    <w:rsid w:val="00B62328"/>
    <w:rsid w:val="00B66C41"/>
    <w:rsid w:val="00B83444"/>
    <w:rsid w:val="00B87228"/>
    <w:rsid w:val="00BB19EC"/>
    <w:rsid w:val="00BB6C20"/>
    <w:rsid w:val="00BC03B6"/>
    <w:rsid w:val="00BE754F"/>
    <w:rsid w:val="00C06F70"/>
    <w:rsid w:val="00C314B8"/>
    <w:rsid w:val="00C47DBC"/>
    <w:rsid w:val="00C82C04"/>
    <w:rsid w:val="00C917B4"/>
    <w:rsid w:val="00CB1A3E"/>
    <w:rsid w:val="00D5093C"/>
    <w:rsid w:val="00D53A54"/>
    <w:rsid w:val="00D65B18"/>
    <w:rsid w:val="00DB28A6"/>
    <w:rsid w:val="00DD41D3"/>
    <w:rsid w:val="00E002C1"/>
    <w:rsid w:val="00E363E4"/>
    <w:rsid w:val="00E826CF"/>
    <w:rsid w:val="00EE06FB"/>
    <w:rsid w:val="00EF0D8B"/>
    <w:rsid w:val="00F2351C"/>
    <w:rsid w:val="00F2555C"/>
    <w:rsid w:val="00F348EE"/>
    <w:rsid w:val="00F37313"/>
    <w:rsid w:val="00F55215"/>
    <w:rsid w:val="00F70736"/>
    <w:rsid w:val="00F74496"/>
    <w:rsid w:val="00FC76B2"/>
    <w:rsid w:val="00FD65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10547985-5D53-4B87-985A-6542E974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qFormat/>
    <w:pPr>
      <w:keepNext/>
      <w:numPr>
        <w:numId w:val="12"/>
      </w:numPr>
      <w:ind w:left="431" w:hanging="431"/>
      <w:outlineLvl w:val="0"/>
    </w:pPr>
    <w:rPr>
      <w:b/>
      <w:kern w:val="28"/>
    </w:rPr>
  </w:style>
  <w:style w:type="paragraph" w:styleId="berschrift2">
    <w:name w:val="heading 2"/>
    <w:basedOn w:val="Standard"/>
    <w:next w:val="Standard"/>
    <w:qFormat/>
    <w:pPr>
      <w:keepNext/>
      <w:numPr>
        <w:ilvl w:val="1"/>
        <w:numId w:val="12"/>
      </w:numPr>
      <w:outlineLvl w:val="1"/>
    </w:pPr>
    <w:rPr>
      <w:b/>
    </w:rPr>
  </w:style>
  <w:style w:type="paragraph" w:styleId="berschrift3">
    <w:name w:val="heading 3"/>
    <w:basedOn w:val="Standard"/>
    <w:next w:val="Standard"/>
    <w:qFormat/>
    <w:pPr>
      <w:keepNext/>
      <w:numPr>
        <w:ilvl w:val="2"/>
        <w:numId w:val="12"/>
      </w:numPr>
      <w:outlineLvl w:val="2"/>
    </w:pPr>
    <w:rPr>
      <w:b/>
      <w:i/>
    </w:rPr>
  </w:style>
  <w:style w:type="paragraph" w:styleId="berschrift4">
    <w:name w:val="heading 4"/>
    <w:basedOn w:val="Standard"/>
    <w:next w:val="Standard"/>
    <w:qFormat/>
    <w:pPr>
      <w:keepNext/>
      <w:numPr>
        <w:ilvl w:val="3"/>
        <w:numId w:val="12"/>
      </w:numPr>
      <w:outlineLvl w:val="3"/>
    </w:pPr>
  </w:style>
  <w:style w:type="paragraph" w:styleId="berschrift5">
    <w:name w:val="heading 5"/>
    <w:basedOn w:val="Standard"/>
    <w:next w:val="Standard"/>
    <w:qFormat/>
    <w:pPr>
      <w:keepNext/>
      <w:numPr>
        <w:ilvl w:val="4"/>
        <w:numId w:val="12"/>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2"/>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2"/>
      </w:numPr>
      <w:spacing w:before="240" w:after="60"/>
      <w:outlineLvl w:val="6"/>
    </w:pPr>
  </w:style>
  <w:style w:type="paragraph" w:styleId="berschrift8">
    <w:name w:val="heading 8"/>
    <w:basedOn w:val="Standard"/>
    <w:next w:val="Standard"/>
    <w:qFormat/>
    <w:pPr>
      <w:numPr>
        <w:ilvl w:val="7"/>
        <w:numId w:val="12"/>
      </w:numPr>
      <w:spacing w:before="240" w:after="60"/>
      <w:outlineLvl w:val="7"/>
    </w:pPr>
    <w:rPr>
      <w:i/>
    </w:rPr>
  </w:style>
  <w:style w:type="paragraph" w:styleId="berschrift9">
    <w:name w:val="heading 9"/>
    <w:basedOn w:val="Standard"/>
    <w:next w:val="Standard"/>
    <w:qFormat/>
    <w:pPr>
      <w:numPr>
        <w:ilvl w:val="8"/>
        <w:numId w:val="12"/>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semiHidden/>
    <w:pPr>
      <w:tabs>
        <w:tab w:val="left" w:pos="440"/>
        <w:tab w:val="left" w:pos="993"/>
        <w:tab w:val="right" w:leader="dot" w:pos="9345"/>
      </w:tabs>
      <w:spacing w:after="120"/>
      <w:ind w:left="425"/>
    </w:pPr>
    <w:rPr>
      <w:noProof/>
    </w:rPr>
  </w:style>
  <w:style w:type="paragraph" w:styleId="Verzeichnis1">
    <w:name w:val="toc 1"/>
    <w:basedOn w:val="Standard"/>
    <w:next w:val="Standard"/>
    <w:autoRedefine/>
    <w:semiHidden/>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semiHidden/>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2"/>
      </w:numPr>
    </w:pPr>
  </w:style>
  <w:style w:type="paragraph" w:styleId="Aufzhlungszeichen2">
    <w:name w:val="List Bullet 2"/>
    <w:basedOn w:val="Standard"/>
    <w:autoRedefine/>
    <w:pPr>
      <w:numPr>
        <w:numId w:val="3"/>
      </w:numPr>
    </w:pPr>
  </w:style>
  <w:style w:type="paragraph" w:styleId="Aufzhlungszeichen3">
    <w:name w:val="List Bullet 3"/>
    <w:basedOn w:val="Standard"/>
    <w:autoRedefine/>
    <w:pPr>
      <w:numPr>
        <w:numId w:val="4"/>
      </w:numPr>
    </w:pPr>
  </w:style>
  <w:style w:type="paragraph" w:styleId="Aufzhlungszeichen4">
    <w:name w:val="List Bullet 4"/>
    <w:basedOn w:val="Standard"/>
    <w:autoRedefine/>
    <w:pPr>
      <w:numPr>
        <w:numId w:val="5"/>
      </w:numPr>
    </w:pPr>
  </w:style>
  <w:style w:type="paragraph" w:styleId="Aufzhlungszeichen5">
    <w:name w:val="List Bullet 5"/>
    <w:basedOn w:val="Standard"/>
    <w:autoRedefine/>
    <w:pPr>
      <w:numPr>
        <w:numId w:val="6"/>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7"/>
      </w:numPr>
    </w:pPr>
  </w:style>
  <w:style w:type="paragraph" w:styleId="Listennummer2">
    <w:name w:val="List Number 2"/>
    <w:basedOn w:val="Standard"/>
    <w:semiHidden/>
    <w:pPr>
      <w:numPr>
        <w:numId w:val="8"/>
      </w:numPr>
    </w:pPr>
  </w:style>
  <w:style w:type="paragraph" w:styleId="Listennummer3">
    <w:name w:val="List Number 3"/>
    <w:basedOn w:val="Standard"/>
    <w:semiHidden/>
    <w:pPr>
      <w:numPr>
        <w:numId w:val="9"/>
      </w:numPr>
    </w:pPr>
  </w:style>
  <w:style w:type="paragraph" w:styleId="Listennummer4">
    <w:name w:val="List Number 4"/>
    <w:basedOn w:val="Standard"/>
    <w:semiHidden/>
    <w:pPr>
      <w:numPr>
        <w:numId w:val="10"/>
      </w:numPr>
    </w:pPr>
  </w:style>
  <w:style w:type="paragraph" w:styleId="Listennummer5">
    <w:name w:val="List Number 5"/>
    <w:basedOn w:val="Standard"/>
    <w:semiHidden/>
    <w:pPr>
      <w:numPr>
        <w:numId w:val="1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D50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5093C"/>
    <w:pPr>
      <w:ind w:left="708"/>
    </w:pPr>
  </w:style>
  <w:style w:type="character" w:customStyle="1" w:styleId="st">
    <w:name w:val="st"/>
    <w:rsid w:val="009845D5"/>
  </w:style>
  <w:style w:type="character" w:styleId="Hervorhebung">
    <w:name w:val="Emphasis"/>
    <w:uiPriority w:val="20"/>
    <w:qFormat/>
    <w:rsid w:val="009845D5"/>
    <w:rPr>
      <w:i/>
      <w:iCs/>
    </w:rPr>
  </w:style>
  <w:style w:type="character" w:styleId="Hyperlink">
    <w:name w:val="Hyperlink"/>
    <w:basedOn w:val="Absatz-Standardschriftart"/>
    <w:uiPriority w:val="99"/>
    <w:unhideWhenUsed/>
    <w:rsid w:val="00A92CF8"/>
    <w:rPr>
      <w:color w:val="0000FF"/>
      <w:u w:val="single"/>
    </w:rPr>
  </w:style>
  <w:style w:type="character" w:customStyle="1" w:styleId="FuzeileZchn">
    <w:name w:val="Fußzeile Zchn"/>
    <w:basedOn w:val="Absatz-Standardschriftart"/>
    <w:link w:val="Fuzeile"/>
    <w:uiPriority w:val="99"/>
    <w:rsid w:val="00E826CF"/>
    <w:rPr>
      <w:rFonts w:ascii="Arial" w:hAnsi="Arial"/>
      <w:snapToGrid w:val="0"/>
      <w:lang w:eastAsia="de-DE"/>
    </w:rPr>
  </w:style>
  <w:style w:type="character" w:styleId="Kommentarzeichen">
    <w:name w:val="annotation reference"/>
    <w:basedOn w:val="Absatz-Standardschriftart"/>
    <w:uiPriority w:val="99"/>
    <w:semiHidden/>
    <w:unhideWhenUsed/>
    <w:rsid w:val="002A6B52"/>
    <w:rPr>
      <w:sz w:val="16"/>
      <w:szCs w:val="16"/>
    </w:rPr>
  </w:style>
  <w:style w:type="paragraph" w:styleId="Kommentarthema">
    <w:name w:val="annotation subject"/>
    <w:basedOn w:val="Kommentartext"/>
    <w:next w:val="Kommentartext"/>
    <w:link w:val="KommentarthemaZchn"/>
    <w:uiPriority w:val="99"/>
    <w:semiHidden/>
    <w:unhideWhenUsed/>
    <w:rsid w:val="002A6B52"/>
    <w:rPr>
      <w:b/>
      <w:bCs/>
    </w:rPr>
  </w:style>
  <w:style w:type="character" w:customStyle="1" w:styleId="KommentartextZchn">
    <w:name w:val="Kommentartext Zchn"/>
    <w:basedOn w:val="Absatz-Standardschriftart"/>
    <w:link w:val="Kommentartext"/>
    <w:semiHidden/>
    <w:rsid w:val="002A6B52"/>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2A6B52"/>
    <w:rPr>
      <w:rFonts w:ascii="Arial" w:hAnsi="Arial"/>
      <w:b/>
      <w:bCs/>
      <w:snapToGrid w:val="0"/>
      <w:lang w:eastAsia="de-DE"/>
    </w:rPr>
  </w:style>
  <w:style w:type="paragraph" w:customStyle="1" w:styleId="04lauftext">
    <w:name w:val="04_lauftext"/>
    <w:basedOn w:val="Standard"/>
    <w:next w:val="Standard"/>
    <w:rsid w:val="006E1857"/>
    <w:pPr>
      <w:widowControl w:val="0"/>
      <w:tabs>
        <w:tab w:val="left" w:pos="283"/>
        <w:tab w:val="left" w:pos="454"/>
      </w:tabs>
      <w:autoSpaceDE w:val="0"/>
      <w:autoSpaceDN w:val="0"/>
      <w:adjustRightInd w:val="0"/>
      <w:spacing w:line="240" w:lineRule="atLeast"/>
      <w:textAlignment w:val="center"/>
    </w:pPr>
    <w:rPr>
      <w:rFonts w:ascii="Frutiger-Light" w:hAnsi="Frutiger-Light" w:cs="Frutiger-Light"/>
      <w:snapToGrid/>
      <w:color w:val="000000"/>
      <w:spacing w:val="1"/>
      <w:sz w:val="18"/>
      <w:szCs w:val="18"/>
      <w:lang w:val="fr-FR"/>
    </w:rPr>
  </w:style>
  <w:style w:type="paragraph" w:customStyle="1" w:styleId="02soustitre1">
    <w:name w:val="02_soustitreÐ1"/>
    <w:basedOn w:val="Standard"/>
    <w:rsid w:val="006E1857"/>
    <w:pPr>
      <w:widowControl w:val="0"/>
      <w:tabs>
        <w:tab w:val="left" w:pos="510"/>
      </w:tabs>
      <w:autoSpaceDE w:val="0"/>
      <w:autoSpaceDN w:val="0"/>
      <w:adjustRightInd w:val="0"/>
      <w:spacing w:line="200" w:lineRule="atLeast"/>
      <w:jc w:val="left"/>
      <w:textAlignment w:val="center"/>
    </w:pPr>
    <w:rPr>
      <w:rFonts w:ascii="Frutiger-Bold" w:hAnsi="Frutiger-Bold" w:cs="Frutiger-Bold"/>
      <w:b/>
      <w:bCs/>
      <w:snapToGrid/>
      <w:color w:val="000000"/>
      <w:spacing w:val="1"/>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59047">
      <w:bodyDiv w:val="1"/>
      <w:marLeft w:val="0"/>
      <w:marRight w:val="0"/>
      <w:marTop w:val="0"/>
      <w:marBottom w:val="0"/>
      <w:divBdr>
        <w:top w:val="none" w:sz="0" w:space="0" w:color="auto"/>
        <w:left w:val="none" w:sz="0" w:space="0" w:color="auto"/>
        <w:bottom w:val="none" w:sz="0" w:space="0" w:color="auto"/>
        <w:right w:val="none" w:sz="0" w:space="0" w:color="auto"/>
      </w:divBdr>
    </w:div>
    <w:div w:id="4542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7CA88-E5DD-4065-8C07-374A89C0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AKTENNOTITZ____6. November 1995</vt:lpstr>
    </vt:vector>
  </TitlesOfParts>
  <Company>TREUHAND|SUISSE</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AKTENNOTITZ____6. November 1995</dc:title>
  <dc:subject/>
  <dc:creator>Vanessa Jenni</dc:creator>
  <cp:keywords/>
  <cp:lastModifiedBy>Milena Zimmermann</cp:lastModifiedBy>
  <cp:revision>2</cp:revision>
  <cp:lastPrinted>2013-05-01T07:15:00Z</cp:lastPrinted>
  <dcterms:created xsi:type="dcterms:W3CDTF">2023-09-28T15:21:00Z</dcterms:created>
  <dcterms:modified xsi:type="dcterms:W3CDTF">2023-09-28T15:21:00Z</dcterms:modified>
</cp:coreProperties>
</file>